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FD6DB">
      <w:pPr>
        <w:pageBreakBefore w:val="0"/>
        <w:wordWrap/>
        <w:bidi w:val="0"/>
        <w:adjustRightInd w:val="0"/>
        <w:snapToGrid w:val="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4923E3CF">
      <w:pPr>
        <w:pageBreakBefore w:val="0"/>
        <w:wordWrap/>
        <w:bidi w:val="0"/>
        <w:adjustRightInd w:val="0"/>
        <w:snapToGrid w:val="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40B2766F">
      <w:pPr>
        <w:pageBreakBefore w:val="0"/>
        <w:wordWrap/>
        <w:bidi w:val="0"/>
        <w:adjustRightInd w:val="0"/>
        <w:snapToGrid w:val="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116B4C37">
      <w:pPr>
        <w:pageBreakBefore w:val="0"/>
        <w:wordWrap/>
        <w:bidi w:val="0"/>
        <w:adjustRightInd w:val="0"/>
        <w:snapToGrid w:val="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470175EA">
      <w:pPr>
        <w:pageBreakBefore w:val="0"/>
        <w:wordWrap/>
        <w:bidi w:val="0"/>
        <w:adjustRightInd w:val="0"/>
        <w:snapToGrid w:val="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17B77C91">
      <w:pPr>
        <w:pageBreakBefore w:val="0"/>
        <w:wordWrap/>
        <w:bidi w:val="0"/>
        <w:adjustRightInd w:val="0"/>
        <w:snapToGrid w:val="0"/>
        <w:jc w:val="center"/>
        <w:outlineLvl w:val="0"/>
        <w:rPr>
          <w:rFonts w:hint="default" w:ascii="Times New Roman" w:hAnsi="Times New Roman" w:eastAsia="方正小标宋_GBK" w:cs="Times New Roman"/>
          <w:bCs/>
          <w:color w:val="000000" w:themeColor="text1"/>
          <w:sz w:val="72"/>
          <w:szCs w:val="72"/>
          <w:highlight w:val="none"/>
          <w14:textFill>
            <w14:solidFill>
              <w14:schemeClr w14:val="tx1"/>
            </w14:solidFill>
          </w14:textFill>
        </w:rPr>
      </w:pPr>
      <w:r>
        <w:rPr>
          <w:rFonts w:hint="default" w:ascii="Times New Roman" w:hAnsi="Times New Roman" w:eastAsia="方正小标宋_GBK" w:cs="Times New Roman"/>
          <w:bCs/>
          <w:color w:val="000000" w:themeColor="text1"/>
          <w:sz w:val="72"/>
          <w:szCs w:val="72"/>
          <w:highlight w:val="none"/>
          <w14:textFill>
            <w14:solidFill>
              <w14:schemeClr w14:val="tx1"/>
            </w14:solidFill>
          </w14:textFill>
        </w:rPr>
        <w:t>建设项目环境影响报告表</w:t>
      </w:r>
    </w:p>
    <w:p w14:paraId="35429CE3">
      <w:pPr>
        <w:pageBreakBefore w:val="0"/>
        <w:wordWrap/>
        <w:bidi w:val="0"/>
        <w:adjustRightInd w:val="0"/>
        <w:snapToGrid w:val="0"/>
        <w:spacing w:before="192" w:beforeLines="80"/>
        <w:jc w:val="center"/>
        <w:rPr>
          <w:rFonts w:hint="default" w:ascii="Times New Roman" w:hAnsi="Times New Roman" w:eastAsia="楷体_GB2312" w:cs="Times New Roman"/>
          <w:bCs/>
          <w:color w:val="000000" w:themeColor="text1"/>
          <w:sz w:val="48"/>
          <w:szCs w:val="48"/>
          <w:highlight w:val="none"/>
          <w:lang w:eastAsia="zh-CN"/>
          <w14:textFill>
            <w14:solidFill>
              <w14:schemeClr w14:val="tx1"/>
            </w14:solidFill>
          </w14:textFill>
        </w:rPr>
      </w:pPr>
      <w:r>
        <w:rPr>
          <w:rFonts w:hint="default" w:ascii="Times New Roman" w:hAnsi="Times New Roman" w:eastAsia="楷体_GB2312" w:cs="Times New Roman"/>
          <w:bCs/>
          <w:color w:val="000000" w:themeColor="text1"/>
          <w:sz w:val="48"/>
          <w:szCs w:val="48"/>
          <w:highlight w:val="none"/>
          <w:lang w:eastAsia="zh-CN"/>
          <w14:textFill>
            <w14:solidFill>
              <w14:schemeClr w14:val="tx1"/>
            </w14:solidFill>
          </w14:textFill>
        </w:rPr>
        <w:t>（</w:t>
      </w:r>
      <w:r>
        <w:rPr>
          <w:rFonts w:hint="default" w:ascii="Times New Roman" w:hAnsi="Times New Roman" w:eastAsia="楷体_GB2312" w:cs="Times New Roman"/>
          <w:bCs/>
          <w:color w:val="000000" w:themeColor="text1"/>
          <w:sz w:val="48"/>
          <w:szCs w:val="48"/>
          <w:highlight w:val="none"/>
          <w14:textFill>
            <w14:solidFill>
              <w14:schemeClr w14:val="tx1"/>
            </w14:solidFill>
          </w14:textFill>
        </w:rPr>
        <w:t>污染影响类</w:t>
      </w:r>
      <w:r>
        <w:rPr>
          <w:rFonts w:hint="default" w:ascii="Times New Roman" w:hAnsi="Times New Roman" w:eastAsia="楷体_GB2312" w:cs="Times New Roman"/>
          <w:bCs/>
          <w:color w:val="000000" w:themeColor="text1"/>
          <w:sz w:val="48"/>
          <w:szCs w:val="48"/>
          <w:highlight w:val="none"/>
          <w:lang w:eastAsia="zh-CN"/>
          <w14:textFill>
            <w14:solidFill>
              <w14:schemeClr w14:val="tx1"/>
            </w14:solidFill>
          </w14:textFill>
        </w:rPr>
        <w:t>）</w:t>
      </w:r>
    </w:p>
    <w:p w14:paraId="14230BA1">
      <w:pPr>
        <w:pageBreakBefore w:val="0"/>
        <w:wordWrap/>
        <w:bidi w:val="0"/>
        <w:adjustRightInd w:val="0"/>
        <w:snapToGrid w:val="0"/>
        <w:rPr>
          <w:rFonts w:hint="default" w:ascii="Times New Roman" w:hAnsi="Times New Roman" w:eastAsia="华文仿宋" w:cs="Times New Roman"/>
          <w:color w:val="000000" w:themeColor="text1"/>
          <w:kern w:val="44"/>
          <w:sz w:val="44"/>
          <w:szCs w:val="44"/>
          <w:highlight w:val="none"/>
          <w14:textFill>
            <w14:solidFill>
              <w14:schemeClr w14:val="tx1"/>
            </w14:solidFill>
          </w14:textFill>
        </w:rPr>
      </w:pPr>
    </w:p>
    <w:p w14:paraId="4207D404">
      <w:pPr>
        <w:pStyle w:val="6"/>
        <w:pageBreakBefore w:val="0"/>
        <w:wordWrap/>
        <w:bidi w:val="0"/>
        <w:adjustRightInd w:val="0"/>
        <w:snapToGrid w:val="0"/>
        <w:rPr>
          <w:rFonts w:hint="default" w:ascii="Times New Roman" w:hAnsi="Times New Roman" w:cs="Times New Roman"/>
          <w:color w:val="000000" w:themeColor="text1"/>
          <w:highlight w:val="none"/>
          <w14:textFill>
            <w14:solidFill>
              <w14:schemeClr w14:val="tx1"/>
            </w14:solidFill>
          </w14:textFill>
        </w:rPr>
      </w:pPr>
    </w:p>
    <w:p w14:paraId="07DDBD35">
      <w:pPr>
        <w:pageBreakBefore w:val="0"/>
        <w:wordWrap/>
        <w:bidi w:val="0"/>
        <w:adjustRightInd w:val="0"/>
        <w:snapToGrid w:val="0"/>
        <w:jc w:val="center"/>
        <w:rPr>
          <w:rFonts w:hint="default" w:ascii="Times New Roman" w:hAnsi="Times New Roman" w:eastAsia="仿宋" w:cs="Times New Roman"/>
          <w:color w:val="000000" w:themeColor="text1"/>
          <w:sz w:val="52"/>
          <w:szCs w:val="52"/>
          <w:highlight w:val="none"/>
          <w14:textFill>
            <w14:solidFill>
              <w14:schemeClr w14:val="tx1"/>
            </w14:solidFill>
          </w14:textFill>
        </w:rPr>
      </w:pPr>
    </w:p>
    <w:p w14:paraId="197EF39A">
      <w:pPr>
        <w:pageBreakBefore w:val="0"/>
        <w:wordWrap/>
        <w:bidi w:val="0"/>
        <w:adjustRightInd w:val="0"/>
        <w:snapToGrid w:val="0"/>
        <w:ind w:firstLine="104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20B0E840">
      <w:pPr>
        <w:pageBreakBefore w:val="0"/>
        <w:wordWrap/>
        <w:bidi w:val="0"/>
        <w:adjustRightInd w:val="0"/>
        <w:snapToGrid w:val="0"/>
        <w:ind w:firstLine="104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2EF3BE9D">
      <w:pPr>
        <w:pageBreakBefore w:val="0"/>
        <w:wordWrap/>
        <w:bidi w:val="0"/>
        <w:adjustRightInd w:val="0"/>
        <w:snapToGrid w:val="0"/>
        <w:ind w:firstLine="104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03ED6A21">
      <w:pPr>
        <w:pageBreakBefore w:val="0"/>
        <w:wordWrap/>
        <w:bidi w:val="0"/>
        <w:adjustRightInd w:val="0"/>
        <w:snapToGrid w:val="0"/>
        <w:ind w:firstLine="104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0E5E1B07">
      <w:pPr>
        <w:pageBreakBefore w:val="0"/>
        <w:wordWrap/>
        <w:bidi w:val="0"/>
        <w:adjustRightInd w:val="0"/>
        <w:snapToGrid w:val="0"/>
        <w:spacing w:line="288" w:lineRule="auto"/>
        <w:ind w:left="2670" w:leftChars="500" w:hanging="1620" w:hangingChars="450"/>
        <w:rPr>
          <w:rFonts w:hint="default" w:ascii="Times New Roman" w:hAnsi="Times New Roman" w:eastAsia="仿宋_GB2312" w:cs="Times New Roman"/>
          <w:color w:val="000000" w:themeColor="text1"/>
          <w:sz w:val="32"/>
          <w:szCs w:val="32"/>
          <w:highlight w:val="none"/>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highlight w:val="none"/>
          <w14:textFill>
            <w14:solidFill>
              <w14:schemeClr w14:val="tx1"/>
            </w14:solidFill>
          </w14:textFill>
        </w:rPr>
        <w:t>项目名称：</w:t>
      </w:r>
      <w:r>
        <w:rPr>
          <w:rFonts w:hint="default" w:ascii="Times New Roman" w:hAnsi="Times New Roman" w:eastAsia="仿宋_GB2312" w:cs="Times New Roman"/>
          <w:color w:val="000000" w:themeColor="text1"/>
          <w:sz w:val="36"/>
          <w:szCs w:val="36"/>
          <w:highlight w:val="none"/>
          <w:u w:val="single"/>
          <w:lang w:eastAsia="zh-CN"/>
          <w14:textFill>
            <w14:solidFill>
              <w14:schemeClr w14:val="tx1"/>
            </w14:solidFill>
          </w14:textFill>
        </w:rPr>
        <w:t>河北实远环保科技有限公司固废无害化处置、再利用项目</w:t>
      </w:r>
      <w:r>
        <w:rPr>
          <w:rFonts w:hint="default" w:ascii="Times New Roman" w:hAnsi="Times New Roman" w:eastAsia="仿宋_GB2312" w:cs="Times New Roman"/>
          <w:color w:val="000000" w:themeColor="text1"/>
          <w:sz w:val="32"/>
          <w:szCs w:val="32"/>
          <w:highlight w:val="none"/>
          <w:u w:val="single"/>
          <w:lang w:val="en-US" w:eastAsia="zh-CN"/>
          <w14:textFill>
            <w14:solidFill>
              <w14:schemeClr w14:val="tx1"/>
            </w14:solidFill>
          </w14:textFill>
        </w:rPr>
        <w:t xml:space="preserve">                      </w:t>
      </w:r>
    </w:p>
    <w:p w14:paraId="6D07F352">
      <w:pPr>
        <w:pageBreakBefore w:val="0"/>
        <w:wordWrap/>
        <w:bidi w:val="0"/>
        <w:adjustRightInd w:val="0"/>
        <w:snapToGrid w:val="0"/>
        <w:spacing w:line="288" w:lineRule="auto"/>
        <w:ind w:left="4290" w:leftChars="500" w:hanging="3240" w:hangingChars="900"/>
        <w:rPr>
          <w:rFonts w:hint="default" w:ascii="Times New Roman" w:hAnsi="Times New Roman" w:eastAsia="仿宋_GB2312" w:cs="Times New Roman"/>
          <w:color w:val="000000" w:themeColor="text1"/>
          <w:sz w:val="36"/>
          <w:szCs w:val="36"/>
          <w:highlight w:val="none"/>
          <w:u w:val="single"/>
          <w:lang w:val="en-US"/>
          <w14:textFill>
            <w14:solidFill>
              <w14:schemeClr w14:val="tx1"/>
            </w14:solidFill>
          </w14:textFill>
        </w:rPr>
      </w:pPr>
      <w:r>
        <w:rPr>
          <w:rFonts w:hint="default" w:ascii="Times New Roman" w:hAnsi="Times New Roman" w:eastAsia="仿宋_GB2312" w:cs="Times New Roman"/>
          <w:color w:val="000000" w:themeColor="text1"/>
          <w:sz w:val="36"/>
          <w:szCs w:val="36"/>
          <w:highlight w:val="none"/>
          <w14:textFill>
            <w14:solidFill>
              <w14:schemeClr w14:val="tx1"/>
            </w14:solidFill>
          </w14:textFill>
        </w:rPr>
        <w:t>建设单位</w:t>
      </w:r>
      <w:r>
        <w:rPr>
          <w:rFonts w:hint="default" w:ascii="Times New Roman" w:hAnsi="Times New Roman" w:eastAsia="仿宋_GB2312" w:cs="Times New Roman"/>
          <w:color w:val="000000" w:themeColor="text1"/>
          <w:sz w:val="36"/>
          <w:szCs w:val="36"/>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6"/>
          <w:szCs w:val="36"/>
          <w:highlight w:val="none"/>
          <w14:textFill>
            <w14:solidFill>
              <w14:schemeClr w14:val="tx1"/>
            </w14:solidFill>
          </w14:textFill>
        </w:rPr>
        <w:t>盖章</w:t>
      </w:r>
      <w:r>
        <w:rPr>
          <w:rFonts w:hint="default" w:ascii="Times New Roman" w:hAnsi="Times New Roman" w:eastAsia="仿宋_GB2312" w:cs="Times New Roman"/>
          <w:color w:val="000000" w:themeColor="text1"/>
          <w:sz w:val="36"/>
          <w:szCs w:val="36"/>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6"/>
          <w:szCs w:val="36"/>
          <w:highlight w:val="none"/>
          <w14:textFill>
            <w14:solidFill>
              <w14:schemeClr w14:val="tx1"/>
            </w14:solidFill>
          </w14:textFill>
        </w:rPr>
        <w:t>：</w:t>
      </w:r>
      <w:r>
        <w:rPr>
          <w:rFonts w:hint="default" w:ascii="Times New Roman" w:hAnsi="Times New Roman" w:eastAsia="仿宋_GB2312" w:cs="Times New Roman"/>
          <w:color w:val="000000" w:themeColor="text1"/>
          <w:sz w:val="36"/>
          <w:szCs w:val="36"/>
          <w:highlight w:val="none"/>
          <w:u w:val="single"/>
          <w:lang w:eastAsia="zh-CN"/>
          <w14:textFill>
            <w14:solidFill>
              <w14:schemeClr w14:val="tx1"/>
            </w14:solidFill>
          </w14:textFill>
        </w:rPr>
        <w:t>河北实远环保科技有限公司</w:t>
      </w:r>
      <w:r>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t xml:space="preserve">                     </w:t>
      </w:r>
    </w:p>
    <w:p w14:paraId="6B548D29">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u w:val="single"/>
          <w14:textFill>
            <w14:solidFill>
              <w14:schemeClr w14:val="tx1"/>
            </w14:solidFill>
          </w14:textFill>
        </w:rPr>
      </w:pPr>
      <w:r>
        <w:rPr>
          <w:rFonts w:hint="default" w:ascii="Times New Roman" w:hAnsi="Times New Roman" w:eastAsia="仿宋_GB2312" w:cs="Times New Roman"/>
          <w:color w:val="000000" w:themeColor="text1"/>
          <w:sz w:val="36"/>
          <w:szCs w:val="36"/>
          <w:highlight w:val="none"/>
          <w14:textFill>
            <w14:solidFill>
              <w14:schemeClr w14:val="tx1"/>
            </w14:solidFill>
          </w14:textFill>
        </w:rPr>
        <w:t>编制日期：</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202</w:t>
      </w:r>
      <w:r>
        <w:rPr>
          <w:rFonts w:hint="default" w:ascii="Times New Roman" w:hAnsi="Times New Roman" w:eastAsia="仿宋_GB2312" w:cs="Times New Roman"/>
          <w:color w:val="000000" w:themeColor="text1"/>
          <w:sz w:val="32"/>
          <w:szCs w:val="32"/>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月                  </w:t>
      </w:r>
    </w:p>
    <w:p w14:paraId="6B1AD94C">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u w:val="single"/>
          <w14:textFill>
            <w14:solidFill>
              <w14:schemeClr w14:val="tx1"/>
            </w14:solidFill>
          </w14:textFill>
        </w:rPr>
      </w:pPr>
      <w:bookmarkStart w:id="0" w:name="_Hlk57884087"/>
    </w:p>
    <w:p w14:paraId="0EBF3411">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0675F6D4">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673C5073">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bookmarkEnd w:id="0"/>
    <w:p w14:paraId="7322F95E">
      <w:pPr>
        <w:pageBreakBefore w:val="0"/>
        <w:wordWrap/>
        <w:bidi w:val="0"/>
        <w:adjustRightInd w:val="0"/>
        <w:snapToGrid w:val="0"/>
        <w:spacing w:line="288" w:lineRule="auto"/>
        <w:jc w:val="center"/>
        <w:rPr>
          <w:rFonts w:hint="default" w:ascii="Times New Roman" w:hAnsi="Times New Roman" w:eastAsia="楷体_GB2312" w:cs="Times New Roman"/>
          <w:color w:val="000000" w:themeColor="text1"/>
          <w:sz w:val="36"/>
          <w:szCs w:val="36"/>
          <w:highlight w:val="none"/>
          <w14:textFill>
            <w14:solidFill>
              <w14:schemeClr w14:val="tx1"/>
            </w14:solidFill>
          </w14:textFill>
        </w:rPr>
      </w:pPr>
      <w:r>
        <w:rPr>
          <w:rFonts w:hint="default" w:ascii="Times New Roman" w:hAnsi="Times New Roman" w:eastAsia="楷体_GB2312" w:cs="Times New Roman"/>
          <w:color w:val="000000" w:themeColor="text1"/>
          <w:sz w:val="36"/>
          <w:szCs w:val="36"/>
          <w:highlight w:val="none"/>
          <w14:textFill>
            <w14:solidFill>
              <w14:schemeClr w14:val="tx1"/>
            </w14:solidFill>
          </w14:textFill>
        </w:rPr>
        <w:t>中华人民共和国生态环境部制</w:t>
      </w:r>
    </w:p>
    <w:p w14:paraId="02B1A257">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4607EA4E">
      <w:pPr>
        <w:pageBreakBefore w:val="0"/>
        <w:wordWrap/>
        <w:bidi w:val="0"/>
        <w:adjustRightInd w:val="0"/>
        <w:snapToGrid w:val="0"/>
        <w:spacing w:line="288" w:lineRule="auto"/>
        <w:jc w:val="center"/>
        <w:rPr>
          <w:rFonts w:hint="default" w:ascii="Times New Roman" w:hAnsi="Times New Roman" w:eastAsia="楷体_GB2312" w:cs="Times New Roman"/>
          <w:color w:val="000000" w:themeColor="text1"/>
          <w:spacing w:val="0"/>
          <w:sz w:val="24"/>
          <w:szCs w:val="24"/>
          <w:highlight w:val="green"/>
          <w14:textFill>
            <w14:solidFill>
              <w14:schemeClr w14:val="tx1"/>
            </w14:solidFill>
          </w14:textFill>
        </w:rPr>
      </w:pPr>
    </w:p>
    <w:p w14:paraId="37EF0AD1">
      <w:pPr>
        <w:pageBreakBefore w:val="0"/>
        <w:wordWrap/>
        <w:bidi w:val="0"/>
        <w:adjustRightInd w:val="0"/>
        <w:snapToGrid w:val="0"/>
        <w:spacing w:line="288" w:lineRule="auto"/>
        <w:ind w:firstLine="1040"/>
        <w:rPr>
          <w:rFonts w:hint="default" w:ascii="Times New Roman" w:hAnsi="Times New Roman" w:eastAsia="仿宋_GB2312" w:cs="Times New Roman"/>
          <w:color w:val="000000" w:themeColor="text1"/>
          <w:spacing w:val="0"/>
          <w:sz w:val="24"/>
          <w:szCs w:val="24"/>
          <w:highlight w:val="green"/>
          <w14:textFill>
            <w14:solidFill>
              <w14:schemeClr w14:val="tx1"/>
            </w14:solidFill>
          </w14:textFill>
        </w:rPr>
        <w:sectPr>
          <w:footerReference r:id="rId5" w:type="default"/>
          <w:pgSz w:w="11906" w:h="16838"/>
          <w:pgMar w:top="1701" w:right="1361" w:bottom="1701" w:left="136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48479495">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pPr>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一、建设项目基本情况</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8"/>
        <w:gridCol w:w="2862"/>
        <w:gridCol w:w="1924"/>
        <w:gridCol w:w="3026"/>
      </w:tblGrid>
      <w:tr w14:paraId="44EDD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6FB9E84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建设项目名称</w:t>
            </w:r>
          </w:p>
        </w:tc>
        <w:tc>
          <w:tcPr>
            <w:tcW w:w="7653" w:type="dxa"/>
            <w:gridSpan w:val="3"/>
            <w:noWrap w:val="0"/>
            <w:vAlign w:val="center"/>
          </w:tcPr>
          <w:p w14:paraId="260BECA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河北实远环保科技有限公司固废无害化处置、再利用项目</w:t>
            </w:r>
          </w:p>
        </w:tc>
      </w:tr>
      <w:tr w14:paraId="0955D4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122451E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项目代码</w:t>
            </w:r>
          </w:p>
        </w:tc>
        <w:tc>
          <w:tcPr>
            <w:tcW w:w="7653" w:type="dxa"/>
            <w:gridSpan w:val="3"/>
            <w:noWrap w:val="0"/>
            <w:vAlign w:val="center"/>
          </w:tcPr>
          <w:p w14:paraId="35D748E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2606-130291-89-01-311516</w:t>
            </w:r>
          </w:p>
        </w:tc>
      </w:tr>
      <w:tr w14:paraId="63A5CF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5401C55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建设单位联系人</w:t>
            </w:r>
          </w:p>
        </w:tc>
        <w:tc>
          <w:tcPr>
            <w:tcW w:w="2890" w:type="dxa"/>
            <w:noWrap w:val="0"/>
            <w:vAlign w:val="center"/>
          </w:tcPr>
          <w:p w14:paraId="0CA3DEF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sz w:val="24"/>
                <w:highlight w:val="none"/>
                <w:lang w:val="en-US" w:eastAsia="zh-CN"/>
              </w:rPr>
              <w:t>周壮</w:t>
            </w:r>
          </w:p>
        </w:tc>
        <w:tc>
          <w:tcPr>
            <w:tcW w:w="1829" w:type="dxa"/>
            <w:noWrap w:val="0"/>
            <w:vAlign w:val="center"/>
          </w:tcPr>
          <w:p w14:paraId="4FA1097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联系方式</w:t>
            </w:r>
          </w:p>
        </w:tc>
        <w:tc>
          <w:tcPr>
            <w:tcW w:w="2934" w:type="dxa"/>
            <w:noWrap w:val="0"/>
            <w:vAlign w:val="center"/>
          </w:tcPr>
          <w:p w14:paraId="4C9A7EC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p>
        </w:tc>
      </w:tr>
      <w:tr w14:paraId="7F94EF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771F7E3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建设地点</w:t>
            </w:r>
          </w:p>
        </w:tc>
        <w:tc>
          <w:tcPr>
            <w:tcW w:w="7653" w:type="dxa"/>
            <w:gridSpan w:val="3"/>
            <w:noWrap w:val="0"/>
            <w:vAlign w:val="center"/>
          </w:tcPr>
          <w:p w14:paraId="23BFDBB0">
            <w:pPr>
              <w:pStyle w:val="21"/>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河北迁安经济开发区纬九街北侧、经十一路东侧</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迁安市仁通金属制品有限公司院内1号2号厂房</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w:t>
            </w:r>
          </w:p>
        </w:tc>
      </w:tr>
      <w:tr w14:paraId="0EDD8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2615D0A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地理坐标</w:t>
            </w:r>
          </w:p>
        </w:tc>
        <w:tc>
          <w:tcPr>
            <w:tcW w:w="7653" w:type="dxa"/>
            <w:gridSpan w:val="3"/>
            <w:noWrap w:val="0"/>
            <w:vAlign w:val="center"/>
          </w:tcPr>
          <w:p w14:paraId="47F0882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u w:val="single"/>
                <w:lang w:val="en-US" w:eastAsia="zh-CN"/>
              </w:rPr>
              <w:t>118</w:t>
            </w:r>
            <w:r>
              <w:rPr>
                <w:rFonts w:hint="default" w:ascii="Times New Roman" w:hAnsi="Times New Roman" w:eastAsia="宋体" w:cs="Times New Roman"/>
                <w:color w:val="000000"/>
                <w:sz w:val="24"/>
                <w:szCs w:val="24"/>
                <w:highlight w:val="none"/>
              </w:rPr>
              <w:t>度</w:t>
            </w:r>
            <w:r>
              <w:rPr>
                <w:rFonts w:hint="default" w:ascii="Times New Roman" w:hAnsi="Times New Roman" w:cs="Times New Roman"/>
                <w:color w:val="000000"/>
                <w:sz w:val="24"/>
                <w:szCs w:val="24"/>
                <w:highlight w:val="none"/>
                <w:u w:val="single"/>
                <w:lang w:val="en-US" w:eastAsia="zh-CN"/>
              </w:rPr>
              <w:t>36</w:t>
            </w:r>
            <w:r>
              <w:rPr>
                <w:rFonts w:hint="default" w:ascii="Times New Roman" w:hAnsi="Times New Roman" w:eastAsia="宋体" w:cs="Times New Roman"/>
                <w:color w:val="000000"/>
                <w:sz w:val="24"/>
                <w:szCs w:val="24"/>
                <w:highlight w:val="none"/>
              </w:rPr>
              <w:t>分</w:t>
            </w:r>
            <w:r>
              <w:rPr>
                <w:rFonts w:hint="default" w:ascii="Times New Roman" w:hAnsi="Times New Roman" w:cs="Times New Roman"/>
                <w:color w:val="000000"/>
                <w:sz w:val="24"/>
                <w:szCs w:val="24"/>
                <w:highlight w:val="none"/>
                <w:u w:val="single"/>
                <w:lang w:val="en-US" w:eastAsia="zh-CN"/>
              </w:rPr>
              <w:t>06.210</w:t>
            </w:r>
            <w:r>
              <w:rPr>
                <w:rFonts w:hint="default" w:ascii="Times New Roman" w:hAnsi="Times New Roman" w:eastAsia="宋体" w:cs="Times New Roman"/>
                <w:color w:val="000000"/>
                <w:sz w:val="24"/>
                <w:szCs w:val="24"/>
                <w:highlight w:val="none"/>
              </w:rPr>
              <w:t>秒，</w:t>
            </w:r>
            <w:r>
              <w:rPr>
                <w:rFonts w:hint="default" w:ascii="Times New Roman" w:hAnsi="Times New Roman" w:eastAsia="宋体" w:cs="Times New Roman"/>
                <w:color w:val="000000"/>
                <w:sz w:val="24"/>
                <w:szCs w:val="24"/>
                <w:highlight w:val="none"/>
                <w:u w:val="single"/>
                <w:lang w:val="en-US" w:eastAsia="zh-CN"/>
              </w:rPr>
              <w:t>39</w:t>
            </w:r>
            <w:r>
              <w:rPr>
                <w:rFonts w:hint="default" w:ascii="Times New Roman" w:hAnsi="Times New Roman" w:eastAsia="宋体" w:cs="Times New Roman"/>
                <w:color w:val="000000"/>
                <w:sz w:val="24"/>
                <w:szCs w:val="24"/>
                <w:highlight w:val="none"/>
              </w:rPr>
              <w:t>度</w:t>
            </w:r>
            <w:r>
              <w:rPr>
                <w:rFonts w:hint="default" w:ascii="Times New Roman" w:hAnsi="Times New Roman" w:cs="Times New Roman"/>
                <w:color w:val="000000"/>
                <w:sz w:val="24"/>
                <w:szCs w:val="24"/>
                <w:highlight w:val="none"/>
                <w:u w:val="single"/>
                <w:lang w:val="en-US" w:eastAsia="zh-CN"/>
              </w:rPr>
              <w:t>59</w:t>
            </w:r>
            <w:r>
              <w:rPr>
                <w:rFonts w:hint="default" w:ascii="Times New Roman" w:hAnsi="Times New Roman" w:eastAsia="宋体" w:cs="Times New Roman"/>
                <w:color w:val="000000"/>
                <w:sz w:val="24"/>
                <w:szCs w:val="24"/>
                <w:highlight w:val="none"/>
              </w:rPr>
              <w:t>分</w:t>
            </w:r>
            <w:r>
              <w:rPr>
                <w:rFonts w:hint="default" w:ascii="Times New Roman" w:hAnsi="Times New Roman" w:cs="Times New Roman"/>
                <w:color w:val="000000"/>
                <w:sz w:val="24"/>
                <w:szCs w:val="24"/>
                <w:highlight w:val="none"/>
                <w:u w:val="single"/>
                <w:lang w:val="en-US" w:eastAsia="zh-CN"/>
              </w:rPr>
              <w:t>17.615</w:t>
            </w:r>
            <w:r>
              <w:rPr>
                <w:rFonts w:hint="default" w:ascii="Times New Roman" w:hAnsi="Times New Roman" w:eastAsia="宋体" w:cs="Times New Roman"/>
                <w:color w:val="000000"/>
                <w:sz w:val="24"/>
                <w:szCs w:val="24"/>
                <w:highlight w:val="none"/>
              </w:rPr>
              <w:t>秒</w:t>
            </w:r>
            <w:r>
              <w:rPr>
                <w:rFonts w:hint="default" w:ascii="Times New Roman" w:hAnsi="Times New Roman" w:cs="Times New Roman"/>
                <w:color w:val="000000"/>
                <w:sz w:val="24"/>
                <w:szCs w:val="24"/>
                <w:highlight w:val="none"/>
                <w:lang w:eastAsia="zh-CN"/>
              </w:rPr>
              <w:t>）</w:t>
            </w:r>
          </w:p>
        </w:tc>
      </w:tr>
      <w:tr w14:paraId="31AE6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17" w:type="dxa"/>
            <w:noWrap w:val="0"/>
            <w:tcMar>
              <w:top w:w="16" w:type="dxa"/>
              <w:left w:w="16" w:type="dxa"/>
              <w:right w:w="16" w:type="dxa"/>
            </w:tcMar>
            <w:vAlign w:val="center"/>
          </w:tcPr>
          <w:p w14:paraId="18C9199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国民经济行业类别</w:t>
            </w:r>
          </w:p>
        </w:tc>
        <w:tc>
          <w:tcPr>
            <w:tcW w:w="2890" w:type="dxa"/>
            <w:noWrap w:val="0"/>
            <w:vAlign w:val="center"/>
          </w:tcPr>
          <w:p w14:paraId="4D8AF4A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N7723固体废物治理</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、C2542生物质致密成型燃料加工</w:t>
            </w:r>
          </w:p>
        </w:tc>
        <w:tc>
          <w:tcPr>
            <w:tcW w:w="1829" w:type="dxa"/>
            <w:noWrap w:val="0"/>
            <w:vAlign w:val="center"/>
          </w:tcPr>
          <w:p w14:paraId="60F220C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pPr>
            <w:bookmarkStart w:id="1" w:name="_Hlk49843745"/>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建设项目</w:t>
            </w:r>
          </w:p>
          <w:p w14:paraId="6298801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highlight w:val="none"/>
                <w14:textFill>
                  <w14:solidFill>
                    <w14:schemeClr w14:val="tx1"/>
                  </w14:solidFill>
                </w14:textFill>
              </w:rPr>
              <w:t>行业类别</w:t>
            </w:r>
            <w:bookmarkEnd w:id="1"/>
          </w:p>
        </w:tc>
        <w:tc>
          <w:tcPr>
            <w:tcW w:w="2934" w:type="dxa"/>
            <w:noWrap w:val="0"/>
            <w:vAlign w:val="center"/>
          </w:tcPr>
          <w:p w14:paraId="3EE7BFF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四十七、生态保护和环境治理业-103 一般工业固体废物（含污水处理污泥）建筑施工废弃物处置及综合利用</w:t>
            </w:r>
            <w:r>
              <w:rPr>
                <w:rFonts w:hint="default" w:ascii="Times New Roman" w:hAnsi="Times New Roman" w:cs="Times New Roman"/>
                <w:b w:val="0"/>
                <w:bCs w:val="0"/>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其他</w:t>
            </w:r>
            <w:r>
              <w:rPr>
                <w:rFonts w:hint="default" w:ascii="Times New Roman" w:hAnsi="Times New Roman" w:cs="Times New Roman"/>
                <w:b w:val="0"/>
                <w:bCs w:val="0"/>
                <w:color w:val="000000" w:themeColor="text1"/>
                <w:spacing w:val="0"/>
                <w:sz w:val="24"/>
                <w:szCs w:val="24"/>
                <w:highlight w:val="none"/>
                <w:lang w:val="en-US" w:eastAsia="zh-CN"/>
                <w14:textFill>
                  <w14:solidFill>
                    <w14:schemeClr w14:val="tx1"/>
                  </w14:solidFill>
                </w14:textFill>
              </w:rPr>
              <w:t xml:space="preserve">；二十二、石油、煤炭及其他燃料加工业 25-43生物质燃料加工254-生物质致密成型燃料加工 </w:t>
            </w:r>
          </w:p>
        </w:tc>
      </w:tr>
      <w:tr w14:paraId="43580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17" w:type="dxa"/>
            <w:noWrap w:val="0"/>
            <w:tcMar>
              <w:top w:w="16" w:type="dxa"/>
              <w:left w:w="16" w:type="dxa"/>
              <w:right w:w="16" w:type="dxa"/>
            </w:tcMar>
            <w:vAlign w:val="center"/>
          </w:tcPr>
          <w:p w14:paraId="420576C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建设性质</w:t>
            </w:r>
          </w:p>
        </w:tc>
        <w:tc>
          <w:tcPr>
            <w:tcW w:w="2890" w:type="dxa"/>
            <w:noWrap w:val="0"/>
            <w:vAlign w:val="center"/>
          </w:tcPr>
          <w:p w14:paraId="2195976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52"/>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新建</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迁建</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p w14:paraId="63C439E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改建</w:t>
            </w:r>
          </w:p>
          <w:p w14:paraId="62C60790">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扩建</w:t>
            </w:r>
          </w:p>
          <w:p w14:paraId="0A56B62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技术改造</w:t>
            </w:r>
          </w:p>
        </w:tc>
        <w:tc>
          <w:tcPr>
            <w:tcW w:w="1829" w:type="dxa"/>
            <w:noWrap w:val="0"/>
            <w:vAlign w:val="center"/>
          </w:tcPr>
          <w:p w14:paraId="0116A83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建设项目</w:t>
            </w:r>
          </w:p>
          <w:p w14:paraId="37C4FE2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申报情形</w:t>
            </w:r>
          </w:p>
        </w:tc>
        <w:tc>
          <w:tcPr>
            <w:tcW w:w="2934" w:type="dxa"/>
            <w:noWrap w:val="0"/>
            <w:vAlign w:val="center"/>
          </w:tcPr>
          <w:p w14:paraId="7AA7984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52"/>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首次申报项目</w:t>
            </w:r>
          </w:p>
          <w:p w14:paraId="7A6004C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不予批准后再次申报项目</w:t>
            </w:r>
          </w:p>
          <w:p w14:paraId="4C3B002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超五年重新审核项目</w:t>
            </w:r>
          </w:p>
          <w:p w14:paraId="7420C99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重大变动重新报批项目</w:t>
            </w:r>
          </w:p>
        </w:tc>
      </w:tr>
      <w:tr w14:paraId="07AAB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7" w:type="dxa"/>
            <w:noWrap w:val="0"/>
            <w:tcMar>
              <w:top w:w="16" w:type="dxa"/>
              <w:left w:w="16" w:type="dxa"/>
              <w:right w:w="16" w:type="dxa"/>
            </w:tcMar>
            <w:vAlign w:val="center"/>
          </w:tcPr>
          <w:p w14:paraId="7766F6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项目审批</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核准/备案</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部门</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选填</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tc>
        <w:tc>
          <w:tcPr>
            <w:tcW w:w="2890" w:type="dxa"/>
            <w:noWrap w:val="0"/>
            <w:vAlign w:val="center"/>
          </w:tcPr>
          <w:p w14:paraId="7CF4F1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河北迁安经济开发区管理委员会</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迁安高新技术产业开发区管理委员会</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w:t>
            </w:r>
          </w:p>
        </w:tc>
        <w:tc>
          <w:tcPr>
            <w:tcW w:w="1829" w:type="dxa"/>
            <w:noWrap w:val="0"/>
            <w:vAlign w:val="center"/>
          </w:tcPr>
          <w:p w14:paraId="3F793E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项目审批</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核准/</w:t>
            </w:r>
          </w:p>
          <w:p w14:paraId="12A509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备案</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文号</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选填</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tc>
        <w:tc>
          <w:tcPr>
            <w:tcW w:w="2934" w:type="dxa"/>
            <w:noWrap w:val="0"/>
            <w:vAlign w:val="center"/>
          </w:tcPr>
          <w:p w14:paraId="2BB3E4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kern w:val="0"/>
                <w:sz w:val="24"/>
                <w:szCs w:val="24"/>
                <w:highlight w:val="none"/>
                <w:lang w:val="en-US" w:eastAsia="zh-CN" w:bidi="ar"/>
                <w14:textFill>
                  <w14:solidFill>
                    <w14:schemeClr w14:val="tx1"/>
                  </w14:solidFill>
                </w14:textFill>
              </w:rPr>
              <w:t>迁经开行审投资西备字〔2026〕61号</w:t>
            </w:r>
          </w:p>
        </w:tc>
      </w:tr>
      <w:tr w14:paraId="47B6D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35D9E0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总投资</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万元</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tc>
        <w:tc>
          <w:tcPr>
            <w:tcW w:w="2890" w:type="dxa"/>
            <w:noWrap w:val="0"/>
            <w:vAlign w:val="center"/>
          </w:tcPr>
          <w:p w14:paraId="73A764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val="en-US"/>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lang w:val="en-US" w:eastAsia="zh-CN" w:bidi="ar"/>
                <w14:textFill>
                  <w14:solidFill>
                    <w14:schemeClr w14:val="tx1"/>
                  </w14:solidFill>
                </w14:textFill>
              </w:rPr>
              <w:t>10</w:t>
            </w:r>
            <w:r>
              <w:rPr>
                <w:rFonts w:hint="default" w:ascii="Times New Roman" w:hAnsi="Times New Roman" w:cs="Times New Roman"/>
                <w:color w:val="000000" w:themeColor="text1"/>
                <w:spacing w:val="0"/>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spacing w:val="0"/>
                <w:kern w:val="0"/>
                <w:sz w:val="24"/>
                <w:szCs w:val="24"/>
                <w:highlight w:val="none"/>
                <w:lang w:val="en-US" w:eastAsia="zh-CN" w:bidi="ar"/>
                <w14:textFill>
                  <w14:solidFill>
                    <w14:schemeClr w14:val="tx1"/>
                  </w14:solidFill>
                </w14:textFill>
              </w:rPr>
              <w:t>00</w:t>
            </w:r>
          </w:p>
        </w:tc>
        <w:tc>
          <w:tcPr>
            <w:tcW w:w="1829" w:type="dxa"/>
            <w:noWrap w:val="0"/>
            <w:tcMar>
              <w:top w:w="16" w:type="dxa"/>
              <w:left w:w="16" w:type="dxa"/>
              <w:right w:w="16" w:type="dxa"/>
            </w:tcMar>
            <w:vAlign w:val="center"/>
          </w:tcPr>
          <w:p w14:paraId="090035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环保投资</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万元</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tc>
        <w:tc>
          <w:tcPr>
            <w:tcW w:w="2934" w:type="dxa"/>
            <w:noWrap w:val="0"/>
            <w:vAlign w:val="center"/>
          </w:tcPr>
          <w:p w14:paraId="2CBF48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0</w:t>
            </w:r>
          </w:p>
        </w:tc>
      </w:tr>
      <w:tr w14:paraId="29647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622C7E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环保投资占比</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tc>
        <w:tc>
          <w:tcPr>
            <w:tcW w:w="2890" w:type="dxa"/>
            <w:noWrap w:val="0"/>
            <w:vAlign w:val="center"/>
          </w:tcPr>
          <w:p w14:paraId="701331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1.9</w:t>
            </w:r>
          </w:p>
        </w:tc>
        <w:tc>
          <w:tcPr>
            <w:tcW w:w="1829" w:type="dxa"/>
            <w:noWrap w:val="0"/>
            <w:tcMar>
              <w:top w:w="16" w:type="dxa"/>
              <w:left w:w="16" w:type="dxa"/>
              <w:right w:w="16" w:type="dxa"/>
            </w:tcMar>
            <w:vAlign w:val="center"/>
          </w:tcPr>
          <w:p w14:paraId="5BA164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施工工期</w:t>
            </w:r>
          </w:p>
        </w:tc>
        <w:tc>
          <w:tcPr>
            <w:tcW w:w="2934" w:type="dxa"/>
            <w:noWrap w:val="0"/>
            <w:vAlign w:val="center"/>
          </w:tcPr>
          <w:p w14:paraId="484D3E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个月</w:t>
            </w:r>
          </w:p>
        </w:tc>
      </w:tr>
      <w:tr w14:paraId="6F202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17" w:type="dxa"/>
            <w:noWrap w:val="0"/>
            <w:tcMar>
              <w:top w:w="16" w:type="dxa"/>
              <w:left w:w="16" w:type="dxa"/>
              <w:right w:w="16" w:type="dxa"/>
            </w:tcMar>
            <w:vAlign w:val="center"/>
          </w:tcPr>
          <w:p w14:paraId="3F0A34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是否开工建设</w:t>
            </w:r>
          </w:p>
        </w:tc>
        <w:tc>
          <w:tcPr>
            <w:tcW w:w="2890" w:type="dxa"/>
            <w:noWrap w:val="0"/>
            <w:vAlign w:val="center"/>
          </w:tcPr>
          <w:p w14:paraId="6AF43D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52"/>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否</w:t>
            </w:r>
          </w:p>
          <w:p w14:paraId="4490D5D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是：</w:t>
            </w:r>
            <w:r>
              <w:rPr>
                <w:rFonts w:hint="default" w:ascii="Times New Roman" w:hAnsi="Times New Roman" w:eastAsia="宋体" w:cs="Times New Roman"/>
                <w:color w:val="000000" w:themeColor="text1"/>
                <w:spacing w:val="0"/>
                <w:sz w:val="24"/>
                <w:szCs w:val="24"/>
                <w:highlight w:val="none"/>
                <w:u w:val="single"/>
                <w14:textFill>
                  <w14:solidFill>
                    <w14:schemeClr w14:val="tx1"/>
                  </w14:solidFill>
                </w14:textFill>
              </w:rPr>
              <w:t xml:space="preserve">             </w:t>
            </w:r>
          </w:p>
        </w:tc>
        <w:tc>
          <w:tcPr>
            <w:tcW w:w="1829" w:type="dxa"/>
            <w:noWrap w:val="0"/>
            <w:tcMar>
              <w:top w:w="16" w:type="dxa"/>
              <w:left w:w="16" w:type="dxa"/>
              <w:right w:w="16" w:type="dxa"/>
            </w:tcMar>
            <w:vAlign w:val="center"/>
          </w:tcPr>
          <w:p w14:paraId="6456A91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用地</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用海</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p>
          <w:p w14:paraId="5F3D0D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面积</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0"/>
                <w:sz w:val="24"/>
                <w:szCs w:val="24"/>
                <w:highlight w:val="none"/>
                <w:vertAlign w:val="superscript"/>
                <w14:textFill>
                  <w14:solidFill>
                    <w14:schemeClr w14:val="tx1"/>
                  </w14:solidFill>
                </w14:textFill>
              </w:rPr>
              <w:t>2</w:t>
            </w:r>
            <w:r>
              <w:rPr>
                <w:rFonts w:hint="default" w:ascii="Times New Roman" w:hAnsi="Times New Roman" w:cs="Times New Roman"/>
                <w:color w:val="000000" w:themeColor="text1"/>
                <w:spacing w:val="0"/>
                <w:sz w:val="24"/>
                <w:szCs w:val="24"/>
                <w:highlight w:val="none"/>
                <w:vertAlign w:val="superscript"/>
                <w:lang w:eastAsia="zh-CN"/>
                <w14:textFill>
                  <w14:solidFill>
                    <w14:schemeClr w14:val="tx1"/>
                  </w14:solidFill>
                </w14:textFill>
              </w:rPr>
              <w:t>）</w:t>
            </w:r>
          </w:p>
        </w:tc>
        <w:tc>
          <w:tcPr>
            <w:tcW w:w="2934" w:type="dxa"/>
            <w:noWrap w:val="0"/>
            <w:vAlign w:val="center"/>
          </w:tcPr>
          <w:p w14:paraId="0D1A3A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26284.4</w:t>
            </w:r>
          </w:p>
        </w:tc>
      </w:tr>
      <w:tr w14:paraId="4FF9C8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217" w:type="dxa"/>
            <w:noWrap w:val="0"/>
            <w:vAlign w:val="center"/>
          </w:tcPr>
          <w:p w14:paraId="651D0432">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专项评价设置情况</w:t>
            </w:r>
          </w:p>
        </w:tc>
        <w:tc>
          <w:tcPr>
            <w:tcW w:w="7653" w:type="dxa"/>
            <w:gridSpan w:val="3"/>
            <w:noWrap w:val="0"/>
            <w:vAlign w:val="center"/>
          </w:tcPr>
          <w:p w14:paraId="59E4087B">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lang w:val="en-US" w:eastAsia="zh-CN"/>
                <w14:textFill>
                  <w14:solidFill>
                    <w14:schemeClr w14:val="tx1"/>
                  </w14:solidFill>
                </w14:textFill>
              </w:rPr>
              <w:t>无</w:t>
            </w:r>
          </w:p>
        </w:tc>
      </w:tr>
      <w:tr w14:paraId="53706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217" w:type="dxa"/>
            <w:noWrap w:val="0"/>
            <w:vAlign w:val="center"/>
          </w:tcPr>
          <w:p w14:paraId="7A41057D">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规划情况</w:t>
            </w:r>
          </w:p>
        </w:tc>
        <w:tc>
          <w:tcPr>
            <w:tcW w:w="7653" w:type="dxa"/>
            <w:gridSpan w:val="3"/>
            <w:noWrap w:val="0"/>
            <w:vAlign w:val="center"/>
          </w:tcPr>
          <w:p w14:paraId="4BDDC930">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color w:val="000000" w:themeColor="text1"/>
                <w:spacing w:val="0"/>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lang w:val="en-US" w:eastAsia="zh-CN"/>
                <w14:textFill>
                  <w14:solidFill>
                    <w14:schemeClr w14:val="tx1"/>
                  </w14:solidFill>
                </w14:textFill>
              </w:rPr>
              <w:t>规划名称：河北迁安经济开发区总体规划（2022—2030年）</w:t>
            </w:r>
          </w:p>
          <w:p w14:paraId="10D49AED">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left"/>
              <w:rPr>
                <w:rFonts w:hint="default" w:ascii="Times New Roman" w:hAnsi="Times New Roman" w:eastAsia="宋体" w:cs="Times New Roman"/>
                <w:b/>
                <w:bCs/>
                <w:spacing w:val="5"/>
                <w:highlight w:val="none"/>
                <w:lang w:val="en-US" w:eastAsia="zh-CN"/>
              </w:rPr>
            </w:pPr>
            <w:r>
              <w:rPr>
                <w:rFonts w:hint="default" w:ascii="Times New Roman" w:hAnsi="Times New Roman" w:eastAsia="宋体" w:cs="Times New Roman"/>
                <w:color w:val="000000" w:themeColor="text1"/>
                <w:spacing w:val="0"/>
                <w:kern w:val="0"/>
                <w:sz w:val="24"/>
                <w:szCs w:val="24"/>
                <w:highlight w:val="none"/>
                <w:lang w:val="en-US" w:eastAsia="zh-CN"/>
                <w14:textFill>
                  <w14:solidFill>
                    <w14:schemeClr w14:val="tx1"/>
                  </w14:solidFill>
                </w14:textFill>
              </w:rPr>
              <w:t>审批机关及审批文件名称及文号：</w:t>
            </w:r>
            <w:r>
              <w:rPr>
                <w:rFonts w:hint="default" w:ascii="Times New Roman" w:hAnsi="Times New Roman" w:cs="Times New Roman"/>
                <w:color w:val="000000" w:themeColor="text1"/>
                <w:spacing w:val="0"/>
                <w:kern w:val="0"/>
                <w:sz w:val="24"/>
                <w:szCs w:val="24"/>
                <w:highlight w:val="none"/>
                <w:lang w:val="en-US" w:eastAsia="zh-CN"/>
                <w14:textFill>
                  <w14:solidFill>
                    <w14:schemeClr w14:val="tx1"/>
                  </w14:solidFill>
                </w14:textFill>
              </w:rPr>
              <w:t>-</w:t>
            </w:r>
          </w:p>
        </w:tc>
      </w:tr>
      <w:tr w14:paraId="7A5E4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7" w:type="dxa"/>
            <w:noWrap w:val="0"/>
            <w:vAlign w:val="center"/>
          </w:tcPr>
          <w:p w14:paraId="5651913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规划环境影响评价情况</w:t>
            </w:r>
          </w:p>
        </w:tc>
        <w:tc>
          <w:tcPr>
            <w:tcW w:w="7653" w:type="dxa"/>
            <w:gridSpan w:val="3"/>
            <w:noWrap w:val="0"/>
            <w:vAlign w:val="center"/>
          </w:tcPr>
          <w:p w14:paraId="2F382B8F">
            <w:pPr>
              <w:pStyle w:val="4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default" w:ascii="Times New Roman" w:hAnsi="Times New Roman" w:eastAsia="宋体" w:cs="Times New Roman"/>
                <w:color w:val="000000" w:themeColor="text1"/>
                <w:spacing w:val="0"/>
                <w:kern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规划环评文件名称：《河北迁安经济开发区总体规划</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2022</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2030年</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环境影响报告书》</w:t>
            </w:r>
          </w:p>
          <w:p w14:paraId="37B359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pacing w:val="0"/>
                <w:kern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规划环评审查机关：河北省生态环境厅</w:t>
            </w:r>
          </w:p>
          <w:p w14:paraId="1966D3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审查文件名称：《关于</w:t>
            </w:r>
            <w:r>
              <w:rPr>
                <w:rFonts w:hint="default" w:ascii="Times New Roman" w:hAnsi="Times New Roman"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河北迁安经济开发区总体规划</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2022</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2030年</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环境影响报告书</w:t>
            </w:r>
            <w:r>
              <w:rPr>
                <w:rFonts w:hint="default" w:ascii="Times New Roman" w:hAnsi="Times New Roman"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的审查意见》</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冀环环评函[</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instrText xml:space="preserve"> HYPERLINK \l "bookmark2" </w:instrTex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2025</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fldChar w:fldCharType="end"/>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]1283号</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p>
        </w:tc>
      </w:tr>
      <w:tr w14:paraId="4EF14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17" w:type="dxa"/>
            <w:noWrap w:val="0"/>
            <w:vAlign w:val="center"/>
          </w:tcPr>
          <w:p w14:paraId="638AFC13">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kern w:val="0"/>
                <w:sz w:val="24"/>
                <w:szCs w:val="24"/>
                <w:highlight w:val="green"/>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规划及规划环境影响评价符合性分析</w:t>
            </w:r>
          </w:p>
        </w:tc>
        <w:tc>
          <w:tcPr>
            <w:tcW w:w="7653" w:type="dxa"/>
            <w:gridSpan w:val="3"/>
            <w:noWrap w:val="0"/>
            <w:vAlign w:val="center"/>
          </w:tcPr>
          <w:p w14:paraId="52E1B460">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96" w:firstLineChars="200"/>
              <w:textAlignment w:val="auto"/>
              <w:rPr>
                <w:rFonts w:hint="default" w:ascii="Times New Roman" w:hAnsi="Times New Roman" w:eastAsia="Times New Roman" w:cs="Times New Roman"/>
                <w:b/>
                <w:bCs/>
                <w:spacing w:val="4"/>
                <w:sz w:val="24"/>
                <w:szCs w:val="24"/>
              </w:rPr>
            </w:pPr>
            <w:r>
              <w:rPr>
                <w:rFonts w:hint="default" w:ascii="Times New Roman" w:hAnsi="Times New Roman" w:eastAsia="Times New Roman" w:cs="Times New Roman"/>
                <w:b/>
                <w:bCs/>
                <w:spacing w:val="4"/>
                <w:sz w:val="24"/>
                <w:szCs w:val="24"/>
              </w:rPr>
              <w:t>1.与河北迁安经济开发区总体规划符合性分析</w:t>
            </w:r>
          </w:p>
          <w:p w14:paraId="2C31CFAC">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96" w:firstLineChars="200"/>
              <w:textAlignment w:val="auto"/>
              <w:rPr>
                <w:rFonts w:hint="default" w:ascii="Times New Roman" w:hAnsi="Times New Roman" w:eastAsia="Times New Roman" w:cs="Times New Roman"/>
                <w:b/>
                <w:bCs/>
                <w:spacing w:val="4"/>
                <w:sz w:val="24"/>
                <w:szCs w:val="24"/>
              </w:rPr>
            </w:pPr>
            <w:r>
              <w:rPr>
                <w:rFonts w:hint="default" w:ascii="Times New Roman" w:hAnsi="Times New Roman" w:eastAsia="Times New Roman" w:cs="Times New Roman"/>
                <w:b/>
                <w:bCs/>
                <w:spacing w:val="4"/>
                <w:sz w:val="24"/>
                <w:szCs w:val="24"/>
              </w:rPr>
              <w:t>1.1规划概况</w:t>
            </w:r>
          </w:p>
          <w:p w14:paraId="0DA49FC3">
            <w:pPr>
              <w:pStyle w:val="4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宋体" w:cs="Times New Roman"/>
                <w:color w:val="000000" w:themeColor="text1"/>
                <w:spacing w:val="0"/>
                <w:kern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河北迁安经济开发区</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以下</w:t>
            </w:r>
            <w:r>
              <w:rPr>
                <w:rFonts w:hint="default" w:ascii="Times New Roman" w:hAnsi="Times New Roman" w:cs="Times New Roman"/>
                <w:color w:val="000000" w:themeColor="text1"/>
                <w:spacing w:val="0"/>
                <w:kern w:val="0"/>
                <w:sz w:val="24"/>
                <w:highlight w:val="none"/>
                <w:lang w:val="en-US" w:eastAsia="zh-CN"/>
                <w14:textFill>
                  <w14:solidFill>
                    <w14:schemeClr w14:val="tx1"/>
                  </w14:solidFill>
                </w14:textFill>
              </w:rPr>
              <w:t>简</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称“开发区”</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成立于2010年，位于迁安市域西南侧，是河北省首家千亿级工业聚集区、京津冀协同发展40个重点园区之一，蝉联省能级提升综合示范开发区。经十余载的发展壮大，开发区内基本形成了以钢铁冶金产业为龙头，带动装备制造、煤化工、环保等上下游产业融合发展、链式集聚的良性发展格局。</w:t>
            </w:r>
          </w:p>
          <w:p w14:paraId="19BEC597">
            <w:pPr>
              <w:pStyle w:val="4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宋体" w:cs="Times New Roman"/>
                <w:color w:val="000000" w:themeColor="text1"/>
                <w:spacing w:val="0"/>
                <w:kern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为进一步推动开发区产业结构转型升级，优化区域发展空间和布局，河北迁安经济开发区管理委员会</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迁安高新技术产业开发区管理委员会</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结合国土空间规划、“三区三线”成果及省政府批复的面积，拟对开发区规划范围、规划面积和产业进行优化调整，并编制了《河北迁安经济开发区总体规划</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2022</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2030年</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w:t>
            </w:r>
          </w:p>
          <w:p w14:paraId="7EC76904">
            <w:pPr>
              <w:pStyle w:val="4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宋体" w:cs="Times New Roman"/>
                <w:color w:val="000000" w:themeColor="text1"/>
                <w:spacing w:val="0"/>
                <w:kern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规划开发区包含智能创新产业园、钢铁焦化建材产业园、冶金建材产业园、现代装备及循环产业园、钢铁及节能环保产业园、高端装备及氢能产业园。规划以精品钢铁及下游耗钢、装备制造、煤化工及新材料为主，建立循环经济体系，带动废弃资源综合利用、绿色建材等环保产业的发展。规划期限2022</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2030年。2025年6月唐山立业工程技术咨询有限公司编制完成了《河北迁安经济开发区总体规划</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2022</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2030年</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环境影响报告书》，河北省生态环境厅于2025年6月29日出具该环境影响报告书的审查意见，文号“冀环环评函[</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fldChar w:fldCharType="begin"/>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instrText xml:space="preserve"> HYPERLINK \l "bookmark3" </w:instrTex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2025</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fldChar w:fldCharType="end"/>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]l283号”</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见附件</w:t>
            </w:r>
            <w:r>
              <w:rPr>
                <w:rFonts w:hint="default" w:ascii="Times New Roman" w:hAnsi="Times New Roman" w:eastAsia="宋体" w:cs="Times New Roman"/>
                <w:color w:val="000000" w:themeColor="text1"/>
                <w:spacing w:val="0"/>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kern w:val="0"/>
                <w:sz w:val="24"/>
                <w:highlight w:val="none"/>
                <w14:textFill>
                  <w14:solidFill>
                    <w14:schemeClr w14:val="tx1"/>
                  </w14:solidFill>
                </w14:textFill>
              </w:rPr>
              <w:t>。</w:t>
            </w:r>
          </w:p>
          <w:p w14:paraId="3629E3E5">
            <w:pPr>
              <w:pStyle w:val="95"/>
              <w:keepNext w:val="0"/>
              <w:keepLines w:val="0"/>
              <w:suppressLineNumbers w:val="0"/>
              <w:spacing w:before="0" w:beforeAutospacing="0" w:after="0" w:afterAutospacing="0" w:line="228" w:lineRule="auto"/>
              <w:ind w:left="535" w:right="0"/>
              <w:rPr>
                <w:rFonts w:hint="default" w:ascii="Times New Roman" w:hAnsi="Times New Roman" w:cs="Times New Roman"/>
                <w:sz w:val="24"/>
                <w:szCs w:val="24"/>
              </w:rPr>
            </w:pPr>
            <w:r>
              <w:rPr>
                <w:rFonts w:hint="default" w:ascii="Times New Roman" w:hAnsi="Times New Roman" w:eastAsia="Times New Roman" w:cs="Times New Roman"/>
                <w:b/>
                <w:bCs/>
                <w:spacing w:val="4"/>
                <w:sz w:val="24"/>
                <w:szCs w:val="24"/>
              </w:rPr>
              <w:t>1.2</w:t>
            </w:r>
            <w:r>
              <w:rPr>
                <w:rFonts w:hint="default" w:ascii="Times New Roman" w:hAnsi="Times New Roman" w:cs="Times New Roman"/>
                <w:b/>
                <w:bCs/>
                <w:spacing w:val="4"/>
                <w:sz w:val="24"/>
                <w:szCs w:val="24"/>
              </w:rPr>
              <w:t>功能分区</w:t>
            </w:r>
          </w:p>
          <w:p w14:paraId="5B0B43DD">
            <w:pPr>
              <w:pStyle w:val="95"/>
              <w:keepNext w:val="0"/>
              <w:keepLines w:val="0"/>
              <w:suppressLineNumbers w:val="0"/>
              <w:spacing w:before="160" w:beforeAutospacing="0" w:after="0" w:afterAutospacing="0" w:line="377" w:lineRule="auto"/>
              <w:ind w:left="112" w:right="102" w:firstLine="417"/>
              <w:jc w:val="both"/>
              <w:rPr>
                <w:rFonts w:hint="default" w:ascii="Times New Roman" w:hAnsi="Times New Roman" w:cs="Times New Roman"/>
                <w:sz w:val="24"/>
                <w:szCs w:val="24"/>
              </w:rPr>
            </w:pPr>
            <w:r>
              <w:rPr>
                <w:rFonts w:hint="default" w:ascii="Times New Roman" w:hAnsi="Times New Roman" w:cs="Times New Roman"/>
                <w:spacing w:val="8"/>
                <w:sz w:val="24"/>
                <w:szCs w:val="24"/>
              </w:rPr>
              <w:t>根据《河北迁安经济开发区总体规划</w:t>
            </w:r>
            <w:r>
              <w:rPr>
                <w:rFonts w:hint="default" w:ascii="Times New Roman" w:hAnsi="Times New Roman" w:cs="Times New Roman"/>
                <w:spacing w:val="8"/>
                <w:sz w:val="24"/>
                <w:szCs w:val="24"/>
                <w:lang w:eastAsia="zh-CN"/>
              </w:rPr>
              <w:t>（</w:t>
            </w:r>
            <w:r>
              <w:rPr>
                <w:rFonts w:hint="default" w:ascii="Times New Roman" w:hAnsi="Times New Roman" w:eastAsia="Times New Roman" w:cs="Times New Roman"/>
                <w:spacing w:val="8"/>
                <w:sz w:val="24"/>
                <w:szCs w:val="24"/>
              </w:rPr>
              <w:t>2022</w:t>
            </w:r>
            <w:r>
              <w:rPr>
                <w:rFonts w:hint="default" w:ascii="Times New Roman" w:hAnsi="Times New Roman" w:cs="Times New Roman"/>
                <w:spacing w:val="8"/>
                <w:sz w:val="24"/>
                <w:szCs w:val="24"/>
                <w:lang w:eastAsia="zh-CN"/>
              </w:rPr>
              <w:t>—</w:t>
            </w:r>
            <w:r>
              <w:rPr>
                <w:rFonts w:hint="default" w:ascii="Times New Roman" w:hAnsi="Times New Roman" w:eastAsia="Times New Roman" w:cs="Times New Roman"/>
                <w:spacing w:val="8"/>
                <w:sz w:val="24"/>
                <w:szCs w:val="24"/>
              </w:rPr>
              <w:t>2030</w:t>
            </w:r>
            <w:r>
              <w:rPr>
                <w:rFonts w:hint="default" w:ascii="Times New Roman" w:hAnsi="Times New Roman" w:cs="Times New Roman"/>
                <w:spacing w:val="8"/>
                <w:sz w:val="24"/>
                <w:szCs w:val="24"/>
              </w:rPr>
              <w:t>年</w:t>
            </w:r>
            <w:r>
              <w:rPr>
                <w:rFonts w:hint="default" w:ascii="Times New Roman" w:hAnsi="Times New Roman" w:cs="Times New Roman"/>
                <w:spacing w:val="8"/>
                <w:sz w:val="24"/>
                <w:szCs w:val="24"/>
                <w:lang w:eastAsia="zh-CN"/>
              </w:rPr>
              <w:t>）</w:t>
            </w:r>
            <w:r>
              <w:rPr>
                <w:rFonts w:hint="default" w:ascii="Times New Roman" w:hAnsi="Times New Roman" w:cs="Times New Roman"/>
                <w:spacing w:val="8"/>
                <w:sz w:val="24"/>
                <w:szCs w:val="24"/>
              </w:rPr>
              <w:t>》</w:t>
            </w:r>
            <w:r>
              <w:rPr>
                <w:rFonts w:hint="default" w:ascii="Times New Roman" w:hAnsi="Times New Roman" w:cs="Times New Roman"/>
                <w:spacing w:val="7"/>
                <w:sz w:val="24"/>
                <w:szCs w:val="24"/>
              </w:rPr>
              <w:t>，规划空间结构为</w:t>
            </w:r>
            <w:r>
              <w:rPr>
                <w:rFonts w:hint="default" w:ascii="Times New Roman" w:hAnsi="Times New Roman" w:eastAsia="Times New Roman" w:cs="Times New Roman"/>
                <w:spacing w:val="7"/>
                <w:sz w:val="24"/>
                <w:szCs w:val="24"/>
              </w:rPr>
              <w:t>“</w:t>
            </w:r>
            <w:r>
              <w:rPr>
                <w:rFonts w:hint="default" w:ascii="Times New Roman" w:hAnsi="Times New Roman" w:cs="Times New Roman"/>
                <w:spacing w:val="7"/>
                <w:sz w:val="24"/>
                <w:szCs w:val="24"/>
              </w:rPr>
              <w:t>一主</w:t>
            </w:r>
            <w:r>
              <w:rPr>
                <w:rFonts w:hint="default" w:ascii="Times New Roman" w:hAnsi="Times New Roman" w:cs="Times New Roman"/>
                <w:spacing w:val="6"/>
                <w:sz w:val="24"/>
                <w:szCs w:val="24"/>
              </w:rPr>
              <w:t>四星多片区</w:t>
            </w:r>
            <w:r>
              <w:rPr>
                <w:rFonts w:hint="default" w:ascii="Times New Roman" w:hAnsi="Times New Roman" w:eastAsia="Times New Roman" w:cs="Times New Roman"/>
                <w:spacing w:val="6"/>
                <w:sz w:val="24"/>
                <w:szCs w:val="24"/>
              </w:rPr>
              <w:t>”</w:t>
            </w:r>
            <w:r>
              <w:rPr>
                <w:rFonts w:hint="default" w:ascii="Times New Roman" w:hAnsi="Times New Roman" w:cs="Times New Roman"/>
                <w:spacing w:val="6"/>
                <w:sz w:val="24"/>
                <w:szCs w:val="24"/>
              </w:rPr>
              <w:t>的组团布局形态。其中：</w:t>
            </w:r>
            <w:r>
              <w:rPr>
                <w:rFonts w:hint="default" w:ascii="Times New Roman" w:hAnsi="Times New Roman" w:eastAsia="Times New Roman" w:cs="Times New Roman"/>
                <w:spacing w:val="6"/>
                <w:sz w:val="24"/>
                <w:szCs w:val="24"/>
              </w:rPr>
              <w:t>“</w:t>
            </w:r>
            <w:r>
              <w:rPr>
                <w:rFonts w:hint="default" w:ascii="Times New Roman" w:hAnsi="Times New Roman" w:cs="Times New Roman"/>
                <w:spacing w:val="6"/>
                <w:sz w:val="24"/>
                <w:szCs w:val="24"/>
              </w:rPr>
              <w:t>一主</w:t>
            </w:r>
            <w:r>
              <w:rPr>
                <w:rFonts w:hint="default" w:ascii="Times New Roman" w:hAnsi="Times New Roman" w:eastAsia="Times New Roman" w:cs="Times New Roman"/>
                <w:spacing w:val="6"/>
                <w:sz w:val="24"/>
                <w:szCs w:val="24"/>
              </w:rPr>
              <w:t>”</w:t>
            </w:r>
            <w:r>
              <w:rPr>
                <w:rFonts w:hint="default" w:ascii="Times New Roman" w:hAnsi="Times New Roman" w:cs="Times New Roman"/>
                <w:spacing w:val="6"/>
                <w:sz w:val="24"/>
                <w:szCs w:val="24"/>
              </w:rPr>
              <w:t>指迁安市经济开发区主体功能区，</w:t>
            </w:r>
            <w:r>
              <w:rPr>
                <w:rFonts w:hint="default" w:ascii="Times New Roman" w:hAnsi="Times New Roman" w:cs="Times New Roman"/>
                <w:spacing w:val="5"/>
                <w:sz w:val="24"/>
                <w:szCs w:val="24"/>
              </w:rPr>
              <w:t>分别</w:t>
            </w:r>
            <w:r>
              <w:rPr>
                <w:rFonts w:hint="default" w:ascii="Times New Roman" w:hAnsi="Times New Roman" w:cs="Times New Roman"/>
                <w:spacing w:val="9"/>
                <w:sz w:val="24"/>
                <w:szCs w:val="24"/>
              </w:rPr>
              <w:t>为智能创新产业园和钢铁焦化建材产业园；</w:t>
            </w:r>
            <w:r>
              <w:rPr>
                <w:rFonts w:hint="default" w:ascii="Times New Roman" w:hAnsi="Times New Roman" w:eastAsia="Times New Roman" w:cs="Times New Roman"/>
                <w:spacing w:val="9"/>
                <w:sz w:val="24"/>
                <w:szCs w:val="24"/>
              </w:rPr>
              <w:t>“</w:t>
            </w:r>
            <w:r>
              <w:rPr>
                <w:rFonts w:hint="default" w:ascii="Times New Roman" w:hAnsi="Times New Roman" w:cs="Times New Roman"/>
                <w:spacing w:val="9"/>
                <w:sz w:val="24"/>
                <w:szCs w:val="24"/>
              </w:rPr>
              <w:t>四星</w:t>
            </w:r>
            <w:r>
              <w:rPr>
                <w:rFonts w:hint="default" w:ascii="Times New Roman" w:hAnsi="Times New Roman" w:eastAsia="Times New Roman" w:cs="Times New Roman"/>
                <w:spacing w:val="9"/>
                <w:sz w:val="24"/>
                <w:szCs w:val="24"/>
              </w:rPr>
              <w:t>”</w:t>
            </w:r>
            <w:r>
              <w:rPr>
                <w:rFonts w:hint="default" w:ascii="Times New Roman" w:hAnsi="Times New Roman" w:cs="Times New Roman"/>
                <w:spacing w:val="9"/>
                <w:sz w:val="24"/>
                <w:szCs w:val="24"/>
              </w:rPr>
              <w:t>指迁安经济开发区</w:t>
            </w:r>
            <w:r>
              <w:rPr>
                <w:rFonts w:hint="default" w:ascii="Times New Roman" w:hAnsi="Times New Roman" w:cs="Times New Roman"/>
                <w:spacing w:val="8"/>
                <w:sz w:val="24"/>
                <w:szCs w:val="24"/>
              </w:rPr>
              <w:t>的外围地块，</w:t>
            </w:r>
            <w:r>
              <w:rPr>
                <w:rFonts w:hint="default" w:ascii="Times New Roman" w:hAnsi="Times New Roman" w:cs="Times New Roman"/>
                <w:spacing w:val="9"/>
                <w:sz w:val="24"/>
                <w:szCs w:val="24"/>
              </w:rPr>
              <w:t>具体为冶金建材产业园、现代装备及循环产业园、钢铁及节能环保产业园、高端装备及氢能产业园；</w:t>
            </w:r>
            <w:r>
              <w:rPr>
                <w:rFonts w:hint="default" w:ascii="Times New Roman" w:hAnsi="Times New Roman" w:eastAsia="Times New Roman" w:cs="Times New Roman"/>
                <w:spacing w:val="9"/>
                <w:sz w:val="24"/>
                <w:szCs w:val="24"/>
              </w:rPr>
              <w:t>“</w:t>
            </w:r>
            <w:r>
              <w:rPr>
                <w:rFonts w:hint="default" w:ascii="Times New Roman" w:hAnsi="Times New Roman" w:cs="Times New Roman"/>
                <w:spacing w:val="9"/>
                <w:sz w:val="24"/>
                <w:szCs w:val="24"/>
              </w:rPr>
              <w:t>多片区</w:t>
            </w:r>
            <w:r>
              <w:rPr>
                <w:rFonts w:hint="default" w:ascii="Times New Roman" w:hAnsi="Times New Roman" w:eastAsia="Times New Roman" w:cs="Times New Roman"/>
                <w:spacing w:val="9"/>
                <w:sz w:val="24"/>
                <w:szCs w:val="24"/>
              </w:rPr>
              <w:t>”</w:t>
            </w:r>
            <w:r>
              <w:rPr>
                <w:rFonts w:hint="default" w:ascii="Times New Roman" w:hAnsi="Times New Roman" w:cs="Times New Roman"/>
                <w:spacing w:val="9"/>
                <w:sz w:val="24"/>
                <w:szCs w:val="24"/>
              </w:rPr>
              <w:t>指主体功能区的四个特色产业区，即智能</w:t>
            </w:r>
            <w:r>
              <w:rPr>
                <w:rFonts w:hint="default" w:ascii="Times New Roman" w:hAnsi="Times New Roman" w:cs="Times New Roman"/>
                <w:spacing w:val="8"/>
                <w:sz w:val="24"/>
                <w:szCs w:val="24"/>
              </w:rPr>
              <w:t>创新产业园内</w:t>
            </w:r>
            <w:r>
              <w:rPr>
                <w:rFonts w:hint="default" w:ascii="Times New Roman" w:hAnsi="Times New Roman" w:cs="Times New Roman"/>
                <w:spacing w:val="9"/>
                <w:sz w:val="24"/>
                <w:szCs w:val="24"/>
              </w:rPr>
              <w:t>的钢铁产业区、装备制造产业区和钢铁焦化建材产业园内的煤化工及钢铁建材产业</w:t>
            </w:r>
            <w:r>
              <w:rPr>
                <w:rFonts w:hint="default" w:ascii="Times New Roman" w:hAnsi="Times New Roman" w:cs="Times New Roman"/>
                <w:spacing w:val="7"/>
                <w:sz w:val="24"/>
                <w:szCs w:val="24"/>
              </w:rPr>
              <w:t>区和化工集中区</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南部片区</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w:t>
            </w:r>
          </w:p>
          <w:p w14:paraId="29E1C2D6">
            <w:pPr>
              <w:pStyle w:val="95"/>
              <w:keepNext w:val="0"/>
              <w:keepLines w:val="0"/>
              <w:suppressLineNumbers w:val="0"/>
              <w:spacing w:before="1" w:beforeAutospacing="0" w:after="0" w:afterAutospacing="0" w:line="377" w:lineRule="auto"/>
              <w:ind w:left="112" w:right="141" w:firstLine="418"/>
              <w:rPr>
                <w:rFonts w:hint="default" w:ascii="Times New Roman" w:hAnsi="Times New Roman" w:cs="Times New Roman"/>
                <w:sz w:val="24"/>
                <w:szCs w:val="24"/>
              </w:rPr>
            </w:pPr>
            <w:r>
              <w:rPr>
                <w:rFonts w:hint="default" w:ascii="Times New Roman" w:hAnsi="Times New Roman" w:cs="Times New Roman"/>
                <w:spacing w:val="8"/>
                <w:sz w:val="24"/>
                <w:szCs w:val="24"/>
              </w:rPr>
              <w:t>开发区规划以精品钢铁及下游耗钢、装备制造、煤化工及新材料为主导产业，</w:t>
            </w:r>
            <w:r>
              <w:rPr>
                <w:rFonts w:hint="default" w:ascii="Times New Roman" w:hAnsi="Times New Roman" w:cs="Times New Roman"/>
                <w:spacing w:val="9"/>
                <w:sz w:val="24"/>
                <w:szCs w:val="24"/>
              </w:rPr>
              <w:t>建立循环经济体系，带动废弃资源综合利用、绿色建材等环保产业的发展。</w:t>
            </w:r>
          </w:p>
          <w:p w14:paraId="3BD92BA1">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z w:val="24"/>
                <w:szCs w:val="24"/>
              </w:rPr>
            </w:pPr>
            <w:r>
              <w:rPr>
                <w:rFonts w:hint="default" w:ascii="Times New Roman" w:hAnsi="Times New Roman" w:cs="Times New Roman"/>
                <w:spacing w:val="7"/>
                <w:sz w:val="24"/>
                <w:szCs w:val="24"/>
              </w:rPr>
              <w:t>项目位于河北迁安经济开发区的智能创新产业园</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钢铁产业区。该区发展方向为</w:t>
            </w:r>
            <w:r>
              <w:rPr>
                <w:rFonts w:hint="default" w:ascii="Times New Roman" w:hAnsi="Times New Roman" w:cs="Times New Roman"/>
                <w:spacing w:val="9"/>
                <w:sz w:val="24"/>
                <w:szCs w:val="24"/>
              </w:rPr>
              <w:t>钢铁及下游耗钢产业</w:t>
            </w:r>
            <w:r>
              <w:rPr>
                <w:rFonts w:hint="eastAsia" w:ascii="Times New Roman" w:hAnsi="Times New Roman" w:cs="Times New Roman"/>
                <w:spacing w:val="9"/>
                <w:sz w:val="24"/>
                <w:szCs w:val="24"/>
                <w:lang w:eastAsia="zh-CN"/>
              </w:rPr>
              <w:t>，</w:t>
            </w:r>
            <w:r>
              <w:rPr>
                <w:rFonts w:hint="default" w:ascii="Times New Roman" w:hAnsi="Times New Roman" w:cs="Times New Roman"/>
                <w:spacing w:val="9"/>
                <w:sz w:val="24"/>
                <w:szCs w:val="24"/>
              </w:rPr>
              <w:t>重点发展以板材、型钢为主的耗钢产业；环保产业：重点发</w:t>
            </w:r>
            <w:r>
              <w:rPr>
                <w:rFonts w:hint="default" w:ascii="Times New Roman" w:hAnsi="Times New Roman" w:cs="Times New Roman"/>
                <w:spacing w:val="15"/>
                <w:sz w:val="24"/>
                <w:szCs w:val="24"/>
              </w:rPr>
              <w:t>展以上游废钢破碎、汽车拆解和下游钢铁及</w:t>
            </w:r>
            <w:r>
              <w:rPr>
                <w:rFonts w:hint="default" w:ascii="Times New Roman" w:hAnsi="Times New Roman" w:cs="Times New Roman"/>
                <w:spacing w:val="15"/>
                <w:sz w:val="24"/>
                <w:szCs w:val="24"/>
                <w:highlight w:val="none"/>
              </w:rPr>
              <w:t>冶金固体废物综合利用为主的环保产</w:t>
            </w:r>
            <w:r>
              <w:rPr>
                <w:rFonts w:hint="default" w:ascii="Times New Roman" w:hAnsi="Times New Roman" w:cs="Times New Roman"/>
                <w:spacing w:val="1"/>
                <w:sz w:val="24"/>
                <w:szCs w:val="24"/>
                <w:highlight w:val="none"/>
              </w:rPr>
              <w:t>业</w:t>
            </w:r>
            <w:r>
              <w:rPr>
                <w:rFonts w:hint="default" w:ascii="Times New Roman" w:hAnsi="Times New Roman" w:cs="Times New Roman"/>
                <w:spacing w:val="1"/>
                <w:sz w:val="24"/>
                <w:szCs w:val="24"/>
              </w:rPr>
              <w:t>。</w:t>
            </w:r>
          </w:p>
          <w:p w14:paraId="3DC8ED26">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rPr>
            </w:pPr>
            <w:r>
              <w:rPr>
                <w:rFonts w:hint="default" w:ascii="Times New Roman" w:hAnsi="Times New Roman" w:cs="Times New Roman"/>
                <w:spacing w:val="7"/>
                <w:sz w:val="24"/>
                <w:szCs w:val="24"/>
                <w:lang w:eastAsia="zh-CN"/>
              </w:rPr>
              <w:t>项目位于河北迁安经济开发区的智能创新产业园－钢铁产业区（见图1-1）。</w:t>
            </w:r>
          </w:p>
          <w:p w14:paraId="7DC7BB85">
            <w:pPr>
              <w:keepNext w:val="0"/>
              <w:keepLines w:val="0"/>
              <w:suppressLineNumbers w:val="0"/>
              <w:spacing w:before="0" w:beforeAutospacing="0" w:after="0" w:afterAutospacing="0" w:line="241" w:lineRule="auto"/>
              <w:ind w:left="0" w:right="0"/>
              <w:rPr>
                <w:rFonts w:hint="default" w:ascii="Times New Roman" w:hAnsi="Times New Roman" w:cs="Times New Roman"/>
                <w:sz w:val="21"/>
              </w:rPr>
            </w:pPr>
          </w:p>
          <w:p w14:paraId="7E912138">
            <w:pPr>
              <w:keepNext w:val="0"/>
              <w:keepLines w:val="0"/>
              <w:suppressLineNumbers w:val="0"/>
              <w:spacing w:before="0" w:beforeAutospacing="0" w:after="0" w:afterAutospacing="0" w:line="241" w:lineRule="auto"/>
              <w:ind w:left="0" w:right="0"/>
              <w:jc w:val="center"/>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663360" behindDoc="0" locked="0" layoutInCell="1" allowOverlap="1">
                      <wp:simplePos x="0" y="0"/>
                      <wp:positionH relativeFrom="column">
                        <wp:posOffset>3288665</wp:posOffset>
                      </wp:positionH>
                      <wp:positionV relativeFrom="paragraph">
                        <wp:posOffset>60960</wp:posOffset>
                      </wp:positionV>
                      <wp:extent cx="899795" cy="311785"/>
                      <wp:effectExtent l="331470" t="6350" r="6985" b="367665"/>
                      <wp:wrapNone/>
                      <wp:docPr id="16" name="矩形标注 16"/>
                      <wp:cNvGraphicFramePr/>
                      <a:graphic xmlns:a="http://schemas.openxmlformats.org/drawingml/2006/main">
                        <a:graphicData uri="http://schemas.microsoft.com/office/word/2010/wordprocessingShape">
                          <wps:wsp>
                            <wps:cNvSpPr/>
                            <wps:spPr>
                              <a:xfrm>
                                <a:off x="4197985" y="1433195"/>
                                <a:ext cx="899795" cy="311785"/>
                              </a:xfrm>
                              <a:prstGeom prst="wedgeRectCallout">
                                <a:avLst>
                                  <a:gd name="adj1" fmla="val -81968"/>
                                  <a:gd name="adj2" fmla="val 157128"/>
                                </a:avLst>
                              </a:prstGeom>
                              <a:noFill/>
                              <a:ln>
                                <a:gradFill>
                                  <a:gsLst>
                                    <a:gs pos="50410">
                                      <a:srgbClr val="1F1F1F"/>
                                    </a:gs>
                                    <a:gs pos="0">
                                      <a:srgbClr val="020202"/>
                                    </a:gs>
                                    <a:gs pos="100000">
                                      <a:srgbClr val="424242"/>
                                    </a:gs>
                                  </a:gsLst>
                                  <a:lin ang="5400000" scaled="0"/>
                                </a:gradFill>
                              </a:ln>
                            </wps:spPr>
                            <wps:style>
                              <a:lnRef idx="2">
                                <a:schemeClr val="accent1">
                                  <a:lumMod val="75000"/>
                                </a:schemeClr>
                              </a:lnRef>
                              <a:fillRef idx="1">
                                <a:schemeClr val="accent1"/>
                              </a:fillRef>
                              <a:effectRef idx="0">
                                <a:srgbClr val="FFFFFF"/>
                              </a:effectRef>
                              <a:fontRef idx="minor">
                                <a:schemeClr val="lt1"/>
                              </a:fontRef>
                            </wps:style>
                            <wps:txbx>
                              <w:txbxContent>
                                <w:p w14:paraId="28ABC816">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58.95pt;margin-top:4.8pt;height:24.55pt;width:70.85pt;z-index:251663360;v-text-anchor:middle;mso-width-relative:page;mso-height-relative:page;" filled="f" stroked="t" coordsize="21600,21600" o:gfxdata="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DbNhaXZAAAACAEAAA8AAAAAAAAA&#10;AQAgAAAAIgAAAGRycy9kb3ducmV2LnhtbFBLAQIUABQAAAAIAIdO4kBu7wUW9AIAAPQFAAAOAAAA&#10;AAAAAAEAIAAAACgBAABkcnMvZTJvRG9jLnhtbFBLBQYAAAAABgAGAFkBAACOBgAAAAA=&#10;" adj="-6905,44740">
                      <v:fill on="f" focussize="0,0"/>
                      <v:stroke weight="1pt" color="#000000" miterlimit="8" joinstyle="miter"/>
                      <v:imagedata o:title=""/>
                      <o:lock v:ext="edit" aspectratio="f"/>
                      <v:textbox>
                        <w:txbxContent>
                          <w:p w14:paraId="28ABC816">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项目位置</w:t>
                            </w:r>
                          </w:p>
                        </w:txbxContent>
                      </v:textbox>
                    </v:shape>
                  </w:pict>
                </mc:Fallback>
              </mc:AlternateContent>
            </w:r>
            <w:r>
              <w:rPr>
                <w:rFonts w:hint="default" w:ascii="Times New Roman" w:hAnsi="Times New Roman" w:cs="Times New Roman"/>
              </w:rPr>
              <w:drawing>
                <wp:inline distT="0" distB="0" distL="114300" distR="114300">
                  <wp:extent cx="3491865" cy="2940050"/>
                  <wp:effectExtent l="0" t="0" r="13335" b="1270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9"/>
                          <a:stretch>
                            <a:fillRect/>
                          </a:stretch>
                        </pic:blipFill>
                        <pic:spPr>
                          <a:xfrm>
                            <a:off x="0" y="0"/>
                            <a:ext cx="3491865" cy="2940050"/>
                          </a:xfrm>
                          <a:prstGeom prst="rect">
                            <a:avLst/>
                          </a:prstGeom>
                          <a:noFill/>
                          <a:ln>
                            <a:noFill/>
                          </a:ln>
                        </pic:spPr>
                      </pic:pic>
                    </a:graphicData>
                  </a:graphic>
                </wp:inline>
              </w:drawing>
            </w:r>
          </w:p>
          <w:p w14:paraId="6EAA1895">
            <w:pPr>
              <w:keepNext w:val="0"/>
              <w:keepLines w:val="0"/>
              <w:suppressLineNumbers w:val="0"/>
              <w:spacing w:before="0" w:beforeAutospacing="0" w:after="0" w:afterAutospacing="0" w:line="241" w:lineRule="auto"/>
              <w:ind w:left="0" w:right="0"/>
              <w:jc w:val="center"/>
              <w:rPr>
                <w:rFonts w:hint="default" w:ascii="Times New Roman" w:hAnsi="Times New Roman" w:cs="Times New Roman"/>
                <w:b/>
                <w:bCs/>
                <w:spacing w:val="5"/>
                <w:lang w:eastAsia="zh-CN"/>
              </w:rPr>
            </w:pPr>
            <w:r>
              <w:rPr>
                <w:rFonts w:hint="default" w:ascii="Times New Roman" w:hAnsi="Times New Roman" w:cs="Times New Roman"/>
                <w:b/>
                <w:bCs/>
                <w:spacing w:val="5"/>
              </w:rPr>
              <w:t>图</w:t>
            </w:r>
            <w:r>
              <w:rPr>
                <w:rFonts w:hint="default" w:ascii="Times New Roman" w:hAnsi="Times New Roman" w:eastAsia="Times New Roman" w:cs="Times New Roman"/>
                <w:b/>
                <w:bCs/>
                <w:spacing w:val="5"/>
              </w:rPr>
              <w:t xml:space="preserve">1-1    </w:t>
            </w:r>
            <w:r>
              <w:rPr>
                <w:rFonts w:hint="default" w:ascii="Times New Roman" w:hAnsi="Times New Roman" w:eastAsia="Times New Roman" w:cs="Times New Roman"/>
                <w:b/>
                <w:bCs/>
                <w:spacing w:val="5"/>
                <w:lang w:eastAsia="zh-CN"/>
              </w:rPr>
              <w:t>项目在开发区产业布局图中位置</w:t>
            </w:r>
          </w:p>
          <w:p w14:paraId="1C7D5F15">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规划符合性分析：</w:t>
            </w:r>
          </w:p>
          <w:p w14:paraId="541F0525">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（1）钢铁产业区产业发展方向：根据《河北迁安经济开发区总体规划</w:t>
            </w:r>
            <w:r>
              <w:rPr>
                <w:rFonts w:hint="eastAsia" w:ascii="Times New Roman" w:hAnsi="Times New Roman" w:cs="Times New Roman"/>
                <w:spacing w:val="7"/>
                <w:sz w:val="24"/>
                <w:szCs w:val="24"/>
                <w:lang w:eastAsia="zh-CN"/>
              </w:rPr>
              <w:t>（</w:t>
            </w:r>
            <w:r>
              <w:rPr>
                <w:rFonts w:hint="default" w:ascii="Times New Roman" w:hAnsi="Times New Roman" w:cs="Times New Roman"/>
                <w:spacing w:val="7"/>
                <w:sz w:val="24"/>
                <w:szCs w:val="24"/>
                <w:lang w:eastAsia="zh-CN"/>
              </w:rPr>
              <w:t>2022-2030年</w:t>
            </w:r>
            <w:r>
              <w:rPr>
                <w:rFonts w:hint="eastAsia" w:ascii="Times New Roman" w:hAnsi="Times New Roman" w:cs="Times New Roman"/>
                <w:spacing w:val="7"/>
                <w:sz w:val="24"/>
                <w:szCs w:val="24"/>
                <w:lang w:eastAsia="zh-CN"/>
              </w:rPr>
              <w:t>）</w:t>
            </w:r>
            <w:r>
              <w:rPr>
                <w:rFonts w:hint="default" w:ascii="Times New Roman" w:hAnsi="Times New Roman" w:cs="Times New Roman"/>
                <w:spacing w:val="7"/>
                <w:sz w:val="24"/>
                <w:szCs w:val="24"/>
                <w:lang w:eastAsia="zh-CN"/>
              </w:rPr>
              <w:t>环境影响报告书》，钢铁产业区产业发展方向为：发展钢铁及下游耗钢产业、环保产业；焦化企业焦炭产能维持现状，按化工重点监控点要求进行管控；兼容直接为钢铁服务的设备维修业、为钢铁企业提供辅助材料的配套产业，兼容现有低值废弃物利用和农林废弃物回收利用项目。</w:t>
            </w:r>
          </w:p>
          <w:p w14:paraId="2D72A00F">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本项目以林业废物、作物秸秆、提铜渣浆、中药渣、糖渣、脱硫石膏、酒糟、畜禽粪污、城镇污水污泥、清淤底泥等固体废物为原料生产营养土、燃料颗粒和免烧砖，实现固体废物减量化、资源化综合利用，符合钢铁产业区规划发展的环保产业。</w:t>
            </w:r>
          </w:p>
          <w:p w14:paraId="60CC3FDD">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（2）钢铁产业区主要发展行业：根据《河北迁安经济开发区总体规划</w:t>
            </w:r>
            <w:r>
              <w:rPr>
                <w:rFonts w:hint="eastAsia" w:ascii="Times New Roman" w:hAnsi="Times New Roman" w:cs="Times New Roman"/>
                <w:spacing w:val="7"/>
                <w:sz w:val="24"/>
                <w:szCs w:val="24"/>
                <w:lang w:eastAsia="zh-CN"/>
              </w:rPr>
              <w:t>（</w:t>
            </w:r>
            <w:r>
              <w:rPr>
                <w:rFonts w:hint="default" w:ascii="Times New Roman" w:hAnsi="Times New Roman" w:cs="Times New Roman"/>
                <w:spacing w:val="7"/>
                <w:sz w:val="24"/>
                <w:szCs w:val="24"/>
                <w:lang w:eastAsia="zh-CN"/>
              </w:rPr>
              <w:t>2022-2030年</w:t>
            </w:r>
            <w:r>
              <w:rPr>
                <w:rFonts w:hint="eastAsia" w:ascii="Times New Roman" w:hAnsi="Times New Roman" w:cs="Times New Roman"/>
                <w:spacing w:val="7"/>
                <w:sz w:val="24"/>
                <w:szCs w:val="24"/>
                <w:lang w:eastAsia="zh-CN"/>
              </w:rPr>
              <w:t>）</w:t>
            </w:r>
            <w:r>
              <w:rPr>
                <w:rFonts w:hint="default" w:ascii="Times New Roman" w:hAnsi="Times New Roman" w:cs="Times New Roman"/>
                <w:spacing w:val="7"/>
                <w:sz w:val="24"/>
                <w:szCs w:val="24"/>
                <w:lang w:eastAsia="zh-CN"/>
              </w:rPr>
              <w:t>环境影响报告书》，钢铁产业区主要涉及的行业为：</w:t>
            </w:r>
          </w:p>
          <w:p w14:paraId="38FC2AEE">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重点发展产业：C2521炼焦、C31黑色金属冶炼和压延加工业、C33金属制品业、C42废弃资源综合利用业。</w:t>
            </w:r>
          </w:p>
          <w:p w14:paraId="5160C54F">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兼容发展产业：C254生物质燃料加工、C3012石灰和石膏制造、C34通用设备制造业、C35专用设备制造业、C38电气机械和器材制造、C43金属制品、机械和设备修理业、O8112大型车辆装备修理与维护。</w:t>
            </w:r>
          </w:p>
          <w:p w14:paraId="2764D45D">
            <w:pPr>
              <w:pStyle w:val="95"/>
              <w:keepNext w:val="0"/>
              <w:keepLines w:val="0"/>
              <w:suppressLineNumbers w:val="0"/>
              <w:spacing w:before="0" w:beforeAutospacing="0" w:after="0" w:afterAutospacing="0" w:line="377" w:lineRule="auto"/>
              <w:ind w:left="107" w:right="102" w:firstLine="425"/>
              <w:jc w:val="both"/>
              <w:rPr>
                <w:rFonts w:hint="default" w:ascii="Times New Roman" w:hAnsi="Times New Roman" w:cs="Times New Roman"/>
                <w:spacing w:val="7"/>
                <w:sz w:val="24"/>
                <w:szCs w:val="24"/>
                <w:lang w:eastAsia="zh-CN"/>
              </w:rPr>
            </w:pPr>
            <w:r>
              <w:rPr>
                <w:rFonts w:hint="default" w:ascii="Times New Roman" w:hAnsi="Times New Roman" w:cs="Times New Roman"/>
                <w:spacing w:val="7"/>
                <w:sz w:val="24"/>
                <w:szCs w:val="24"/>
                <w:lang w:eastAsia="zh-CN"/>
              </w:rPr>
              <w:t>本项目以各类固体废物为原料生产燃料颗粒、营养土和免烧砖，其中燃料颗粒生产规模为10万吨/年，按照《国民经济行业分类》“生物质致密成型燃料加工包括林木致密成型燃料，秸秆致密成型燃料，废物、废料致密成型燃料，其他生物致密成型燃料的加工活动”，本项目以林业废物、作物秸秆、提铜渣浆等废物或废料生产燃料颗粒，属于“C254生物质燃料加工”行业，符合钢铁产业区主要发展行业。</w:t>
            </w:r>
          </w:p>
          <w:p w14:paraId="3661DD8B">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96" w:firstLineChars="200"/>
              <w:textAlignment w:val="auto"/>
              <w:rPr>
                <w:rFonts w:hint="default" w:ascii="Times New Roman" w:hAnsi="Times New Roman" w:eastAsia="Times New Roman" w:cs="Times New Roman"/>
                <w:b/>
                <w:bCs/>
                <w:spacing w:val="4"/>
                <w:sz w:val="24"/>
                <w:szCs w:val="24"/>
              </w:rPr>
            </w:pPr>
            <w:r>
              <w:rPr>
                <w:rFonts w:hint="default" w:ascii="Times New Roman" w:hAnsi="Times New Roman" w:eastAsia="Times New Roman" w:cs="Times New Roman"/>
                <w:b/>
                <w:bCs/>
                <w:spacing w:val="4"/>
                <w:sz w:val="24"/>
                <w:szCs w:val="24"/>
              </w:rPr>
              <w:t>1.3用地布局规划</w:t>
            </w:r>
          </w:p>
          <w:p w14:paraId="5E6387DE">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00"/>
              <w:jc w:val="both"/>
              <w:textAlignment w:val="auto"/>
              <w:rPr>
                <w:rFonts w:hint="default" w:ascii="Times New Roman" w:hAnsi="Times New Roman" w:cs="Times New Roman"/>
                <w:spacing w:val="7"/>
                <w:sz w:val="24"/>
                <w:szCs w:val="24"/>
              </w:rPr>
            </w:pPr>
            <w:r>
              <w:rPr>
                <w:rFonts w:hint="default" w:ascii="Times New Roman" w:hAnsi="Times New Roman" w:cs="Times New Roman"/>
                <w:spacing w:val="7"/>
                <w:sz w:val="24"/>
                <w:szCs w:val="24"/>
              </w:rPr>
              <w:t>根据《河北迁安经济开发区总体规划</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2022</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2030年</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》，规划建设用地全部位于城镇开发边界内，城镇开发边界外区域规划为留白用地，不进行开发建设。项目位于河北迁安经济开发区，公司现有厂区内，根据开发区用地布局规划图，项目占地类型为工业用地</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见图1-2</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，符合用地布局规划要求。</w:t>
            </w:r>
          </w:p>
          <w:p w14:paraId="26BA34CB">
            <w:pPr>
              <w:keepNext w:val="0"/>
              <w:keepLines w:val="0"/>
              <w:suppressLineNumbers w:val="0"/>
              <w:spacing w:before="0" w:beforeAutospacing="0" w:after="0" w:afterAutospacing="0" w:line="243" w:lineRule="auto"/>
              <w:ind w:left="0" w:right="0"/>
              <w:rPr>
                <w:rFonts w:hint="default" w:ascii="Times New Roman" w:hAnsi="Times New Roman" w:cs="Times New Roman"/>
                <w:sz w:val="21"/>
              </w:rPr>
            </w:pPr>
            <w:r>
              <w:rPr>
                <w:rFonts w:hint="default" w:ascii="Times New Roman" w:hAnsi="Times New Roman" w:cs="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3243580</wp:posOffset>
                      </wp:positionH>
                      <wp:positionV relativeFrom="paragraph">
                        <wp:posOffset>30480</wp:posOffset>
                      </wp:positionV>
                      <wp:extent cx="899795" cy="311785"/>
                      <wp:effectExtent l="260350" t="6350" r="20955" b="348615"/>
                      <wp:wrapNone/>
                      <wp:docPr id="20" name="矩形标注 20"/>
                      <wp:cNvGraphicFramePr/>
                      <a:graphic xmlns:a="http://schemas.openxmlformats.org/drawingml/2006/main">
                        <a:graphicData uri="http://schemas.microsoft.com/office/word/2010/wordprocessingShape">
                          <wps:wsp>
                            <wps:cNvSpPr/>
                            <wps:spPr>
                              <a:xfrm>
                                <a:off x="0" y="0"/>
                                <a:ext cx="899795" cy="311785"/>
                              </a:xfrm>
                              <a:prstGeom prst="wedgeRectCallout">
                                <a:avLst>
                                  <a:gd name="adj1" fmla="val -74206"/>
                                  <a:gd name="adj2" fmla="val 151629"/>
                                </a:avLst>
                              </a:prstGeom>
                              <a:noFill/>
                              <a:ln>
                                <a:gradFill>
                                  <a:gsLst>
                                    <a:gs pos="50410">
                                      <a:srgbClr val="1F1F1F"/>
                                    </a:gs>
                                    <a:gs pos="0">
                                      <a:srgbClr val="020202"/>
                                    </a:gs>
                                    <a:gs pos="100000">
                                      <a:srgbClr val="424242"/>
                                    </a:gs>
                                  </a:gsLst>
                                  <a:lin ang="5400000" scaled="0"/>
                                </a:gradFill>
                              </a:ln>
                            </wps:spPr>
                            <wps:style>
                              <a:lnRef idx="2">
                                <a:schemeClr val="accent1">
                                  <a:lumMod val="75000"/>
                                </a:schemeClr>
                              </a:lnRef>
                              <a:fillRef idx="1">
                                <a:schemeClr val="accent1"/>
                              </a:fillRef>
                              <a:effectRef idx="0">
                                <a:srgbClr val="FFFFFF"/>
                              </a:effectRef>
                              <a:fontRef idx="minor">
                                <a:schemeClr val="lt1"/>
                              </a:fontRef>
                            </wps:style>
                            <wps:txbx>
                              <w:txbxContent>
                                <w:p w14:paraId="3CC81BCE">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55.4pt;margin-top:2.4pt;height:24.55pt;width:70.85pt;z-index:251664384;v-text-anchor:middle;mso-width-relative:page;mso-height-relative:page;" filled="f" stroked="t" coordsize="21600,21600" o:gfxdata="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lp6srNgAAAAIAQAADwAAAAAAAAABACAAAAAiAAAAZHJz&#10;L2Rvd25yZXYueG1sUEsBAhQAFAAAAAgAh07iQM7dnx3oAgAA6AUAAA4AAAAAAAAAAQAgAAAAJwEA&#10;AGRycy9lMm9Eb2MueG1sUEsFBgAAAAAGAAYAWQEAAIEGAAAAAA==&#10;" adj="-5228,43552">
                      <v:fill on="f" focussize="0,0"/>
                      <v:stroke weight="1pt" color="#000000" miterlimit="8" joinstyle="miter"/>
                      <v:imagedata o:title=""/>
                      <o:lock v:ext="edit" aspectratio="f"/>
                      <v:textbox>
                        <w:txbxContent>
                          <w:p w14:paraId="3CC81BCE">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项目位置</w:t>
                            </w:r>
                          </w:p>
                        </w:txbxContent>
                      </v:textbox>
                    </v:shape>
                  </w:pict>
                </mc:Fallback>
              </mc:AlternateContent>
            </w:r>
          </w:p>
          <w:p w14:paraId="57DBABAB">
            <w:pPr>
              <w:keepNext w:val="0"/>
              <w:keepLines w:val="0"/>
              <w:suppressLineNumbers w:val="0"/>
              <w:spacing w:before="0" w:beforeAutospacing="0" w:after="0" w:afterAutospacing="0" w:line="243" w:lineRule="auto"/>
              <w:ind w:left="0" w:right="0"/>
              <w:jc w:val="center"/>
              <w:rPr>
                <w:rFonts w:hint="default" w:ascii="Times New Roman" w:hAnsi="Times New Roman" w:cs="Times New Roman"/>
                <w:sz w:val="21"/>
              </w:rPr>
            </w:pPr>
            <w:r>
              <w:rPr>
                <w:rFonts w:hint="default" w:ascii="Times New Roman" w:hAnsi="Times New Roman" w:cs="Times New Roman"/>
              </w:rPr>
              <w:drawing>
                <wp:inline distT="0" distB="0" distL="114300" distR="114300">
                  <wp:extent cx="3285490" cy="2810510"/>
                  <wp:effectExtent l="0" t="0" r="10160" b="889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0"/>
                          <a:stretch>
                            <a:fillRect/>
                          </a:stretch>
                        </pic:blipFill>
                        <pic:spPr>
                          <a:xfrm>
                            <a:off x="0" y="0"/>
                            <a:ext cx="3285490" cy="2810510"/>
                          </a:xfrm>
                          <a:prstGeom prst="rect">
                            <a:avLst/>
                          </a:prstGeom>
                          <a:noFill/>
                          <a:ln>
                            <a:noFill/>
                          </a:ln>
                        </pic:spPr>
                      </pic:pic>
                    </a:graphicData>
                  </a:graphic>
                </wp:inline>
              </w:drawing>
            </w:r>
          </w:p>
          <w:p w14:paraId="0A567F13">
            <w:pPr>
              <w:keepNext w:val="0"/>
              <w:keepLines w:val="0"/>
              <w:suppressLineNumbers w:val="0"/>
              <w:spacing w:before="0" w:beforeAutospacing="0" w:after="0" w:afterAutospacing="0" w:line="241" w:lineRule="auto"/>
              <w:ind w:left="0" w:right="0"/>
              <w:jc w:val="center"/>
              <w:rPr>
                <w:rFonts w:hint="default" w:ascii="Times New Roman" w:hAnsi="Times New Roman" w:cs="Times New Roman"/>
                <w:b/>
                <w:bCs/>
                <w:spacing w:val="5"/>
              </w:rPr>
            </w:pPr>
            <w:r>
              <w:rPr>
                <w:rFonts w:hint="default" w:ascii="Times New Roman" w:hAnsi="Times New Roman" w:cs="Times New Roman"/>
                <w:b/>
                <w:bCs/>
                <w:spacing w:val="5"/>
              </w:rPr>
              <w:t>图1-2    开发区用地规划图</w:t>
            </w:r>
            <w:r>
              <w:rPr>
                <w:rFonts w:hint="default" w:ascii="Times New Roman" w:hAnsi="Times New Roman" w:cs="Times New Roman"/>
                <w:b/>
                <w:bCs/>
                <w:spacing w:val="5"/>
                <w:lang w:eastAsia="zh-CN"/>
              </w:rPr>
              <w:t>（</w:t>
            </w:r>
            <w:r>
              <w:rPr>
                <w:rFonts w:hint="default" w:ascii="Times New Roman" w:hAnsi="Times New Roman" w:cs="Times New Roman"/>
                <w:b/>
                <w:bCs/>
                <w:spacing w:val="5"/>
              </w:rPr>
              <w:t>局部</w:t>
            </w:r>
            <w:r>
              <w:rPr>
                <w:rFonts w:hint="default" w:ascii="Times New Roman" w:hAnsi="Times New Roman" w:cs="Times New Roman"/>
                <w:b/>
                <w:bCs/>
                <w:spacing w:val="5"/>
                <w:lang w:eastAsia="zh-CN"/>
              </w:rPr>
              <w:t>）</w:t>
            </w:r>
          </w:p>
          <w:p w14:paraId="5B33181C">
            <w:pPr>
              <w:keepNext w:val="0"/>
              <w:keepLines w:val="0"/>
              <w:suppressLineNumbers w:val="0"/>
              <w:spacing w:before="0" w:beforeAutospacing="0" w:after="0" w:afterAutospacing="0" w:line="242" w:lineRule="auto"/>
              <w:ind w:left="0" w:right="0"/>
              <w:rPr>
                <w:rFonts w:hint="default" w:ascii="Times New Roman" w:hAnsi="Times New Roman" w:cs="Times New Roman"/>
                <w:sz w:val="21"/>
              </w:rPr>
            </w:pPr>
          </w:p>
          <w:p w14:paraId="52163BBB">
            <w:pPr>
              <w:keepNext w:val="0"/>
              <w:keepLines w:val="0"/>
              <w:suppressLineNumbers w:val="0"/>
              <w:spacing w:before="0" w:beforeAutospacing="0" w:after="0" w:afterAutospacing="0" w:line="242" w:lineRule="auto"/>
              <w:ind w:left="0" w:right="0"/>
              <w:rPr>
                <w:rFonts w:hint="default" w:ascii="Times New Roman" w:hAnsi="Times New Roman" w:cs="Times New Roman"/>
                <w:sz w:val="21"/>
              </w:rPr>
            </w:pPr>
          </w:p>
          <w:p w14:paraId="7BD20A18">
            <w:pPr>
              <w:keepNext w:val="0"/>
              <w:keepLines w:val="0"/>
              <w:suppressLineNumbers w:val="0"/>
              <w:spacing w:before="0" w:beforeAutospacing="0" w:after="0" w:afterAutospacing="0" w:line="242" w:lineRule="auto"/>
              <w:ind w:left="0" w:right="0"/>
              <w:rPr>
                <w:rFonts w:hint="default" w:ascii="Times New Roman" w:hAnsi="Times New Roman" w:cs="Times New Roman"/>
                <w:sz w:val="21"/>
              </w:rPr>
            </w:pPr>
          </w:p>
          <w:p w14:paraId="21B9088A">
            <w:pPr>
              <w:pStyle w:val="95"/>
              <w:keepNext w:val="0"/>
              <w:keepLines w:val="0"/>
              <w:suppressLineNumbers w:val="0"/>
              <w:spacing w:before="25" w:beforeAutospacing="0" w:after="0" w:afterAutospacing="0" w:line="229" w:lineRule="auto"/>
              <w:ind w:left="535" w:right="0"/>
              <w:rPr>
                <w:rFonts w:hint="default" w:ascii="Times New Roman" w:hAnsi="Times New Roman" w:cs="Times New Roman"/>
                <w:sz w:val="24"/>
                <w:szCs w:val="24"/>
              </w:rPr>
            </w:pPr>
            <w:r>
              <w:rPr>
                <w:rFonts w:hint="default" w:ascii="Times New Roman" w:hAnsi="Times New Roman" w:eastAsia="Times New Roman" w:cs="Times New Roman"/>
                <w:b/>
                <w:bCs/>
                <w:spacing w:val="4"/>
                <w:sz w:val="24"/>
                <w:szCs w:val="24"/>
              </w:rPr>
              <w:t>1.4</w:t>
            </w:r>
            <w:r>
              <w:rPr>
                <w:rFonts w:hint="default" w:ascii="Times New Roman" w:hAnsi="Times New Roman" w:cs="Times New Roman"/>
                <w:b/>
                <w:bCs/>
                <w:spacing w:val="4"/>
                <w:sz w:val="24"/>
                <w:szCs w:val="24"/>
              </w:rPr>
              <w:t>基础设施</w:t>
            </w:r>
          </w:p>
          <w:p w14:paraId="118D1EBF">
            <w:pPr>
              <w:pStyle w:val="95"/>
              <w:keepNext w:val="0"/>
              <w:keepLines w:val="0"/>
              <w:suppressLineNumbers w:val="0"/>
              <w:spacing w:before="159" w:beforeAutospacing="0" w:after="0" w:afterAutospacing="0" w:line="221" w:lineRule="auto"/>
              <w:ind w:left="529" w:right="0"/>
              <w:rPr>
                <w:rFonts w:hint="default" w:ascii="Times New Roman" w:hAnsi="Times New Roman" w:cs="Times New Roman"/>
                <w:sz w:val="24"/>
                <w:szCs w:val="24"/>
              </w:rPr>
            </w:pPr>
            <w:r>
              <w:rPr>
                <w:rFonts w:hint="default" w:ascii="Times New Roman" w:hAnsi="Times New Roman" w:eastAsia="Times New Roman" w:cs="Times New Roman"/>
                <w:spacing w:val="5"/>
                <w:sz w:val="24"/>
                <w:szCs w:val="24"/>
              </w:rPr>
              <w:t>(1)</w:t>
            </w:r>
            <w:r>
              <w:rPr>
                <w:rFonts w:hint="default" w:ascii="Times New Roman" w:hAnsi="Times New Roman" w:cs="Times New Roman"/>
                <w:spacing w:val="5"/>
                <w:sz w:val="24"/>
                <w:szCs w:val="24"/>
              </w:rPr>
              <w:t>给水工程</w:t>
            </w:r>
          </w:p>
          <w:p w14:paraId="16952505">
            <w:pPr>
              <w:pStyle w:val="95"/>
              <w:keepNext w:val="0"/>
              <w:keepLines w:val="0"/>
              <w:suppressLineNumbers w:val="0"/>
              <w:spacing w:before="170" w:beforeAutospacing="0" w:after="0" w:afterAutospacing="0" w:line="375" w:lineRule="auto"/>
              <w:ind w:left="108" w:right="102" w:firstLine="421"/>
              <w:rPr>
                <w:rFonts w:hint="default" w:ascii="Times New Roman" w:hAnsi="Times New Roman" w:cs="Times New Roman"/>
                <w:sz w:val="24"/>
                <w:szCs w:val="24"/>
              </w:rPr>
            </w:pPr>
            <w:r>
              <w:rPr>
                <w:rFonts w:hint="default" w:ascii="Times New Roman" w:hAnsi="Times New Roman" w:cs="Times New Roman"/>
                <w:spacing w:val="7"/>
                <w:sz w:val="24"/>
                <w:szCs w:val="24"/>
              </w:rPr>
              <w:t>规划经济开发区总用水量</w:t>
            </w:r>
            <w:r>
              <w:rPr>
                <w:rFonts w:hint="default" w:ascii="Times New Roman" w:hAnsi="Times New Roman" w:eastAsia="Times New Roman" w:cs="Times New Roman"/>
                <w:spacing w:val="7"/>
                <w:sz w:val="24"/>
                <w:szCs w:val="24"/>
              </w:rPr>
              <w:t>1.5</w:t>
            </w:r>
            <w:r>
              <w:rPr>
                <w:rFonts w:hint="default" w:ascii="Times New Roman" w:hAnsi="Times New Roman" w:cs="Times New Roman"/>
                <w:spacing w:val="7"/>
                <w:sz w:val="24"/>
                <w:szCs w:val="24"/>
              </w:rPr>
              <w:t>亿立方米，水源为地下水和地表水，其中地下水来</w:t>
            </w:r>
            <w:r>
              <w:rPr>
                <w:rFonts w:hint="default" w:ascii="Times New Roman" w:hAnsi="Times New Roman" w:cs="Times New Roman"/>
                <w:spacing w:val="9"/>
                <w:sz w:val="24"/>
                <w:szCs w:val="24"/>
              </w:rPr>
              <w:t>自企业合法取水设施，地表水来自迁安市净水厂和企业现有取水设施。地下水最大</w:t>
            </w:r>
            <w:r>
              <w:rPr>
                <w:rFonts w:hint="default" w:ascii="Times New Roman" w:hAnsi="Times New Roman" w:cs="Times New Roman"/>
                <w:spacing w:val="7"/>
                <w:sz w:val="24"/>
                <w:szCs w:val="24"/>
              </w:rPr>
              <w:t>供水规模</w:t>
            </w:r>
            <w:r>
              <w:rPr>
                <w:rFonts w:hint="default" w:ascii="Times New Roman" w:hAnsi="Times New Roman" w:eastAsia="Times New Roman" w:cs="Times New Roman"/>
                <w:spacing w:val="7"/>
                <w:sz w:val="24"/>
                <w:szCs w:val="24"/>
              </w:rPr>
              <w:t>1.16</w:t>
            </w:r>
            <w:r>
              <w:rPr>
                <w:rFonts w:hint="default" w:ascii="Times New Roman" w:hAnsi="Times New Roman" w:cs="Times New Roman"/>
                <w:spacing w:val="7"/>
                <w:sz w:val="24"/>
                <w:szCs w:val="24"/>
              </w:rPr>
              <w:t>亿立方米</w:t>
            </w:r>
            <w:r>
              <w:rPr>
                <w:rFonts w:hint="default" w:ascii="Times New Roman" w:hAnsi="Times New Roman" w:eastAsia="Times New Roman" w:cs="Times New Roman"/>
                <w:spacing w:val="7"/>
                <w:sz w:val="24"/>
                <w:szCs w:val="24"/>
              </w:rPr>
              <w:t>/</w:t>
            </w:r>
            <w:r>
              <w:rPr>
                <w:rFonts w:hint="default" w:ascii="Times New Roman" w:hAnsi="Times New Roman" w:cs="Times New Roman"/>
                <w:spacing w:val="7"/>
                <w:sz w:val="24"/>
                <w:szCs w:val="24"/>
              </w:rPr>
              <w:t>年</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规划期内不再新增</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，地表水供水规模</w:t>
            </w:r>
            <w:r>
              <w:rPr>
                <w:rFonts w:hint="default" w:ascii="Times New Roman" w:hAnsi="Times New Roman" w:eastAsia="Times New Roman" w:cs="Times New Roman"/>
                <w:spacing w:val="7"/>
                <w:sz w:val="24"/>
                <w:szCs w:val="24"/>
              </w:rPr>
              <w:t>0.61</w:t>
            </w:r>
            <w:r>
              <w:rPr>
                <w:rFonts w:hint="default" w:ascii="Times New Roman" w:hAnsi="Times New Roman" w:cs="Times New Roman"/>
                <w:spacing w:val="7"/>
                <w:sz w:val="24"/>
                <w:szCs w:val="24"/>
              </w:rPr>
              <w:t>亿立方米</w:t>
            </w:r>
            <w:r>
              <w:rPr>
                <w:rFonts w:hint="default" w:ascii="Times New Roman" w:hAnsi="Times New Roman" w:eastAsia="Times New Roman" w:cs="Times New Roman"/>
                <w:spacing w:val="7"/>
                <w:sz w:val="24"/>
                <w:szCs w:val="24"/>
              </w:rPr>
              <w:t>/</w:t>
            </w:r>
            <w:r>
              <w:rPr>
                <w:rFonts w:hint="default" w:ascii="Times New Roman" w:hAnsi="Times New Roman" w:cs="Times New Roman"/>
                <w:spacing w:val="7"/>
                <w:sz w:val="24"/>
                <w:szCs w:val="24"/>
              </w:rPr>
              <w:t>年。</w:t>
            </w:r>
            <w:r>
              <w:rPr>
                <w:rFonts w:hint="default" w:ascii="Times New Roman" w:hAnsi="Times New Roman" w:cs="Times New Roman"/>
                <w:spacing w:val="9"/>
                <w:sz w:val="24"/>
                <w:szCs w:val="24"/>
              </w:rPr>
              <w:t>迁安市净水厂建成投运后，优先利用地表水，逐步压采地下水。</w:t>
            </w:r>
          </w:p>
          <w:p w14:paraId="79C75F59">
            <w:pPr>
              <w:pStyle w:val="95"/>
              <w:keepNext w:val="0"/>
              <w:keepLines w:val="0"/>
              <w:suppressLineNumbers w:val="0"/>
              <w:spacing w:before="9" w:beforeAutospacing="0" w:after="0" w:afterAutospacing="0" w:line="375" w:lineRule="auto"/>
              <w:ind w:left="104" w:right="101" w:firstLine="464"/>
              <w:rPr>
                <w:rFonts w:hint="default" w:ascii="Times New Roman" w:hAnsi="Times New Roman" w:cs="Times New Roman"/>
                <w:sz w:val="24"/>
                <w:szCs w:val="24"/>
              </w:rPr>
            </w:pPr>
            <w:r>
              <w:rPr>
                <w:rFonts w:hint="default" w:ascii="Times New Roman" w:hAnsi="Times New Roman" w:cs="Times New Roman"/>
                <w:spacing w:val="8"/>
                <w:sz w:val="24"/>
                <w:szCs w:val="24"/>
              </w:rPr>
              <w:t>目前，迁安市正在建设迁安市净水厂，水源为滦河地表水，用于替代区域地下水。净水厂供水规模为</w:t>
            </w:r>
            <w:r>
              <w:rPr>
                <w:rFonts w:hint="default" w:ascii="Times New Roman" w:hAnsi="Times New Roman" w:eastAsia="Times New Roman" w:cs="Times New Roman"/>
                <w:spacing w:val="8"/>
                <w:sz w:val="24"/>
                <w:szCs w:val="24"/>
              </w:rPr>
              <w:t>18</w:t>
            </w:r>
            <w:r>
              <w:rPr>
                <w:rFonts w:hint="default" w:ascii="Times New Roman" w:hAnsi="Times New Roman" w:cs="Times New Roman"/>
                <w:spacing w:val="8"/>
                <w:sz w:val="24"/>
                <w:szCs w:val="24"/>
              </w:rPr>
              <w:t>万</w:t>
            </w:r>
            <w:r>
              <w:rPr>
                <w:rFonts w:hint="default" w:ascii="Times New Roman" w:hAnsi="Times New Roman" w:eastAsia="Times New Roman" w:cs="Times New Roman"/>
                <w:spacing w:val="8"/>
                <w:sz w:val="24"/>
                <w:szCs w:val="24"/>
              </w:rPr>
              <w:t>m³/d(5500</w:t>
            </w:r>
            <w:r>
              <w:rPr>
                <w:rFonts w:hint="default" w:ascii="Times New Roman" w:hAnsi="Times New Roman" w:cs="Times New Roman"/>
                <w:spacing w:val="8"/>
                <w:sz w:val="24"/>
                <w:szCs w:val="24"/>
              </w:rPr>
              <w:t>万</w:t>
            </w:r>
            <w:r>
              <w:rPr>
                <w:rFonts w:hint="default" w:ascii="Times New Roman" w:hAnsi="Times New Roman" w:eastAsia="Times New Roman" w:cs="Times New Roman"/>
                <w:spacing w:val="8"/>
                <w:sz w:val="24"/>
                <w:szCs w:val="24"/>
              </w:rPr>
              <w:t>m³/a</w:t>
            </w:r>
            <w:r>
              <w:rPr>
                <w:rFonts w:hint="eastAsia" w:ascii="Times New Roman" w:hAnsi="Times New Roman" w:eastAsia="宋体" w:cs="Times New Roman"/>
                <w:spacing w:val="8"/>
                <w:sz w:val="24"/>
                <w:szCs w:val="24"/>
                <w:lang w:eastAsia="zh-CN"/>
              </w:rPr>
              <w:t>）</w:t>
            </w:r>
            <w:r>
              <w:rPr>
                <w:rFonts w:hint="default" w:ascii="Times New Roman" w:hAnsi="Times New Roman" w:cs="Times New Roman"/>
                <w:spacing w:val="8"/>
                <w:sz w:val="24"/>
                <w:szCs w:val="24"/>
              </w:rPr>
              <w:t>，主要为迁安经济开发区</w:t>
            </w:r>
            <w:r>
              <w:rPr>
                <w:rFonts w:hint="default" w:ascii="Times New Roman" w:hAnsi="Times New Roman" w:cs="Times New Roman"/>
                <w:spacing w:val="8"/>
                <w:sz w:val="24"/>
                <w:szCs w:val="24"/>
                <w:lang w:eastAsia="zh-CN"/>
              </w:rPr>
              <w:t>（</w:t>
            </w:r>
            <w:r>
              <w:rPr>
                <w:rFonts w:hint="default" w:ascii="Times New Roman" w:hAnsi="Times New Roman" w:cs="Times New Roman"/>
                <w:spacing w:val="8"/>
                <w:sz w:val="24"/>
                <w:szCs w:val="24"/>
              </w:rPr>
              <w:t>分配量</w:t>
            </w:r>
            <w:r>
              <w:rPr>
                <w:rFonts w:hint="default" w:ascii="Times New Roman" w:hAnsi="Times New Roman" w:eastAsia="Times New Roman" w:cs="Times New Roman"/>
                <w:spacing w:val="8"/>
                <w:sz w:val="24"/>
                <w:szCs w:val="24"/>
              </w:rPr>
              <w:t>5400</w:t>
            </w:r>
            <w:r>
              <w:rPr>
                <w:rFonts w:hint="default" w:ascii="Times New Roman" w:hAnsi="Times New Roman" w:cs="Times New Roman"/>
                <w:spacing w:val="6"/>
                <w:sz w:val="24"/>
                <w:szCs w:val="24"/>
              </w:rPr>
              <w:t>万</w:t>
            </w:r>
            <w:r>
              <w:rPr>
                <w:rFonts w:hint="default" w:ascii="Times New Roman" w:hAnsi="Times New Roman" w:eastAsia="Times New Roman" w:cs="Times New Roman"/>
                <w:spacing w:val="6"/>
                <w:sz w:val="24"/>
                <w:szCs w:val="24"/>
              </w:rPr>
              <w:t>m³/a</w:t>
            </w:r>
            <w:r>
              <w:rPr>
                <w:rFonts w:hint="default" w:ascii="Times New Roman" w:hAnsi="Times New Roman" w:cs="Times New Roman"/>
                <w:spacing w:val="6"/>
                <w:sz w:val="24"/>
                <w:szCs w:val="24"/>
                <w:lang w:eastAsia="zh-CN"/>
              </w:rPr>
              <w:t>）</w:t>
            </w:r>
            <w:r>
              <w:rPr>
                <w:rFonts w:hint="default" w:ascii="Times New Roman" w:hAnsi="Times New Roman" w:cs="Times New Roman"/>
                <w:spacing w:val="6"/>
                <w:sz w:val="24"/>
                <w:szCs w:val="24"/>
              </w:rPr>
              <w:t>、迁安市北方钢铁物流产业聚集区供应地表水。目前迁安市净水厂已建成，</w:t>
            </w:r>
            <w:r>
              <w:rPr>
                <w:rFonts w:hint="default" w:ascii="Times New Roman" w:hAnsi="Times New Roman" w:cs="Times New Roman"/>
                <w:spacing w:val="12"/>
                <w:sz w:val="24"/>
                <w:szCs w:val="24"/>
              </w:rPr>
              <w:t>正在铺设供水管线，预计</w:t>
            </w:r>
            <w:r>
              <w:rPr>
                <w:rFonts w:hint="default" w:ascii="Times New Roman" w:hAnsi="Times New Roman" w:eastAsia="Times New Roman" w:cs="Times New Roman"/>
                <w:spacing w:val="12"/>
                <w:sz w:val="24"/>
                <w:szCs w:val="24"/>
              </w:rPr>
              <w:t>2026</w:t>
            </w:r>
            <w:r>
              <w:rPr>
                <w:rFonts w:hint="default" w:ascii="Times New Roman" w:hAnsi="Times New Roman" w:cs="Times New Roman"/>
                <w:spacing w:val="12"/>
                <w:sz w:val="24"/>
                <w:szCs w:val="24"/>
              </w:rPr>
              <w:t>年底供水。该工程环评</w:t>
            </w:r>
            <w:r>
              <w:rPr>
                <w:rFonts w:hint="default" w:ascii="Times New Roman" w:hAnsi="Times New Roman" w:eastAsia="Times New Roman" w:cs="Times New Roman"/>
                <w:spacing w:val="12"/>
                <w:sz w:val="24"/>
                <w:szCs w:val="24"/>
              </w:rPr>
              <w:t>2020</w:t>
            </w:r>
            <w:r>
              <w:rPr>
                <w:rFonts w:hint="default" w:ascii="Times New Roman" w:hAnsi="Times New Roman" w:cs="Times New Roman"/>
                <w:spacing w:val="12"/>
                <w:sz w:val="24"/>
                <w:szCs w:val="24"/>
              </w:rPr>
              <w:t>年通过</w:t>
            </w:r>
            <w:r>
              <w:rPr>
                <w:rFonts w:hint="default" w:ascii="Times New Roman" w:hAnsi="Times New Roman" w:cs="Times New Roman"/>
                <w:spacing w:val="11"/>
                <w:sz w:val="24"/>
                <w:szCs w:val="24"/>
              </w:rPr>
              <w:t>审批</w:t>
            </w:r>
            <w:r>
              <w:rPr>
                <w:rFonts w:hint="default" w:ascii="Times New Roman" w:hAnsi="Times New Roman" w:cs="Times New Roman"/>
                <w:spacing w:val="11"/>
                <w:sz w:val="24"/>
                <w:szCs w:val="24"/>
                <w:lang w:eastAsia="zh-CN"/>
              </w:rPr>
              <w:t>（</w:t>
            </w:r>
            <w:r>
              <w:rPr>
                <w:rFonts w:hint="default" w:ascii="Times New Roman" w:hAnsi="Times New Roman" w:cs="Times New Roman"/>
                <w:spacing w:val="11"/>
                <w:sz w:val="24"/>
                <w:szCs w:val="24"/>
              </w:rPr>
              <w:t>迁行审环评</w:t>
            </w:r>
            <w:r>
              <w:rPr>
                <w:rFonts w:hint="default" w:ascii="Times New Roman" w:hAnsi="Times New Roman" w:eastAsia="Times New Roman" w:cs="Times New Roman"/>
                <w:spacing w:val="7"/>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"bookmark4"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spacing w:val="7"/>
                <w:sz w:val="24"/>
                <w:szCs w:val="24"/>
              </w:rPr>
              <w:t>2020</w:t>
            </w:r>
            <w:r>
              <w:rPr>
                <w:rFonts w:hint="default" w:ascii="Times New Roman" w:hAnsi="Times New Roman" w:eastAsia="Times New Roman" w:cs="Times New Roman"/>
                <w:spacing w:val="7"/>
                <w:sz w:val="24"/>
                <w:szCs w:val="24"/>
              </w:rPr>
              <w:fldChar w:fldCharType="end"/>
            </w:r>
            <w:r>
              <w:rPr>
                <w:rFonts w:hint="default" w:ascii="Times New Roman" w:hAnsi="Times New Roman" w:eastAsia="Times New Roman" w:cs="Times New Roman"/>
                <w:spacing w:val="7"/>
                <w:sz w:val="24"/>
                <w:szCs w:val="24"/>
              </w:rPr>
              <w:t>]28</w:t>
            </w:r>
            <w:r>
              <w:rPr>
                <w:rFonts w:hint="default" w:ascii="Times New Roman" w:hAnsi="Times New Roman" w:cs="Times New Roman"/>
                <w:spacing w:val="7"/>
                <w:sz w:val="24"/>
                <w:szCs w:val="24"/>
              </w:rPr>
              <w:t>号</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w:t>
            </w:r>
            <w:r>
              <w:rPr>
                <w:rFonts w:hint="default" w:ascii="Times New Roman" w:hAnsi="Times New Roman" w:eastAsia="Times New Roman" w:cs="Times New Roman"/>
                <w:spacing w:val="7"/>
                <w:sz w:val="24"/>
                <w:szCs w:val="24"/>
              </w:rPr>
              <w:t>2024</w:t>
            </w:r>
            <w:r>
              <w:rPr>
                <w:rFonts w:hint="default" w:ascii="Times New Roman" w:hAnsi="Times New Roman" w:cs="Times New Roman"/>
                <w:spacing w:val="7"/>
                <w:sz w:val="24"/>
                <w:szCs w:val="24"/>
              </w:rPr>
              <w:t>年进行了重新报批</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迁行审环评</w:t>
            </w:r>
            <w:r>
              <w:rPr>
                <w:rFonts w:hint="default" w:ascii="Times New Roman" w:hAnsi="Times New Roman" w:eastAsia="Times New Roman" w:cs="Times New Roman"/>
                <w:spacing w:val="7"/>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"bookmark5"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spacing w:val="7"/>
                <w:sz w:val="24"/>
                <w:szCs w:val="24"/>
              </w:rPr>
              <w:t>2</w:t>
            </w:r>
            <w:r>
              <w:rPr>
                <w:rFonts w:hint="default" w:ascii="Times New Roman" w:hAnsi="Times New Roman" w:eastAsia="Times New Roman" w:cs="Times New Roman"/>
                <w:spacing w:val="6"/>
                <w:sz w:val="24"/>
                <w:szCs w:val="24"/>
              </w:rPr>
              <w:t>025</w:t>
            </w:r>
            <w:r>
              <w:rPr>
                <w:rFonts w:hint="default" w:ascii="Times New Roman" w:hAnsi="Times New Roman" w:eastAsia="Times New Roman" w:cs="Times New Roman"/>
                <w:spacing w:val="6"/>
                <w:sz w:val="24"/>
                <w:szCs w:val="24"/>
              </w:rPr>
              <w:fldChar w:fldCharType="end"/>
            </w:r>
            <w:r>
              <w:rPr>
                <w:rFonts w:hint="default" w:ascii="Times New Roman" w:hAnsi="Times New Roman" w:eastAsia="Times New Roman" w:cs="Times New Roman"/>
                <w:spacing w:val="6"/>
                <w:sz w:val="24"/>
                <w:szCs w:val="24"/>
              </w:rPr>
              <w:t>]5</w:t>
            </w:r>
            <w:r>
              <w:rPr>
                <w:rFonts w:hint="default" w:ascii="Times New Roman" w:hAnsi="Times New Roman" w:cs="Times New Roman"/>
                <w:spacing w:val="6"/>
                <w:sz w:val="24"/>
                <w:szCs w:val="24"/>
              </w:rPr>
              <w:t>号</w:t>
            </w:r>
            <w:r>
              <w:rPr>
                <w:rFonts w:hint="default" w:ascii="Times New Roman" w:hAnsi="Times New Roman" w:cs="Times New Roman"/>
                <w:spacing w:val="6"/>
                <w:sz w:val="24"/>
                <w:szCs w:val="24"/>
                <w:lang w:eastAsia="zh-CN"/>
              </w:rPr>
              <w:t>）</w:t>
            </w:r>
            <w:r>
              <w:rPr>
                <w:rFonts w:hint="default" w:ascii="Times New Roman" w:hAnsi="Times New Roman" w:cs="Times New Roman"/>
                <w:spacing w:val="6"/>
                <w:sz w:val="24"/>
                <w:szCs w:val="24"/>
              </w:rPr>
              <w:t>，对供水量、供水范围</w:t>
            </w:r>
            <w:r>
              <w:rPr>
                <w:rFonts w:hint="default" w:ascii="Times New Roman" w:hAnsi="Times New Roman" w:cs="Times New Roman"/>
                <w:spacing w:val="-7"/>
                <w:sz w:val="24"/>
                <w:szCs w:val="24"/>
              </w:rPr>
              <w:t>和时间进行变动。目前，该水厂已取得取水许可证，许可证编号：</w:t>
            </w:r>
            <w:r>
              <w:rPr>
                <w:rFonts w:hint="default" w:ascii="Times New Roman" w:hAnsi="Times New Roman" w:eastAsia="Times New Roman" w:cs="Times New Roman"/>
                <w:spacing w:val="5"/>
                <w:sz w:val="24"/>
                <w:szCs w:val="24"/>
              </w:rPr>
              <w:t>B130283S2024-1942</w:t>
            </w:r>
            <w:r>
              <w:rPr>
                <w:rFonts w:hint="default" w:ascii="Times New Roman" w:hAnsi="Times New Roman" w:cs="Times New Roman"/>
                <w:spacing w:val="5"/>
                <w:sz w:val="24"/>
                <w:szCs w:val="24"/>
              </w:rPr>
              <w:t>，许可取水量</w:t>
            </w:r>
            <w:r>
              <w:rPr>
                <w:rFonts w:hint="default" w:ascii="Times New Roman" w:hAnsi="Times New Roman" w:eastAsia="Times New Roman" w:cs="Times New Roman"/>
                <w:spacing w:val="5"/>
                <w:sz w:val="24"/>
                <w:szCs w:val="24"/>
              </w:rPr>
              <w:t>5500</w:t>
            </w:r>
            <w:r>
              <w:rPr>
                <w:rFonts w:hint="default" w:ascii="Times New Roman" w:hAnsi="Times New Roman" w:cs="Times New Roman"/>
                <w:spacing w:val="5"/>
                <w:sz w:val="24"/>
                <w:szCs w:val="24"/>
              </w:rPr>
              <w:t>万立方</w:t>
            </w:r>
            <w:r>
              <w:rPr>
                <w:rFonts w:hint="default" w:ascii="Times New Roman" w:hAnsi="Times New Roman" w:cs="Times New Roman"/>
                <w:spacing w:val="4"/>
                <w:sz w:val="24"/>
                <w:szCs w:val="24"/>
              </w:rPr>
              <w:t>米</w:t>
            </w:r>
            <w:r>
              <w:rPr>
                <w:rFonts w:hint="default" w:ascii="Times New Roman" w:hAnsi="Times New Roman" w:eastAsia="Times New Roman" w:cs="Times New Roman"/>
                <w:spacing w:val="4"/>
                <w:sz w:val="24"/>
                <w:szCs w:val="24"/>
              </w:rPr>
              <w:t>/</w:t>
            </w:r>
            <w:r>
              <w:rPr>
                <w:rFonts w:hint="default" w:ascii="Times New Roman" w:hAnsi="Times New Roman" w:cs="Times New Roman"/>
                <w:spacing w:val="4"/>
                <w:sz w:val="24"/>
                <w:szCs w:val="24"/>
              </w:rPr>
              <w:t>年。</w:t>
            </w:r>
          </w:p>
          <w:p w14:paraId="292256FA">
            <w:pPr>
              <w:pStyle w:val="95"/>
              <w:keepNext w:val="0"/>
              <w:keepLines w:val="0"/>
              <w:suppressLineNumbers w:val="0"/>
              <w:spacing w:before="9" w:beforeAutospacing="0" w:after="0" w:afterAutospacing="0" w:line="375" w:lineRule="auto"/>
              <w:ind w:left="104" w:right="101" w:firstLine="464"/>
              <w:rPr>
                <w:rFonts w:hint="default" w:ascii="Times New Roman" w:hAnsi="Times New Roman" w:cs="Times New Roman"/>
                <w:spacing w:val="8"/>
                <w:sz w:val="24"/>
                <w:szCs w:val="24"/>
              </w:rPr>
            </w:pPr>
            <w:r>
              <w:rPr>
                <w:rFonts w:hint="default" w:ascii="Times New Roman" w:hAnsi="Times New Roman" w:cs="Times New Roman"/>
                <w:spacing w:val="8"/>
                <w:sz w:val="24"/>
                <w:szCs w:val="24"/>
              </w:rPr>
              <w:t>智能创新产业园：产业园钢铁企业优先利用迁安市净水厂和专用供水管线供水，不足部分由现有自备供水设施供应；产业园规划新建地表水泵站，水源为迁安市净水厂，接入现有供水管线，与现有地下水供水泵站共同供应产业园西沙河东侧区域用水。</w:t>
            </w:r>
          </w:p>
          <w:p w14:paraId="5A67DD9A">
            <w:pPr>
              <w:pStyle w:val="95"/>
              <w:keepNext w:val="0"/>
              <w:keepLines w:val="0"/>
              <w:suppressLineNumbers w:val="0"/>
              <w:spacing w:before="1" w:beforeAutospacing="0" w:after="0" w:afterAutospacing="0" w:line="376" w:lineRule="auto"/>
              <w:ind w:left="111" w:right="137" w:firstLine="421"/>
              <w:rPr>
                <w:rFonts w:hint="default" w:ascii="Times New Roman" w:hAnsi="Times New Roman" w:cs="Times New Roman"/>
                <w:sz w:val="24"/>
                <w:szCs w:val="24"/>
              </w:rPr>
            </w:pPr>
            <w:r>
              <w:rPr>
                <w:rFonts w:hint="default" w:ascii="Times New Roman" w:hAnsi="Times New Roman" w:cs="Times New Roman"/>
                <w:spacing w:val="7"/>
                <w:sz w:val="24"/>
                <w:szCs w:val="24"/>
              </w:rPr>
              <w:t>项目用水量为</w:t>
            </w:r>
            <w:r>
              <w:rPr>
                <w:rFonts w:hint="default" w:ascii="Times New Roman" w:hAnsi="Times New Roman" w:eastAsia="Times New Roman" w:cs="Times New Roman"/>
                <w:spacing w:val="7"/>
                <w:sz w:val="24"/>
                <w:szCs w:val="24"/>
              </w:rPr>
              <w:t>0.</w:t>
            </w:r>
            <w:r>
              <w:rPr>
                <w:rFonts w:hint="default" w:ascii="Times New Roman" w:hAnsi="Times New Roman" w:eastAsia="宋体" w:cs="Times New Roman"/>
                <w:spacing w:val="7"/>
                <w:sz w:val="24"/>
                <w:szCs w:val="24"/>
                <w:lang w:val="en-US" w:eastAsia="zh-CN"/>
              </w:rPr>
              <w:t>76</w:t>
            </w:r>
            <w:r>
              <w:rPr>
                <w:rFonts w:hint="default" w:ascii="Times New Roman" w:hAnsi="Times New Roman" w:cs="Times New Roman"/>
                <w:spacing w:val="7"/>
                <w:sz w:val="24"/>
                <w:szCs w:val="24"/>
              </w:rPr>
              <w:t>万</w:t>
            </w:r>
            <w:r>
              <w:rPr>
                <w:rFonts w:hint="default" w:ascii="Times New Roman" w:hAnsi="Times New Roman" w:eastAsia="Times New Roman" w:cs="Times New Roman"/>
                <w:spacing w:val="7"/>
                <w:sz w:val="24"/>
                <w:szCs w:val="24"/>
              </w:rPr>
              <w:t>t</w:t>
            </w:r>
            <w:r>
              <w:rPr>
                <w:rFonts w:hint="default" w:ascii="Times New Roman" w:hAnsi="Times New Roman" w:cs="Times New Roman"/>
                <w:spacing w:val="7"/>
                <w:sz w:val="24"/>
                <w:szCs w:val="24"/>
              </w:rPr>
              <w:t>，用</w:t>
            </w:r>
            <w:r>
              <w:rPr>
                <w:rFonts w:hint="default" w:ascii="Times New Roman" w:hAnsi="Times New Roman" w:cs="Times New Roman"/>
                <w:spacing w:val="6"/>
                <w:sz w:val="24"/>
                <w:szCs w:val="24"/>
              </w:rPr>
              <w:t>水由现有供水管网提供，</w:t>
            </w:r>
            <w:r>
              <w:rPr>
                <w:rFonts w:hint="default" w:ascii="Times New Roman" w:hAnsi="Times New Roman" w:cs="Times New Roman"/>
                <w:spacing w:val="7"/>
                <w:sz w:val="24"/>
                <w:szCs w:val="24"/>
              </w:rPr>
              <w:t>符合开发区规划。</w:t>
            </w:r>
          </w:p>
          <w:p w14:paraId="483C2C93">
            <w:pPr>
              <w:pStyle w:val="95"/>
              <w:keepNext w:val="0"/>
              <w:keepLines w:val="0"/>
              <w:suppressLineNumbers w:val="0"/>
              <w:spacing w:before="1" w:beforeAutospacing="0" w:after="0" w:afterAutospacing="0" w:line="376" w:lineRule="auto"/>
              <w:ind w:left="111" w:right="137" w:firstLine="421"/>
              <w:rPr>
                <w:rFonts w:hint="default" w:ascii="Times New Roman" w:hAnsi="Times New Roman" w:cs="Times New Roman"/>
                <w:spacing w:val="7"/>
                <w:sz w:val="24"/>
                <w:szCs w:val="24"/>
              </w:rPr>
            </w:pPr>
            <w:r>
              <w:rPr>
                <w:rFonts w:hint="default" w:ascii="Times New Roman" w:hAnsi="Times New Roman" w:cs="Times New Roman"/>
                <w:spacing w:val="7"/>
                <w:sz w:val="24"/>
                <w:szCs w:val="24"/>
              </w:rPr>
              <w:t>(2)排水工程</w:t>
            </w:r>
          </w:p>
          <w:p w14:paraId="6429D143">
            <w:pPr>
              <w:pStyle w:val="95"/>
              <w:keepNext w:val="0"/>
              <w:keepLines w:val="0"/>
              <w:suppressLineNumbers w:val="0"/>
              <w:spacing w:before="1" w:beforeAutospacing="0" w:after="0" w:afterAutospacing="0" w:line="376" w:lineRule="auto"/>
              <w:ind w:left="111" w:right="137" w:firstLine="421"/>
              <w:rPr>
                <w:rFonts w:hint="default" w:ascii="Times New Roman" w:hAnsi="Times New Roman" w:cs="Times New Roman"/>
                <w:spacing w:val="7"/>
                <w:sz w:val="24"/>
                <w:szCs w:val="24"/>
              </w:rPr>
            </w:pPr>
            <w:r>
              <w:rPr>
                <w:rFonts w:hint="default" w:ascii="Times New Roman" w:hAnsi="Times New Roman" w:cs="Times New Roman"/>
                <w:spacing w:val="7"/>
                <w:sz w:val="24"/>
                <w:szCs w:val="24"/>
              </w:rPr>
              <w:t>排水体制：采用雨污分流制，污水全部排入污水处理厂，雨水排入西沙河。</w:t>
            </w:r>
          </w:p>
          <w:p w14:paraId="38A47B05">
            <w:pPr>
              <w:pStyle w:val="95"/>
              <w:keepNext w:val="0"/>
              <w:keepLines w:val="0"/>
              <w:suppressLineNumbers w:val="0"/>
              <w:spacing w:before="1" w:beforeAutospacing="0" w:after="0" w:afterAutospacing="0" w:line="376" w:lineRule="auto"/>
              <w:ind w:left="111" w:right="137" w:firstLine="421"/>
              <w:rPr>
                <w:rFonts w:hint="default" w:ascii="Times New Roman" w:hAnsi="Times New Roman" w:cs="Times New Roman"/>
                <w:spacing w:val="7"/>
                <w:sz w:val="24"/>
                <w:szCs w:val="24"/>
              </w:rPr>
            </w:pPr>
            <w:r>
              <w:rPr>
                <w:rFonts w:hint="default" w:ascii="Times New Roman" w:hAnsi="Times New Roman" w:cs="Times New Roman"/>
                <w:spacing w:val="7"/>
                <w:sz w:val="24"/>
                <w:szCs w:val="24"/>
              </w:rPr>
              <w:t>规划开发区污水处理率达到100%，废水经处理后优先回用，剩余部分外排。鼓励区内钢铁、焦化企业利用各产业园配套污水处理厂再生水，减少新鲜水耗。</w:t>
            </w:r>
          </w:p>
          <w:p w14:paraId="6DE880D7">
            <w:pPr>
              <w:pStyle w:val="95"/>
              <w:keepNext w:val="0"/>
              <w:keepLines w:val="0"/>
              <w:suppressLineNumbers w:val="0"/>
              <w:spacing w:before="1" w:beforeAutospacing="0" w:after="0" w:afterAutospacing="0" w:line="377" w:lineRule="auto"/>
              <w:ind w:left="112" w:right="102" w:firstLine="422"/>
              <w:jc w:val="both"/>
              <w:rPr>
                <w:rFonts w:hint="default" w:ascii="Times New Roman" w:hAnsi="Times New Roman" w:cs="Times New Roman"/>
                <w:sz w:val="24"/>
                <w:szCs w:val="24"/>
              </w:rPr>
            </w:pPr>
            <w:r>
              <w:rPr>
                <w:rFonts w:hint="default" w:ascii="Times New Roman" w:hAnsi="Times New Roman" w:cs="Times New Roman"/>
                <w:spacing w:val="9"/>
                <w:sz w:val="24"/>
                <w:szCs w:val="24"/>
              </w:rPr>
              <w:t>智能创新产业园：污水全部收纳至迁安市经济开发区污水处理厂，逐步取缔该</w:t>
            </w:r>
            <w:r>
              <w:rPr>
                <w:rFonts w:hint="default" w:ascii="Times New Roman" w:hAnsi="Times New Roman" w:cs="Times New Roman"/>
                <w:spacing w:val="7"/>
                <w:sz w:val="24"/>
                <w:szCs w:val="24"/>
              </w:rPr>
              <w:t>区的其他入河排污口，污水处理厂规模规划期内扩建至</w:t>
            </w:r>
            <w:r>
              <w:rPr>
                <w:rFonts w:hint="default" w:ascii="Times New Roman" w:hAnsi="Times New Roman" w:eastAsia="Times New Roman" w:cs="Times New Roman"/>
                <w:spacing w:val="7"/>
                <w:sz w:val="24"/>
                <w:szCs w:val="24"/>
              </w:rPr>
              <w:t>2</w:t>
            </w:r>
            <w:r>
              <w:rPr>
                <w:rFonts w:hint="default" w:ascii="Times New Roman" w:hAnsi="Times New Roman" w:cs="Times New Roman"/>
                <w:spacing w:val="7"/>
                <w:sz w:val="24"/>
                <w:szCs w:val="24"/>
              </w:rPr>
              <w:t>万</w:t>
            </w:r>
            <w:r>
              <w:rPr>
                <w:rFonts w:hint="default" w:ascii="Times New Roman" w:hAnsi="Times New Roman" w:eastAsia="Times New Roman" w:cs="Times New Roman"/>
                <w:spacing w:val="6"/>
                <w:sz w:val="24"/>
                <w:szCs w:val="24"/>
              </w:rPr>
              <w:t>m³/d</w:t>
            </w:r>
            <w:r>
              <w:rPr>
                <w:rFonts w:hint="default" w:ascii="Times New Roman" w:hAnsi="Times New Roman" w:cs="Times New Roman"/>
                <w:spacing w:val="6"/>
                <w:sz w:val="24"/>
                <w:szCs w:val="24"/>
              </w:rPr>
              <w:t>，并配套建设深度处</w:t>
            </w:r>
            <w:r>
              <w:rPr>
                <w:rFonts w:hint="default" w:ascii="Times New Roman" w:hAnsi="Times New Roman" w:cs="Times New Roman"/>
                <w:spacing w:val="9"/>
                <w:sz w:val="24"/>
                <w:szCs w:val="24"/>
              </w:rPr>
              <w:t>理设施，出水优先回用，剩余部分外排至西沙河。</w:t>
            </w:r>
          </w:p>
          <w:p w14:paraId="328E8084">
            <w:pPr>
              <w:pStyle w:val="95"/>
              <w:keepNext w:val="0"/>
              <w:keepLines w:val="0"/>
              <w:suppressLineNumbers w:val="0"/>
              <w:spacing w:before="1" w:beforeAutospacing="0" w:after="0" w:afterAutospacing="0" w:line="377" w:lineRule="auto"/>
              <w:ind w:left="112" w:right="102" w:firstLine="422"/>
              <w:jc w:val="both"/>
              <w:rPr>
                <w:rFonts w:hint="default" w:ascii="Times New Roman" w:hAnsi="Times New Roman" w:cs="Times New Roman"/>
                <w:spacing w:val="9"/>
                <w:sz w:val="24"/>
                <w:szCs w:val="24"/>
                <w:lang w:val="en-US" w:eastAsia="zh-CN"/>
              </w:rPr>
            </w:pPr>
            <w:r>
              <w:rPr>
                <w:rFonts w:hint="default" w:ascii="Times New Roman" w:hAnsi="Times New Roman" w:cs="Times New Roman"/>
                <w:spacing w:val="9"/>
                <w:sz w:val="24"/>
                <w:szCs w:val="24"/>
              </w:rPr>
              <w:t>项目</w:t>
            </w:r>
            <w:r>
              <w:rPr>
                <w:rFonts w:hint="default" w:ascii="Times New Roman" w:hAnsi="Times New Roman" w:cs="Times New Roman"/>
                <w:spacing w:val="9"/>
                <w:sz w:val="24"/>
                <w:szCs w:val="24"/>
                <w:lang w:val="en-US" w:eastAsia="zh-CN"/>
              </w:rPr>
              <w:t>生产废水经自建污水处理站处理后</w:t>
            </w:r>
            <w:r>
              <w:rPr>
                <w:rFonts w:hint="default" w:ascii="Times New Roman" w:hAnsi="Times New Roman" w:cs="Times New Roman"/>
                <w:spacing w:val="9"/>
                <w:sz w:val="24"/>
                <w:szCs w:val="24"/>
              </w:rPr>
              <w:t>循环使用，不外排，本项目</w:t>
            </w:r>
            <w:r>
              <w:rPr>
                <w:rFonts w:hint="default" w:ascii="Times New Roman" w:hAnsi="Times New Roman" w:cs="Times New Roman"/>
                <w:spacing w:val="9"/>
                <w:sz w:val="24"/>
                <w:szCs w:val="24"/>
                <w:lang w:val="en-US" w:eastAsia="zh-CN"/>
              </w:rPr>
              <w:t>外排废水仅为职工生活污水。</w:t>
            </w:r>
          </w:p>
          <w:p w14:paraId="680BF1CA">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0"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spacing w:val="5"/>
                <w:sz w:val="24"/>
                <w:szCs w:val="24"/>
              </w:rPr>
              <w:t>(3)</w:t>
            </w:r>
            <w:r>
              <w:rPr>
                <w:rFonts w:hint="default" w:ascii="Times New Roman" w:hAnsi="Times New Roman" w:cs="Times New Roman"/>
                <w:spacing w:val="5"/>
                <w:sz w:val="24"/>
                <w:szCs w:val="24"/>
              </w:rPr>
              <w:t>供热工程</w:t>
            </w:r>
          </w:p>
          <w:p w14:paraId="018A0901">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16" w:firstLineChars="200"/>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开发区内各区域以内部工厂生产余热供热，采用热水和蒸汽两种介质。</w:t>
            </w:r>
          </w:p>
          <w:p w14:paraId="360DDA8B">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16" w:firstLineChars="200"/>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智能创新产业园：采暖热源来自首钢迁钢、九江线材、松汀钢铁等钢铁企业工</w:t>
            </w:r>
            <w:r>
              <w:rPr>
                <w:rFonts w:hint="default" w:ascii="Times New Roman" w:hAnsi="Times New Roman" w:cs="Times New Roman"/>
                <w:spacing w:val="5"/>
                <w:sz w:val="24"/>
                <w:szCs w:val="24"/>
              </w:rPr>
              <w:t>业余热。</w:t>
            </w:r>
          </w:p>
          <w:p w14:paraId="06FBE0E4">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0" w:firstLineChars="200"/>
              <w:textAlignment w:val="auto"/>
              <w:rPr>
                <w:rFonts w:hint="default" w:ascii="Times New Roman" w:hAnsi="Times New Roman" w:eastAsia="Times New Roman" w:cs="Times New Roman"/>
                <w:spacing w:val="5"/>
                <w:sz w:val="24"/>
                <w:szCs w:val="24"/>
                <w:lang w:val="en-US" w:eastAsia="en-US"/>
              </w:rPr>
            </w:pPr>
            <w:r>
              <w:rPr>
                <w:rFonts w:hint="default" w:ascii="Times New Roman" w:hAnsi="Times New Roman" w:eastAsia="Times New Roman" w:cs="Times New Roman"/>
                <w:spacing w:val="5"/>
                <w:sz w:val="24"/>
                <w:szCs w:val="24"/>
              </w:rPr>
              <w:t>项</w:t>
            </w:r>
            <w:r>
              <w:rPr>
                <w:rFonts w:hint="default" w:ascii="Times New Roman" w:hAnsi="Times New Roman" w:eastAsia="Times New Roman" w:cs="Times New Roman"/>
                <w:spacing w:val="5"/>
                <w:sz w:val="24"/>
                <w:szCs w:val="24"/>
                <w:lang w:val="en-US" w:eastAsia="en-US"/>
              </w:rPr>
              <w:t>目生产车间供热</w:t>
            </w:r>
            <w:r>
              <w:rPr>
                <w:rFonts w:hint="default" w:ascii="Times New Roman" w:hAnsi="Times New Roman" w:eastAsia="宋体" w:cs="Times New Roman"/>
                <w:spacing w:val="5"/>
                <w:sz w:val="24"/>
                <w:szCs w:val="24"/>
                <w:lang w:val="en-US" w:eastAsia="zh-CN"/>
              </w:rPr>
              <w:t>来自燃烧自产的替代燃料</w:t>
            </w:r>
            <w:r>
              <w:rPr>
                <w:rFonts w:hint="default" w:ascii="Times New Roman" w:hAnsi="Times New Roman" w:eastAsia="Times New Roman" w:cs="Times New Roman"/>
                <w:spacing w:val="5"/>
                <w:sz w:val="24"/>
                <w:szCs w:val="24"/>
                <w:lang w:val="en-US" w:eastAsia="en-US"/>
              </w:rPr>
              <w:t>，办公楼供热</w:t>
            </w:r>
            <w:r>
              <w:rPr>
                <w:rFonts w:hint="default" w:ascii="Times New Roman" w:hAnsi="Times New Roman" w:eastAsia="宋体" w:cs="Times New Roman"/>
                <w:spacing w:val="5"/>
                <w:sz w:val="24"/>
                <w:szCs w:val="24"/>
                <w:lang w:val="en-US" w:eastAsia="zh-CN"/>
              </w:rPr>
              <w:t>采用</w:t>
            </w:r>
            <w:r>
              <w:rPr>
                <w:rFonts w:hint="default" w:ascii="Times New Roman" w:hAnsi="Times New Roman" w:eastAsia="Times New Roman" w:cs="Times New Roman"/>
                <w:spacing w:val="5"/>
                <w:sz w:val="24"/>
                <w:szCs w:val="24"/>
                <w:lang w:val="en-US" w:eastAsia="en-US"/>
              </w:rPr>
              <w:t>现有空调。</w:t>
            </w:r>
          </w:p>
          <w:p w14:paraId="3FBFFD37">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4"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spacing w:val="6"/>
                <w:sz w:val="24"/>
                <w:szCs w:val="24"/>
              </w:rPr>
              <w:t>(4)</w:t>
            </w:r>
            <w:r>
              <w:rPr>
                <w:rFonts w:hint="default" w:ascii="Times New Roman" w:hAnsi="Times New Roman" w:cs="Times New Roman"/>
                <w:spacing w:val="6"/>
                <w:sz w:val="24"/>
                <w:szCs w:val="24"/>
              </w:rPr>
              <w:t>燃气工程规划</w:t>
            </w:r>
          </w:p>
          <w:p w14:paraId="720CB69F">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16" w:firstLineChars="200"/>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开发区气源以中石油永唐秦天然气、中俄东线天然气为主要气源，以中俄东线天然气管道工程作为重要气源支撑。保留首钢天然气高中压调压站，推进完善调压站、输配供气等燃气管网建设，加快构建天然气骨干</w:t>
            </w:r>
            <w:r>
              <w:rPr>
                <w:rFonts w:hint="default" w:ascii="Times New Roman" w:hAnsi="Times New Roman" w:cs="Times New Roman"/>
                <w:spacing w:val="9"/>
                <w:sz w:val="24"/>
                <w:szCs w:val="24"/>
                <w:lang w:eastAsia="zh-CN"/>
              </w:rPr>
              <w:t>管网</w:t>
            </w:r>
            <w:r>
              <w:rPr>
                <w:rFonts w:hint="default" w:ascii="Times New Roman" w:hAnsi="Times New Roman" w:cs="Times New Roman"/>
                <w:spacing w:val="9"/>
                <w:sz w:val="24"/>
                <w:szCs w:val="24"/>
              </w:rPr>
              <w:t>系统，形成安全、高效的天然气供给系统。煤气由开发区钢铁、焦化企业提供。</w:t>
            </w:r>
          </w:p>
          <w:p w14:paraId="71702450">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00"/>
              <w:textAlignment w:val="auto"/>
              <w:rPr>
                <w:rFonts w:hint="default" w:ascii="Times New Roman" w:hAnsi="Times New Roman" w:cs="Times New Roman"/>
                <w:sz w:val="24"/>
                <w:szCs w:val="24"/>
              </w:rPr>
            </w:pPr>
            <w:r>
              <w:rPr>
                <w:rFonts w:hint="default" w:ascii="Times New Roman" w:hAnsi="Times New Roman" w:cs="Times New Roman"/>
                <w:spacing w:val="7"/>
                <w:sz w:val="24"/>
                <w:szCs w:val="24"/>
              </w:rPr>
              <w:t>项目</w:t>
            </w:r>
            <w:r>
              <w:rPr>
                <w:rFonts w:hint="default" w:ascii="Times New Roman" w:hAnsi="Times New Roman" w:cs="Times New Roman"/>
                <w:spacing w:val="7"/>
                <w:sz w:val="24"/>
                <w:szCs w:val="24"/>
                <w:lang w:val="en-US" w:eastAsia="zh-CN"/>
              </w:rPr>
              <w:t>生产过程</w:t>
            </w:r>
            <w:r>
              <w:rPr>
                <w:rFonts w:hint="default" w:ascii="Times New Roman" w:hAnsi="Times New Roman" w:cs="Times New Roman"/>
                <w:spacing w:val="7"/>
                <w:sz w:val="24"/>
                <w:szCs w:val="24"/>
              </w:rPr>
              <w:t>不涉及燃气。</w:t>
            </w:r>
          </w:p>
          <w:p w14:paraId="6E8E5B3B">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0"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b/>
                <w:bCs/>
                <w:spacing w:val="5"/>
                <w:sz w:val="24"/>
                <w:szCs w:val="24"/>
              </w:rPr>
              <w:t>1.5</w:t>
            </w:r>
            <w:r>
              <w:rPr>
                <w:rFonts w:hint="default" w:ascii="Times New Roman" w:hAnsi="Times New Roman" w:cs="Times New Roman"/>
                <w:b/>
                <w:bCs/>
                <w:spacing w:val="5"/>
                <w:sz w:val="24"/>
                <w:szCs w:val="24"/>
              </w:rPr>
              <w:t>与规划环评“开发区准入清单”符合性分析</w:t>
            </w:r>
          </w:p>
          <w:p w14:paraId="603B6602">
            <w:pPr>
              <w:pStyle w:val="9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00"/>
              <w:textAlignment w:val="auto"/>
              <w:rPr>
                <w:rFonts w:hint="default" w:ascii="Times New Roman" w:hAnsi="Times New Roman" w:cs="Times New Roman"/>
                <w:sz w:val="24"/>
                <w:szCs w:val="24"/>
              </w:rPr>
            </w:pPr>
            <w:r>
              <w:rPr>
                <w:rFonts w:hint="default" w:ascii="Times New Roman" w:hAnsi="Times New Roman" w:cs="Times New Roman"/>
                <w:spacing w:val="7"/>
                <w:sz w:val="24"/>
                <w:szCs w:val="24"/>
              </w:rPr>
              <w:t>项目与规划环评“开发区准入清单”符合性分析见表</w:t>
            </w:r>
            <w:r>
              <w:rPr>
                <w:rFonts w:hint="default" w:ascii="Times New Roman" w:hAnsi="Times New Roman" w:eastAsia="Times New Roman" w:cs="Times New Roman"/>
                <w:spacing w:val="7"/>
                <w:sz w:val="24"/>
                <w:szCs w:val="24"/>
              </w:rPr>
              <w:t>1-</w:t>
            </w:r>
            <w:r>
              <w:rPr>
                <w:rFonts w:hint="default" w:ascii="Times New Roman" w:hAnsi="Times New Roman" w:eastAsia="宋体" w:cs="Times New Roman"/>
                <w:spacing w:val="7"/>
                <w:sz w:val="24"/>
                <w:szCs w:val="24"/>
                <w:lang w:val="en-US" w:eastAsia="zh-CN"/>
              </w:rPr>
              <w:t>1</w:t>
            </w:r>
            <w:r>
              <w:rPr>
                <w:rFonts w:hint="default" w:ascii="Times New Roman" w:hAnsi="Times New Roman" w:cs="Times New Roman"/>
                <w:spacing w:val="7"/>
                <w:sz w:val="24"/>
                <w:szCs w:val="24"/>
              </w:rPr>
              <w:t>。</w:t>
            </w:r>
          </w:p>
          <w:p w14:paraId="7EF0FBA3">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jc w:val="center"/>
              <w:rPr>
                <w:rFonts w:hint="default" w:ascii="Times New Roman" w:hAnsi="Times New Roman" w:cs="Times New Roman"/>
                <w:spacing w:val="9"/>
              </w:rPr>
            </w:pPr>
            <w:r>
              <w:rPr>
                <w:rFonts w:hint="default" w:ascii="Times New Roman" w:hAnsi="Times New Roman" w:cs="Times New Roman"/>
                <w:b/>
                <w:bCs/>
                <w:spacing w:val="6"/>
              </w:rPr>
              <w:t>表</w:t>
            </w:r>
            <w:r>
              <w:rPr>
                <w:rFonts w:hint="default" w:ascii="Times New Roman" w:hAnsi="Times New Roman" w:eastAsia="Times New Roman" w:cs="Times New Roman"/>
                <w:b/>
                <w:bCs/>
                <w:spacing w:val="6"/>
              </w:rPr>
              <w:t>1-</w:t>
            </w:r>
            <w:r>
              <w:rPr>
                <w:rFonts w:hint="default" w:ascii="Times New Roman" w:hAnsi="Times New Roman" w:eastAsia="宋体" w:cs="Times New Roman"/>
                <w:b/>
                <w:bCs/>
                <w:spacing w:val="6"/>
                <w:lang w:val="en-US" w:eastAsia="zh-CN"/>
              </w:rPr>
              <w:t>1</w:t>
            </w:r>
            <w:r>
              <w:rPr>
                <w:rFonts w:hint="default" w:ascii="Times New Roman" w:hAnsi="Times New Roman" w:eastAsia="Times New Roman" w:cs="Times New Roman"/>
                <w:b/>
                <w:bCs/>
                <w:spacing w:val="6"/>
              </w:rPr>
              <w:t xml:space="preserve">      </w:t>
            </w:r>
            <w:r>
              <w:rPr>
                <w:rFonts w:hint="default" w:ascii="Times New Roman" w:hAnsi="Times New Roman" w:cs="Times New Roman"/>
                <w:b/>
                <w:bCs/>
                <w:spacing w:val="6"/>
              </w:rPr>
              <w:t>项目与规划环评“开发区准入</w:t>
            </w:r>
            <w:r>
              <w:rPr>
                <w:rFonts w:hint="default" w:ascii="Times New Roman" w:hAnsi="Times New Roman" w:cs="Times New Roman"/>
                <w:b/>
                <w:bCs/>
                <w:spacing w:val="5"/>
              </w:rPr>
              <w:t>清单”符合性分析</w:t>
            </w:r>
          </w:p>
          <w:tbl>
            <w:tblPr>
              <w:tblStyle w:val="67"/>
              <w:tblW w:w="752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3"/>
              <w:gridCol w:w="5071"/>
              <w:gridCol w:w="1283"/>
              <w:gridCol w:w="418"/>
            </w:tblGrid>
            <w:tr w14:paraId="7DC9A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53" w:type="dxa"/>
                  <w:vAlign w:val="center"/>
                </w:tcPr>
                <w:p w14:paraId="662F88F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4"/>
                      <w:sz w:val="18"/>
                      <w:szCs w:val="18"/>
                    </w:rPr>
                    <w:t>类别</w:t>
                  </w:r>
                </w:p>
              </w:tc>
              <w:tc>
                <w:tcPr>
                  <w:tcW w:w="5071" w:type="dxa"/>
                  <w:vAlign w:val="center"/>
                </w:tcPr>
                <w:p w14:paraId="54A7EC9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4"/>
                      <w:sz w:val="18"/>
                      <w:szCs w:val="18"/>
                    </w:rPr>
                    <w:t>要求</w:t>
                  </w:r>
                </w:p>
              </w:tc>
              <w:tc>
                <w:tcPr>
                  <w:tcW w:w="1283" w:type="dxa"/>
                  <w:vAlign w:val="center"/>
                </w:tcPr>
                <w:p w14:paraId="33B914A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6"/>
                      <w:sz w:val="18"/>
                      <w:szCs w:val="18"/>
                    </w:rPr>
                    <w:t>项目情况</w:t>
                  </w:r>
                </w:p>
              </w:tc>
              <w:tc>
                <w:tcPr>
                  <w:tcW w:w="418" w:type="dxa"/>
                  <w:vAlign w:val="center"/>
                </w:tcPr>
                <w:p w14:paraId="0644CD3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符合性</w:t>
                  </w:r>
                </w:p>
              </w:tc>
            </w:tr>
            <w:tr w14:paraId="5A79B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8" w:hRule="atLeast"/>
              </w:trPr>
              <w:tc>
                <w:tcPr>
                  <w:tcW w:w="753" w:type="dxa"/>
                  <w:vAlign w:val="center"/>
                </w:tcPr>
                <w:p w14:paraId="0B360F3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2"/>
                      <w:sz w:val="18"/>
                      <w:szCs w:val="18"/>
                    </w:rPr>
                    <w:t>总体</w:t>
                  </w:r>
                  <w:r>
                    <w:rPr>
                      <w:rFonts w:hint="default" w:ascii="Times New Roman" w:hAnsi="Times New Roman" w:cs="Times New Roman"/>
                      <w:spacing w:val="4"/>
                      <w:sz w:val="18"/>
                      <w:szCs w:val="18"/>
                    </w:rPr>
                    <w:t>要求</w:t>
                  </w:r>
                </w:p>
              </w:tc>
              <w:tc>
                <w:tcPr>
                  <w:tcW w:w="5071" w:type="dxa"/>
                  <w:vAlign w:val="center"/>
                </w:tcPr>
                <w:p w14:paraId="4028B6F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1.</w:t>
                  </w:r>
                  <w:r>
                    <w:rPr>
                      <w:rFonts w:hint="default" w:ascii="Times New Roman" w:hAnsi="Times New Roman" w:cs="Times New Roman"/>
                      <w:spacing w:val="8"/>
                      <w:sz w:val="18"/>
                      <w:szCs w:val="18"/>
                    </w:rPr>
                    <w:t>严格控制</w:t>
                  </w:r>
                  <w:r>
                    <w:rPr>
                      <w:rFonts w:hint="default" w:ascii="Times New Roman" w:hAnsi="Times New Roman" w:eastAsia="Times New Roman" w:cs="Times New Roman"/>
                      <w:spacing w:val="8"/>
                      <w:sz w:val="18"/>
                      <w:szCs w:val="18"/>
                    </w:rPr>
                    <w:t>“</w:t>
                  </w:r>
                  <w:r>
                    <w:rPr>
                      <w:rFonts w:hint="default" w:ascii="Times New Roman" w:hAnsi="Times New Roman" w:cs="Times New Roman"/>
                      <w:spacing w:val="8"/>
                      <w:sz w:val="18"/>
                      <w:szCs w:val="18"/>
                    </w:rPr>
                    <w:t>两高</w:t>
                  </w:r>
                  <w:r>
                    <w:rPr>
                      <w:rFonts w:hint="default" w:ascii="Times New Roman" w:hAnsi="Times New Roman" w:eastAsia="Times New Roman" w:cs="Times New Roman"/>
                      <w:spacing w:val="8"/>
                      <w:sz w:val="18"/>
                      <w:szCs w:val="18"/>
                    </w:rPr>
                    <w:t>”</w:t>
                  </w:r>
                  <w:r>
                    <w:rPr>
                      <w:rFonts w:hint="default" w:ascii="Times New Roman" w:hAnsi="Times New Roman" w:cs="Times New Roman"/>
                      <w:spacing w:val="8"/>
                      <w:sz w:val="18"/>
                      <w:szCs w:val="18"/>
                    </w:rPr>
                    <w:t>项目和钢铁炼钢项目建设规</w:t>
                  </w:r>
                  <w:r>
                    <w:rPr>
                      <w:rFonts w:hint="default" w:ascii="Times New Roman" w:hAnsi="Times New Roman" w:cs="Times New Roman"/>
                      <w:spacing w:val="7"/>
                      <w:sz w:val="18"/>
                      <w:szCs w:val="18"/>
                    </w:rPr>
                    <w:t>模，</w:t>
                  </w:r>
                  <w:r>
                    <w:rPr>
                      <w:rFonts w:hint="default" w:ascii="Times New Roman" w:hAnsi="Times New Roman" w:eastAsia="Times New Roman" w:cs="Times New Roman"/>
                      <w:spacing w:val="7"/>
                      <w:sz w:val="18"/>
                      <w:szCs w:val="18"/>
                    </w:rPr>
                    <w:t>“</w:t>
                  </w:r>
                  <w:r>
                    <w:rPr>
                      <w:rFonts w:hint="default" w:ascii="Times New Roman" w:hAnsi="Times New Roman" w:cs="Times New Roman"/>
                      <w:spacing w:val="7"/>
                      <w:sz w:val="18"/>
                      <w:szCs w:val="18"/>
                    </w:rPr>
                    <w:t>两</w:t>
                  </w:r>
                  <w:r>
                    <w:rPr>
                      <w:rFonts w:hint="default" w:ascii="Times New Roman" w:hAnsi="Times New Roman" w:cs="Times New Roman"/>
                      <w:spacing w:val="8"/>
                      <w:sz w:val="18"/>
                      <w:szCs w:val="18"/>
                    </w:rPr>
                    <w:t>高</w:t>
                  </w:r>
                  <w:r>
                    <w:rPr>
                      <w:rFonts w:hint="default" w:ascii="Times New Roman" w:hAnsi="Times New Roman" w:eastAsia="Times New Roman" w:cs="Times New Roman"/>
                      <w:spacing w:val="8"/>
                      <w:sz w:val="18"/>
                      <w:szCs w:val="18"/>
                    </w:rPr>
                    <w:t>”</w:t>
                  </w:r>
                  <w:r>
                    <w:rPr>
                      <w:rFonts w:hint="default" w:ascii="Times New Roman" w:hAnsi="Times New Roman" w:cs="Times New Roman"/>
                      <w:spacing w:val="8"/>
                      <w:sz w:val="18"/>
                      <w:szCs w:val="18"/>
                    </w:rPr>
                    <w:t>项目产能上限为：铁水产能</w:t>
                  </w:r>
                  <w:r>
                    <w:rPr>
                      <w:rFonts w:hint="default" w:ascii="Times New Roman" w:hAnsi="Times New Roman" w:eastAsia="Times New Roman" w:cs="Times New Roman"/>
                      <w:spacing w:val="8"/>
                      <w:sz w:val="18"/>
                      <w:szCs w:val="18"/>
                    </w:rPr>
                    <w:t>3338</w:t>
                  </w:r>
                  <w:r>
                    <w:rPr>
                      <w:rFonts w:hint="default" w:ascii="Times New Roman" w:hAnsi="Times New Roman" w:cs="Times New Roman"/>
                      <w:spacing w:val="8"/>
                      <w:sz w:val="18"/>
                      <w:szCs w:val="18"/>
                    </w:rPr>
                    <w:t>万吨、粗钢产能</w:t>
                  </w:r>
                  <w:r>
                    <w:rPr>
                      <w:rFonts w:hint="default" w:ascii="Times New Roman" w:hAnsi="Times New Roman" w:eastAsia="Times New Roman" w:cs="Times New Roman"/>
                      <w:spacing w:val="1"/>
                      <w:sz w:val="18"/>
                      <w:szCs w:val="18"/>
                    </w:rPr>
                    <w:t>2865</w:t>
                  </w:r>
                  <w:r>
                    <w:rPr>
                      <w:rFonts w:hint="default" w:ascii="Times New Roman" w:hAnsi="Times New Roman" w:cs="Times New Roman"/>
                      <w:spacing w:val="1"/>
                      <w:sz w:val="18"/>
                      <w:szCs w:val="18"/>
                    </w:rPr>
                    <w:t>万吨、焦炭产能</w:t>
                  </w:r>
                  <w:r>
                    <w:rPr>
                      <w:rFonts w:hint="default" w:ascii="Times New Roman" w:hAnsi="Times New Roman" w:eastAsia="Times New Roman" w:cs="Times New Roman"/>
                      <w:spacing w:val="1"/>
                      <w:sz w:val="18"/>
                      <w:szCs w:val="18"/>
                    </w:rPr>
                    <w:t>550</w:t>
                  </w:r>
                  <w:r>
                    <w:rPr>
                      <w:rFonts w:hint="default" w:ascii="Times New Roman" w:hAnsi="Times New Roman" w:cs="Times New Roman"/>
                      <w:spacing w:val="1"/>
                      <w:sz w:val="18"/>
                      <w:szCs w:val="18"/>
                    </w:rPr>
                    <w:t>万吨、铝铁合金产能</w:t>
                  </w:r>
                  <w:r>
                    <w:rPr>
                      <w:rFonts w:hint="default" w:ascii="Times New Roman" w:hAnsi="Times New Roman" w:eastAsia="Times New Roman" w:cs="Times New Roman"/>
                      <w:spacing w:val="1"/>
                      <w:sz w:val="18"/>
                      <w:szCs w:val="18"/>
                    </w:rPr>
                    <w:t>1.16</w:t>
                  </w:r>
                  <w:r>
                    <w:rPr>
                      <w:rFonts w:hint="default" w:ascii="Times New Roman" w:hAnsi="Times New Roman" w:cs="Times New Roman"/>
                      <w:spacing w:val="1"/>
                      <w:sz w:val="18"/>
                      <w:szCs w:val="18"/>
                    </w:rPr>
                    <w:t>万吨；</w:t>
                  </w:r>
                  <w:r>
                    <w:rPr>
                      <w:rFonts w:hint="default" w:ascii="Times New Roman" w:hAnsi="Times New Roman" w:cs="Times New Roman"/>
                      <w:spacing w:val="9"/>
                      <w:sz w:val="18"/>
                      <w:szCs w:val="18"/>
                    </w:rPr>
                    <w:t>钢铁产能上限为：粗钢产能</w:t>
                  </w:r>
                  <w:r>
                    <w:rPr>
                      <w:rFonts w:hint="default" w:ascii="Times New Roman" w:hAnsi="Times New Roman" w:eastAsia="Times New Roman" w:cs="Times New Roman"/>
                      <w:spacing w:val="9"/>
                      <w:sz w:val="18"/>
                      <w:szCs w:val="18"/>
                    </w:rPr>
                    <w:t>3370</w:t>
                  </w:r>
                  <w:r>
                    <w:rPr>
                      <w:rFonts w:hint="default" w:ascii="Times New Roman" w:hAnsi="Times New Roman" w:cs="Times New Roman"/>
                      <w:spacing w:val="9"/>
                      <w:sz w:val="18"/>
                      <w:szCs w:val="18"/>
                    </w:rPr>
                    <w:t>万吨。除在建项</w:t>
                  </w:r>
                  <w:r>
                    <w:rPr>
                      <w:rFonts w:hint="default" w:ascii="Times New Roman" w:hAnsi="Times New Roman" w:cs="Times New Roman"/>
                      <w:spacing w:val="8"/>
                      <w:sz w:val="18"/>
                      <w:szCs w:val="18"/>
                    </w:rPr>
                    <w:t>目外</w:t>
                  </w:r>
                  <w:r>
                    <w:rPr>
                      <w:rFonts w:hint="default" w:ascii="Times New Roman" w:hAnsi="Times New Roman" w:cs="Times New Roman"/>
                      <w:spacing w:val="9"/>
                      <w:sz w:val="18"/>
                      <w:szCs w:val="18"/>
                    </w:rPr>
                    <w:t>不再新增</w:t>
                  </w:r>
                  <w:r>
                    <w:rPr>
                      <w:rFonts w:hint="default" w:ascii="Times New Roman" w:hAnsi="Times New Roman" w:eastAsia="Times New Roman" w:cs="Times New Roman"/>
                      <w:spacing w:val="9"/>
                      <w:sz w:val="18"/>
                      <w:szCs w:val="18"/>
                    </w:rPr>
                    <w:t>“</w:t>
                  </w:r>
                  <w:r>
                    <w:rPr>
                      <w:rFonts w:hint="default" w:ascii="Times New Roman" w:hAnsi="Times New Roman" w:cs="Times New Roman"/>
                      <w:spacing w:val="9"/>
                      <w:sz w:val="18"/>
                      <w:szCs w:val="18"/>
                    </w:rPr>
                    <w:t>两高</w:t>
                  </w:r>
                  <w:r>
                    <w:rPr>
                      <w:rFonts w:hint="default" w:ascii="Times New Roman" w:hAnsi="Times New Roman" w:eastAsia="Times New Roman" w:cs="Times New Roman"/>
                      <w:spacing w:val="9"/>
                      <w:sz w:val="18"/>
                      <w:szCs w:val="18"/>
                    </w:rPr>
                    <w:t>”</w:t>
                  </w:r>
                  <w:r>
                    <w:rPr>
                      <w:rFonts w:hint="default" w:ascii="Times New Roman" w:hAnsi="Times New Roman" w:cs="Times New Roman"/>
                      <w:spacing w:val="9"/>
                      <w:sz w:val="18"/>
                      <w:szCs w:val="18"/>
                    </w:rPr>
                    <w:t>产能和钢铁炼钢产能，通过实施产能减量置换、装备升级改造项目，允许实施不新增产能</w:t>
                  </w:r>
                  <w:r>
                    <w:rPr>
                      <w:rFonts w:hint="default" w:ascii="Times New Roman" w:hAnsi="Times New Roman" w:cs="Times New Roman"/>
                      <w:spacing w:val="8"/>
                      <w:sz w:val="18"/>
                      <w:szCs w:val="18"/>
                    </w:rPr>
                    <w:t>的技术改造或装备提升项目。</w:t>
                  </w:r>
                </w:p>
                <w:p w14:paraId="18E2978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2.</w:t>
                  </w:r>
                  <w:r>
                    <w:rPr>
                      <w:rFonts w:hint="default" w:ascii="Times New Roman" w:hAnsi="Times New Roman" w:cs="Times New Roman"/>
                      <w:spacing w:val="9"/>
                      <w:sz w:val="18"/>
                      <w:szCs w:val="18"/>
                    </w:rPr>
                    <w:t>钢铁下游耗钢产业：禁止建设专业电镀处理中心项</w:t>
                  </w:r>
                  <w:r>
                    <w:rPr>
                      <w:rFonts w:hint="default" w:ascii="Times New Roman" w:hAnsi="Times New Roman" w:cs="Times New Roman"/>
                      <w:spacing w:val="-20"/>
                      <w:sz w:val="18"/>
                      <w:szCs w:val="18"/>
                    </w:rPr>
                    <w:t>目。</w:t>
                  </w:r>
                </w:p>
                <w:p w14:paraId="48AB844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3.</w:t>
                  </w:r>
                  <w:r>
                    <w:rPr>
                      <w:rFonts w:hint="default" w:ascii="Times New Roman" w:hAnsi="Times New Roman" w:cs="Times New Roman"/>
                      <w:spacing w:val="9"/>
                      <w:sz w:val="18"/>
                      <w:szCs w:val="18"/>
                    </w:rPr>
                    <w:t>化工产业：禁止发展煤制液体燃料生产、乙烯</w:t>
                  </w:r>
                  <w:r>
                    <w:rPr>
                      <w:rFonts w:hint="default" w:ascii="Times New Roman" w:hAnsi="Times New Roman" w:cs="Times New Roman"/>
                      <w:spacing w:val="8"/>
                      <w:sz w:val="18"/>
                      <w:szCs w:val="18"/>
                    </w:rPr>
                    <w:t>、丙</w:t>
                  </w:r>
                  <w:r>
                    <w:rPr>
                      <w:rFonts w:hint="default" w:ascii="Times New Roman" w:hAnsi="Times New Roman" w:cs="Times New Roman"/>
                      <w:spacing w:val="7"/>
                      <w:sz w:val="18"/>
                      <w:szCs w:val="18"/>
                    </w:rPr>
                    <w:t>烯、对二甲苯、丁二醇、己二酸、醋酸</w:t>
                  </w:r>
                  <w:r>
                    <w:rPr>
                      <w:rFonts w:hint="default" w:ascii="Times New Roman" w:hAnsi="Times New Roman" w:cs="Times New Roman"/>
                      <w:spacing w:val="7"/>
                      <w:sz w:val="18"/>
                      <w:szCs w:val="18"/>
                      <w:lang w:eastAsia="zh-CN"/>
                    </w:rPr>
                    <w:t>（</w:t>
                  </w:r>
                  <w:r>
                    <w:rPr>
                      <w:rFonts w:hint="default" w:ascii="Times New Roman" w:hAnsi="Times New Roman" w:cs="Times New Roman"/>
                      <w:spacing w:val="7"/>
                      <w:sz w:val="18"/>
                      <w:szCs w:val="18"/>
                    </w:rPr>
                    <w:t>利用捕集的二</w:t>
                  </w:r>
                  <w:r>
                    <w:rPr>
                      <w:rFonts w:hint="default" w:ascii="Times New Roman" w:hAnsi="Times New Roman" w:cs="Times New Roman"/>
                      <w:spacing w:val="9"/>
                      <w:sz w:val="18"/>
                      <w:szCs w:val="18"/>
                    </w:rPr>
                    <w:t>氧化碳为原料生产的醋酸除外</w:t>
                  </w:r>
                  <w:r>
                    <w:rPr>
                      <w:rFonts w:hint="default" w:ascii="Times New Roman" w:hAnsi="Times New Roman" w:cs="Times New Roman"/>
                      <w:spacing w:val="9"/>
                      <w:sz w:val="18"/>
                      <w:szCs w:val="18"/>
                      <w:lang w:eastAsia="zh-CN"/>
                    </w:rPr>
                    <w:t>）</w:t>
                  </w:r>
                  <w:r>
                    <w:rPr>
                      <w:rFonts w:hint="default" w:ascii="Times New Roman" w:hAnsi="Times New Roman" w:cs="Times New Roman"/>
                      <w:spacing w:val="9"/>
                      <w:sz w:val="18"/>
                      <w:szCs w:val="18"/>
                    </w:rPr>
                    <w:t>制造等污染较重的项目。化工重点监控点维持现状用地规模，不新增焦炭产能，仅进行以节能降碳为主的升级改造项目。</w:t>
                  </w:r>
                </w:p>
                <w:p w14:paraId="536DAFB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4.</w:t>
                  </w:r>
                  <w:r>
                    <w:rPr>
                      <w:rFonts w:hint="default" w:ascii="Times New Roman" w:hAnsi="Times New Roman" w:cs="Times New Roman"/>
                      <w:spacing w:val="9"/>
                      <w:sz w:val="18"/>
                      <w:szCs w:val="18"/>
                    </w:rPr>
                    <w:t>装备制造产业：禁止建设专业电镀处理中心项目，</w:t>
                  </w:r>
                  <w:r>
                    <w:rPr>
                      <w:rFonts w:hint="default" w:ascii="Times New Roman" w:hAnsi="Times New Roman" w:cs="Times New Roman"/>
                      <w:spacing w:val="7"/>
                      <w:sz w:val="18"/>
                      <w:szCs w:val="18"/>
                    </w:rPr>
                    <w:t>涉及电镀工序项目涉水生产设施优先采用架空布置，</w:t>
                  </w:r>
                  <w:r>
                    <w:rPr>
                      <w:rFonts w:hint="default" w:ascii="Times New Roman" w:hAnsi="Times New Roman" w:cs="Times New Roman"/>
                      <w:spacing w:val="8"/>
                      <w:sz w:val="18"/>
                      <w:szCs w:val="18"/>
                    </w:rPr>
                    <w:t>不得发展涉及</w:t>
                  </w:r>
                  <w:r>
                    <w:rPr>
                      <w:rFonts w:hint="default" w:ascii="Times New Roman" w:hAnsi="Times New Roman" w:eastAsia="Times New Roman" w:cs="Times New Roman"/>
                      <w:spacing w:val="8"/>
                      <w:sz w:val="18"/>
                      <w:szCs w:val="18"/>
                    </w:rPr>
                    <w:t>C26</w:t>
                  </w:r>
                  <w:r>
                    <w:rPr>
                      <w:rFonts w:hint="default" w:ascii="Times New Roman" w:hAnsi="Times New Roman" w:cs="Times New Roman"/>
                      <w:spacing w:val="8"/>
                      <w:sz w:val="18"/>
                      <w:szCs w:val="18"/>
                    </w:rPr>
                    <w:t>行业的氢能电池材料生产。</w:t>
                  </w:r>
                </w:p>
                <w:p w14:paraId="52A7F9A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5.</w:t>
                  </w:r>
                  <w:r>
                    <w:rPr>
                      <w:rFonts w:hint="default" w:ascii="Times New Roman" w:hAnsi="Times New Roman" w:cs="Times New Roman"/>
                      <w:spacing w:val="9"/>
                      <w:sz w:val="18"/>
                      <w:szCs w:val="18"/>
                    </w:rPr>
                    <w:t>环保产业：禁止发展废矿物油化学提纯加</w:t>
                  </w:r>
                  <w:r>
                    <w:rPr>
                      <w:rFonts w:hint="default" w:ascii="Times New Roman" w:hAnsi="Times New Roman" w:cs="Times New Roman"/>
                      <w:spacing w:val="8"/>
                      <w:sz w:val="18"/>
                      <w:szCs w:val="18"/>
                    </w:rPr>
                    <w:t>工废弃资</w:t>
                  </w:r>
                  <w:r>
                    <w:rPr>
                      <w:rFonts w:hint="default" w:ascii="Times New Roman" w:hAnsi="Times New Roman" w:cs="Times New Roman"/>
                      <w:spacing w:val="9"/>
                      <w:sz w:val="18"/>
                      <w:szCs w:val="18"/>
                    </w:rPr>
                    <w:t>源利用项目，禁止发展废铅蓄电池拆解处置项目，禁止发展未配套磁选、粉磨等深加工工艺的低值化资源</w:t>
                  </w:r>
                  <w:r>
                    <w:rPr>
                      <w:rFonts w:hint="default" w:ascii="Times New Roman" w:hAnsi="Times New Roman" w:cs="Times New Roman"/>
                      <w:spacing w:val="6"/>
                      <w:sz w:val="18"/>
                      <w:szCs w:val="18"/>
                    </w:rPr>
                    <w:t>回收项目；禁止建设年处理量小于</w:t>
                  </w:r>
                  <w:r>
                    <w:rPr>
                      <w:rFonts w:hint="default" w:ascii="Times New Roman" w:hAnsi="Times New Roman" w:eastAsia="Times New Roman" w:cs="Times New Roman"/>
                      <w:spacing w:val="6"/>
                      <w:sz w:val="18"/>
                      <w:szCs w:val="18"/>
                    </w:rPr>
                    <w:t>5</w:t>
                  </w:r>
                  <w:r>
                    <w:rPr>
                      <w:rFonts w:hint="default" w:ascii="Times New Roman" w:hAnsi="Times New Roman" w:cs="Times New Roman"/>
                      <w:spacing w:val="6"/>
                      <w:sz w:val="18"/>
                      <w:szCs w:val="18"/>
                    </w:rPr>
                    <w:t>万吨的废钢破碎分</w:t>
                  </w:r>
                  <w:r>
                    <w:rPr>
                      <w:rFonts w:hint="default" w:ascii="Times New Roman" w:hAnsi="Times New Roman" w:cs="Times New Roman"/>
                      <w:spacing w:val="8"/>
                      <w:sz w:val="18"/>
                      <w:szCs w:val="18"/>
                    </w:rPr>
                    <w:t>选项目</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电弧炉炼钢配套项目除外</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w:t>
                  </w:r>
                </w:p>
              </w:tc>
              <w:tc>
                <w:tcPr>
                  <w:tcW w:w="1283" w:type="dxa"/>
                  <w:vAlign w:val="center"/>
                </w:tcPr>
                <w:p w14:paraId="33EA1DA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18"/>
                      <w:szCs w:val="18"/>
                      <w:lang w:val="en-US" w:eastAsia="zh-CN"/>
                    </w:rPr>
                  </w:pPr>
                  <w:r>
                    <w:rPr>
                      <w:rFonts w:hint="default" w:ascii="Times New Roman" w:hAnsi="Times New Roman" w:cs="Times New Roman"/>
                      <w:spacing w:val="7"/>
                      <w:sz w:val="18"/>
                      <w:szCs w:val="18"/>
                    </w:rPr>
                    <w:t>项目位于河</w:t>
                  </w:r>
                  <w:r>
                    <w:rPr>
                      <w:rFonts w:hint="default" w:ascii="Times New Roman" w:hAnsi="Times New Roman" w:cs="Times New Roman"/>
                      <w:spacing w:val="8"/>
                      <w:sz w:val="18"/>
                      <w:szCs w:val="18"/>
                    </w:rPr>
                    <w:t>北迁安经济开发区智能</w:t>
                  </w:r>
                  <w:r>
                    <w:rPr>
                      <w:rFonts w:hint="default" w:ascii="Times New Roman" w:hAnsi="Times New Roman" w:cs="Times New Roman"/>
                      <w:spacing w:val="7"/>
                      <w:sz w:val="18"/>
                      <w:szCs w:val="18"/>
                    </w:rPr>
                    <w:t>创新产业</w:t>
                  </w:r>
                  <w:r>
                    <w:rPr>
                      <w:rFonts w:hint="default" w:ascii="Times New Roman" w:hAnsi="Times New Roman" w:cs="Times New Roman"/>
                      <w:spacing w:val="4"/>
                      <w:sz w:val="18"/>
                      <w:szCs w:val="18"/>
                    </w:rPr>
                    <w:t>园，项目为</w:t>
                  </w:r>
                  <w:r>
                    <w:rPr>
                      <w:rFonts w:hint="default" w:ascii="Times New Roman" w:hAnsi="Times New Roman" w:cs="Times New Roman"/>
                      <w:spacing w:val="8"/>
                      <w:sz w:val="18"/>
                      <w:szCs w:val="18"/>
                    </w:rPr>
                    <w:t>废弃资源综</w:t>
                  </w:r>
                  <w:r>
                    <w:rPr>
                      <w:rFonts w:hint="default" w:ascii="Times New Roman" w:hAnsi="Times New Roman" w:cs="Times New Roman"/>
                      <w:spacing w:val="7"/>
                      <w:sz w:val="18"/>
                      <w:szCs w:val="18"/>
                    </w:rPr>
                    <w:t>合利用</w:t>
                  </w:r>
                  <w:r>
                    <w:rPr>
                      <w:rFonts w:hint="default" w:ascii="Times New Roman" w:hAnsi="Times New Roman" w:cs="Times New Roman"/>
                      <w:spacing w:val="7"/>
                      <w:sz w:val="18"/>
                      <w:szCs w:val="18"/>
                      <w:lang w:val="en-US" w:eastAsia="zh-CN"/>
                    </w:rPr>
                    <w:t>及生物质燃料加工</w:t>
                  </w:r>
                  <w:r>
                    <w:rPr>
                      <w:rFonts w:hint="default" w:ascii="Times New Roman" w:hAnsi="Times New Roman" w:cs="Times New Roman"/>
                      <w:spacing w:val="7"/>
                      <w:sz w:val="18"/>
                      <w:szCs w:val="18"/>
                    </w:rPr>
                    <w:t>项</w:t>
                  </w:r>
                  <w:r>
                    <w:rPr>
                      <w:rFonts w:hint="default" w:ascii="Times New Roman" w:hAnsi="Times New Roman" w:cs="Times New Roman"/>
                      <w:sz w:val="18"/>
                      <w:szCs w:val="18"/>
                    </w:rPr>
                    <w:t>目，不涉及</w:t>
                  </w:r>
                  <w:r>
                    <w:rPr>
                      <w:rFonts w:hint="default" w:ascii="Times New Roman" w:hAnsi="Times New Roman" w:cs="Times New Roman"/>
                      <w:spacing w:val="8"/>
                      <w:sz w:val="18"/>
                      <w:szCs w:val="18"/>
                    </w:rPr>
                    <w:t>钢铁产能变</w:t>
                  </w:r>
                  <w:r>
                    <w:rPr>
                      <w:rFonts w:hint="default" w:ascii="Times New Roman" w:hAnsi="Times New Roman" w:cs="Times New Roman"/>
                      <w:spacing w:val="2"/>
                      <w:sz w:val="18"/>
                      <w:szCs w:val="18"/>
                    </w:rPr>
                    <w:t>化</w:t>
                  </w:r>
                  <w:r>
                    <w:rPr>
                      <w:rFonts w:hint="default" w:ascii="Times New Roman" w:hAnsi="Times New Roman" w:cs="Times New Roman"/>
                      <w:spacing w:val="2"/>
                      <w:sz w:val="18"/>
                      <w:szCs w:val="18"/>
                      <w:lang w:eastAsia="zh-CN"/>
                    </w:rPr>
                    <w:t>，</w:t>
                  </w:r>
                  <w:r>
                    <w:rPr>
                      <w:rFonts w:hint="default" w:ascii="Times New Roman" w:hAnsi="Times New Roman" w:cs="Times New Roman"/>
                      <w:spacing w:val="2"/>
                      <w:sz w:val="18"/>
                      <w:szCs w:val="18"/>
                      <w:lang w:val="en-US" w:eastAsia="zh-CN"/>
                    </w:rPr>
                    <w:t>不涉及</w:t>
                  </w:r>
                  <w:r>
                    <w:rPr>
                      <w:rFonts w:hint="default" w:ascii="Times New Roman" w:hAnsi="Times New Roman" w:cs="Times New Roman"/>
                      <w:spacing w:val="9"/>
                      <w:sz w:val="18"/>
                      <w:szCs w:val="18"/>
                    </w:rPr>
                    <w:t>废矿物油化学提纯加</w:t>
                  </w:r>
                  <w:r>
                    <w:rPr>
                      <w:rFonts w:hint="default" w:ascii="Times New Roman" w:hAnsi="Times New Roman" w:cs="Times New Roman"/>
                      <w:spacing w:val="8"/>
                      <w:sz w:val="18"/>
                      <w:szCs w:val="18"/>
                    </w:rPr>
                    <w:t>工废弃资</w:t>
                  </w:r>
                  <w:r>
                    <w:rPr>
                      <w:rFonts w:hint="default" w:ascii="Times New Roman" w:hAnsi="Times New Roman" w:cs="Times New Roman"/>
                      <w:spacing w:val="9"/>
                      <w:sz w:val="18"/>
                      <w:szCs w:val="18"/>
                    </w:rPr>
                    <w:t>源利用项目</w:t>
                  </w:r>
                  <w:r>
                    <w:rPr>
                      <w:rFonts w:hint="default" w:ascii="Times New Roman" w:hAnsi="Times New Roman" w:cs="Times New Roman"/>
                      <w:spacing w:val="9"/>
                      <w:sz w:val="18"/>
                      <w:szCs w:val="18"/>
                      <w:lang w:eastAsia="zh-CN"/>
                    </w:rPr>
                    <w:t>、</w:t>
                  </w:r>
                  <w:r>
                    <w:rPr>
                      <w:rFonts w:hint="default" w:ascii="Times New Roman" w:hAnsi="Times New Roman" w:cs="Times New Roman"/>
                      <w:spacing w:val="9"/>
                      <w:sz w:val="18"/>
                      <w:szCs w:val="18"/>
                    </w:rPr>
                    <w:t>废铅蓄电池拆解处置项目</w:t>
                  </w:r>
                  <w:r>
                    <w:rPr>
                      <w:rFonts w:hint="default" w:ascii="Times New Roman" w:hAnsi="Times New Roman" w:cs="Times New Roman"/>
                      <w:spacing w:val="9"/>
                      <w:sz w:val="18"/>
                      <w:szCs w:val="18"/>
                      <w:lang w:eastAsia="zh-CN"/>
                    </w:rPr>
                    <w:t>、</w:t>
                  </w:r>
                  <w:r>
                    <w:rPr>
                      <w:rFonts w:hint="default" w:ascii="Times New Roman" w:hAnsi="Times New Roman" w:cs="Times New Roman"/>
                      <w:spacing w:val="9"/>
                      <w:sz w:val="18"/>
                      <w:szCs w:val="18"/>
                    </w:rPr>
                    <w:t>磁选、粉磨等深加工工艺的低值化资源</w:t>
                  </w:r>
                  <w:r>
                    <w:rPr>
                      <w:rFonts w:hint="default" w:ascii="Times New Roman" w:hAnsi="Times New Roman" w:cs="Times New Roman"/>
                      <w:spacing w:val="6"/>
                      <w:sz w:val="18"/>
                      <w:szCs w:val="18"/>
                    </w:rPr>
                    <w:t>回收项目</w:t>
                  </w:r>
                  <w:r>
                    <w:rPr>
                      <w:rFonts w:hint="default" w:ascii="Times New Roman" w:hAnsi="Times New Roman" w:cs="Times New Roman"/>
                      <w:spacing w:val="6"/>
                      <w:sz w:val="18"/>
                      <w:szCs w:val="18"/>
                      <w:lang w:eastAsia="zh-CN"/>
                    </w:rPr>
                    <w:t>、</w:t>
                  </w:r>
                  <w:r>
                    <w:rPr>
                      <w:rFonts w:hint="default" w:ascii="Times New Roman" w:hAnsi="Times New Roman" w:cs="Times New Roman"/>
                      <w:spacing w:val="6"/>
                      <w:sz w:val="18"/>
                      <w:szCs w:val="18"/>
                    </w:rPr>
                    <w:t>废钢破碎分</w:t>
                  </w:r>
                  <w:r>
                    <w:rPr>
                      <w:rFonts w:hint="default" w:ascii="Times New Roman" w:hAnsi="Times New Roman" w:cs="Times New Roman"/>
                      <w:spacing w:val="8"/>
                      <w:sz w:val="18"/>
                      <w:szCs w:val="18"/>
                    </w:rPr>
                    <w:t>选项目</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电弧炉炼钢配套项目除外</w:t>
                  </w:r>
                  <w:r>
                    <w:rPr>
                      <w:rFonts w:hint="eastAsia" w:ascii="Times New Roman" w:hAnsi="Times New Roman" w:cs="Times New Roman"/>
                      <w:spacing w:val="8"/>
                      <w:sz w:val="18"/>
                      <w:szCs w:val="18"/>
                      <w:lang w:eastAsia="zh-CN"/>
                    </w:rPr>
                    <w:t>）。</w:t>
                  </w:r>
                </w:p>
              </w:tc>
              <w:tc>
                <w:tcPr>
                  <w:tcW w:w="418" w:type="dxa"/>
                  <w:vAlign w:val="center"/>
                </w:tcPr>
                <w:p w14:paraId="6D6687B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符合</w:t>
                  </w:r>
                </w:p>
              </w:tc>
            </w:tr>
            <w:tr w14:paraId="7DA7B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4" w:hRule="atLeast"/>
              </w:trPr>
              <w:tc>
                <w:tcPr>
                  <w:tcW w:w="753" w:type="dxa"/>
                  <w:tcBorders>
                    <w:bottom w:val="single" w:color="000000" w:sz="6" w:space="0"/>
                  </w:tcBorders>
                  <w:vAlign w:val="center"/>
                </w:tcPr>
                <w:p w14:paraId="169C097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1"/>
                      <w:sz w:val="18"/>
                      <w:szCs w:val="18"/>
                    </w:rPr>
                    <w:t>空间</w:t>
                  </w:r>
                  <w:r>
                    <w:rPr>
                      <w:rFonts w:hint="default" w:ascii="Times New Roman" w:hAnsi="Times New Roman" w:cs="Times New Roman"/>
                      <w:spacing w:val="4"/>
                      <w:sz w:val="18"/>
                      <w:szCs w:val="18"/>
                    </w:rPr>
                    <w:t>布局约束</w:t>
                  </w:r>
                </w:p>
              </w:tc>
              <w:tc>
                <w:tcPr>
                  <w:tcW w:w="5071" w:type="dxa"/>
                  <w:tcBorders>
                    <w:bottom w:val="single" w:color="000000" w:sz="6" w:space="0"/>
                  </w:tcBorders>
                  <w:vAlign w:val="center"/>
                </w:tcPr>
                <w:p w14:paraId="57E39DFB">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1.</w:t>
                  </w:r>
                  <w:r>
                    <w:rPr>
                      <w:rFonts w:hint="default" w:ascii="Times New Roman" w:hAnsi="Times New Roman" w:cs="Times New Roman"/>
                      <w:spacing w:val="8"/>
                      <w:sz w:val="18"/>
                      <w:szCs w:val="18"/>
                    </w:rPr>
                    <w:t>开发区内城镇开发边界外区域为留白用地，严禁开</w:t>
                  </w:r>
                  <w:r>
                    <w:rPr>
                      <w:rFonts w:hint="default" w:ascii="Times New Roman" w:hAnsi="Times New Roman" w:cs="Times New Roman"/>
                      <w:spacing w:val="4"/>
                      <w:sz w:val="18"/>
                      <w:szCs w:val="18"/>
                    </w:rPr>
                    <w:t>发建设。</w:t>
                  </w:r>
                </w:p>
                <w:p w14:paraId="1E88BF8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2.</w:t>
                  </w:r>
                  <w:r>
                    <w:rPr>
                      <w:rFonts w:hint="default" w:ascii="Times New Roman" w:hAnsi="Times New Roman" w:cs="Times New Roman"/>
                      <w:spacing w:val="9"/>
                      <w:sz w:val="18"/>
                      <w:szCs w:val="18"/>
                    </w:rPr>
                    <w:t>严格按照优化调整建议中针对产业布局及敏感区等提出的要求进行布局，将现状村庄和规划居住区作为环境敏感点予以保护，合理控制周边建设项目布局，</w:t>
                  </w:r>
                  <w:r>
                    <w:rPr>
                      <w:rFonts w:hint="default" w:ascii="Times New Roman" w:hAnsi="Times New Roman" w:cs="Times New Roman"/>
                      <w:spacing w:val="8"/>
                      <w:sz w:val="18"/>
                      <w:szCs w:val="18"/>
                    </w:rPr>
                    <w:t>根据不同的区位特点进行差别化管控。</w:t>
                  </w:r>
                </w:p>
                <w:p w14:paraId="6085C37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(1)</w:t>
                  </w:r>
                  <w:r>
                    <w:rPr>
                      <w:rFonts w:hint="default" w:ascii="Times New Roman" w:hAnsi="Times New Roman" w:cs="Times New Roman"/>
                      <w:spacing w:val="8"/>
                      <w:sz w:val="18"/>
                      <w:szCs w:val="18"/>
                    </w:rPr>
                    <w:t>智能创新产业园：龙山小区、鸽子湾、松汀、曹庄子、大张庄等村边界外延</w:t>
                  </w:r>
                  <w:r>
                    <w:rPr>
                      <w:rFonts w:hint="default" w:ascii="Times New Roman" w:hAnsi="Times New Roman" w:eastAsia="Times New Roman" w:cs="Times New Roman"/>
                      <w:spacing w:val="8"/>
                      <w:sz w:val="18"/>
                      <w:szCs w:val="18"/>
                    </w:rPr>
                    <w:t>50m</w:t>
                  </w:r>
                  <w:r>
                    <w:rPr>
                      <w:rFonts w:hint="default" w:ascii="Times New Roman" w:hAnsi="Times New Roman" w:cs="Times New Roman"/>
                      <w:spacing w:val="8"/>
                      <w:sz w:val="18"/>
                      <w:szCs w:val="18"/>
                    </w:rPr>
                    <w:t>范围内禁止建设喷涂、</w:t>
                  </w:r>
                  <w:r>
                    <w:rPr>
                      <w:rFonts w:hint="default" w:ascii="Times New Roman" w:hAnsi="Times New Roman" w:cs="Times New Roman"/>
                      <w:spacing w:val="7"/>
                      <w:sz w:val="18"/>
                      <w:szCs w:val="18"/>
                    </w:rPr>
                    <w:t>酸洗、镀锌、电镀工序，不得布置氨储罐、酸储罐、</w:t>
                  </w:r>
                  <w:r>
                    <w:rPr>
                      <w:rFonts w:hint="default" w:ascii="Times New Roman" w:hAnsi="Times New Roman" w:cs="Times New Roman"/>
                      <w:spacing w:val="9"/>
                      <w:sz w:val="18"/>
                      <w:szCs w:val="18"/>
                    </w:rPr>
                    <w:t>涉及恶臭气体排放的污水处理设施，不得布置环保产</w:t>
                  </w:r>
                  <w:r>
                    <w:rPr>
                      <w:rFonts w:hint="default" w:ascii="Times New Roman" w:hAnsi="Times New Roman" w:cs="Times New Roman"/>
                      <w:spacing w:val="7"/>
                      <w:sz w:val="18"/>
                      <w:szCs w:val="18"/>
                    </w:rPr>
                    <w:t>业生产加工工序。</w:t>
                  </w:r>
                </w:p>
                <w:p w14:paraId="43B93DA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3.</w:t>
                  </w:r>
                  <w:r>
                    <w:rPr>
                      <w:rFonts w:hint="default" w:ascii="Times New Roman" w:hAnsi="Times New Roman" w:cs="Times New Roman"/>
                      <w:spacing w:val="9"/>
                      <w:sz w:val="18"/>
                      <w:szCs w:val="18"/>
                    </w:rPr>
                    <w:t>存在地下水污染风险隐患的工序或装置应尽量</w:t>
                  </w:r>
                  <w:r>
                    <w:rPr>
                      <w:rFonts w:hint="default" w:ascii="Times New Roman" w:hAnsi="Times New Roman" w:cs="Times New Roman"/>
                      <w:spacing w:val="8"/>
                      <w:sz w:val="18"/>
                      <w:szCs w:val="18"/>
                    </w:rPr>
                    <w:t>远离</w:t>
                  </w:r>
                  <w:r>
                    <w:rPr>
                      <w:rFonts w:hint="default" w:ascii="Times New Roman" w:hAnsi="Times New Roman" w:cs="Times New Roman"/>
                      <w:spacing w:val="7"/>
                      <w:sz w:val="18"/>
                      <w:szCs w:val="18"/>
                    </w:rPr>
                    <w:t>地下水弱防渗区布置，因工艺布局确实无法远离的，</w:t>
                  </w:r>
                  <w:r>
                    <w:rPr>
                      <w:rFonts w:hint="default" w:ascii="Times New Roman" w:hAnsi="Times New Roman" w:cs="Times New Roman"/>
                      <w:spacing w:val="8"/>
                      <w:sz w:val="18"/>
                      <w:szCs w:val="18"/>
                    </w:rPr>
                    <w:t>应严格防渗措施或采取可视化的防渗措施。</w:t>
                  </w:r>
                </w:p>
                <w:p w14:paraId="7B44A47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4.</w:t>
                  </w:r>
                  <w:r>
                    <w:rPr>
                      <w:rFonts w:hint="default" w:ascii="Times New Roman" w:hAnsi="Times New Roman" w:cs="Times New Roman"/>
                      <w:spacing w:val="9"/>
                      <w:sz w:val="18"/>
                      <w:szCs w:val="18"/>
                    </w:rPr>
                    <w:t>涉及《唐山市地下水污染防治重点区划定方</w:t>
                  </w:r>
                  <w:r>
                    <w:rPr>
                      <w:rFonts w:hint="default" w:ascii="Times New Roman" w:hAnsi="Times New Roman" w:cs="Times New Roman"/>
                      <w:spacing w:val="8"/>
                      <w:sz w:val="18"/>
                      <w:szCs w:val="18"/>
                    </w:rPr>
                    <w:t>案</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试</w:t>
                  </w:r>
                </w:p>
                <w:p w14:paraId="3B416AD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7"/>
                      <w:sz w:val="18"/>
                      <w:szCs w:val="18"/>
                    </w:rPr>
                    <w:t>行</w:t>
                  </w:r>
                  <w:r>
                    <w:rPr>
                      <w:rFonts w:hint="default" w:ascii="Times New Roman" w:hAnsi="Times New Roman" w:cs="Times New Roman"/>
                      <w:spacing w:val="7"/>
                      <w:sz w:val="18"/>
                      <w:szCs w:val="18"/>
                      <w:lang w:eastAsia="zh-CN"/>
                    </w:rPr>
                    <w:t>）</w:t>
                  </w:r>
                  <w:r>
                    <w:rPr>
                      <w:rFonts w:hint="default" w:ascii="Times New Roman" w:hAnsi="Times New Roman" w:cs="Times New Roman"/>
                      <w:spacing w:val="7"/>
                      <w:sz w:val="18"/>
                      <w:szCs w:val="18"/>
                    </w:rPr>
                    <w:t>》中一级、二级管控区的项目，严格按照方案提出</w:t>
                  </w:r>
                  <w:r>
                    <w:rPr>
                      <w:rFonts w:hint="default" w:ascii="Times New Roman" w:hAnsi="Times New Roman" w:cs="Times New Roman"/>
                      <w:spacing w:val="8"/>
                      <w:sz w:val="18"/>
                      <w:szCs w:val="18"/>
                    </w:rPr>
                    <w:t>的管控要求进行开发建设和后期环境管理。</w:t>
                  </w:r>
                </w:p>
                <w:p w14:paraId="4E56A5A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5.</w:t>
                  </w:r>
                  <w:r>
                    <w:rPr>
                      <w:rFonts w:hint="default" w:ascii="Times New Roman" w:hAnsi="Times New Roman" w:cs="Times New Roman"/>
                      <w:spacing w:val="8"/>
                      <w:sz w:val="18"/>
                      <w:szCs w:val="18"/>
                    </w:rPr>
                    <w:t>河道邻水控制线或河道岸线</w:t>
                  </w:r>
                  <w:r>
                    <w:rPr>
                      <w:rFonts w:hint="default" w:ascii="Times New Roman" w:hAnsi="Times New Roman" w:eastAsia="Times New Roman" w:cs="Times New Roman"/>
                      <w:spacing w:val="8"/>
                      <w:sz w:val="18"/>
                      <w:szCs w:val="18"/>
                    </w:rPr>
                    <w:t>50m</w:t>
                  </w:r>
                  <w:r>
                    <w:rPr>
                      <w:rFonts w:hint="default" w:ascii="Times New Roman" w:hAnsi="Times New Roman" w:cs="Times New Roman"/>
                      <w:spacing w:val="8"/>
                      <w:sz w:val="18"/>
                      <w:szCs w:val="18"/>
                    </w:rPr>
                    <w:t>范围内不得布置涉</w:t>
                  </w:r>
                  <w:r>
                    <w:rPr>
                      <w:rFonts w:hint="default" w:ascii="Times New Roman" w:hAnsi="Times New Roman" w:cs="Times New Roman"/>
                      <w:spacing w:val="9"/>
                      <w:sz w:val="18"/>
                      <w:szCs w:val="18"/>
                    </w:rPr>
                    <w:t>及有毒有害和易燃易爆危险物质的储罐，不得布设含电镀工序、产生</w:t>
                  </w:r>
                  <w:r>
                    <w:rPr>
                      <w:rFonts w:hint="default" w:ascii="Times New Roman" w:hAnsi="Times New Roman" w:eastAsia="Times New Roman" w:cs="Times New Roman"/>
                      <w:sz w:val="18"/>
                      <w:szCs w:val="18"/>
                    </w:rPr>
                    <w:t>CODcr</w:t>
                  </w:r>
                  <w:r>
                    <w:rPr>
                      <w:rFonts w:hint="default" w:ascii="Times New Roman" w:hAnsi="Times New Roman" w:cs="Times New Roman"/>
                      <w:spacing w:val="9"/>
                      <w:sz w:val="18"/>
                      <w:szCs w:val="18"/>
                    </w:rPr>
                    <w:t>浓度</w:t>
                  </w:r>
                  <w:r>
                    <w:rPr>
                      <w:rFonts w:hint="default" w:ascii="Times New Roman" w:hAnsi="Times New Roman" w:eastAsia="Times New Roman" w:cs="Times New Roman"/>
                      <w:spacing w:val="9"/>
                      <w:sz w:val="18"/>
                      <w:szCs w:val="18"/>
                    </w:rPr>
                    <w:t>≥10000</w:t>
                  </w:r>
                  <w:r>
                    <w:rPr>
                      <w:rFonts w:hint="default" w:ascii="Times New Roman" w:hAnsi="Times New Roman" w:eastAsia="Times New Roman" w:cs="Times New Roman"/>
                      <w:sz w:val="18"/>
                      <w:szCs w:val="18"/>
                    </w:rPr>
                    <w:t>mg</w:t>
                  </w:r>
                  <w:r>
                    <w:rPr>
                      <w:rFonts w:hint="default" w:ascii="Times New Roman" w:hAnsi="Times New Roman" w:eastAsia="Times New Roman" w:cs="Times New Roman"/>
                      <w:spacing w:val="9"/>
                      <w:sz w:val="18"/>
                      <w:szCs w:val="18"/>
                    </w:rPr>
                    <w:t>/L</w:t>
                  </w:r>
                  <w:r>
                    <w:rPr>
                      <w:rFonts w:hint="default" w:ascii="Times New Roman" w:hAnsi="Times New Roman" w:cs="Times New Roman"/>
                      <w:spacing w:val="9"/>
                      <w:sz w:val="18"/>
                      <w:szCs w:val="18"/>
                    </w:rPr>
                    <w:t>或氨氮浓度</w:t>
                  </w:r>
                  <w:r>
                    <w:rPr>
                      <w:rFonts w:hint="default" w:ascii="Times New Roman" w:hAnsi="Times New Roman" w:eastAsia="Times New Roman" w:cs="Times New Roman"/>
                      <w:spacing w:val="9"/>
                      <w:sz w:val="18"/>
                      <w:szCs w:val="18"/>
                    </w:rPr>
                    <w:t>≥2000</w:t>
                  </w:r>
                  <w:r>
                    <w:rPr>
                      <w:rFonts w:hint="default" w:ascii="Times New Roman" w:hAnsi="Times New Roman" w:eastAsia="Times New Roman" w:cs="Times New Roman"/>
                      <w:sz w:val="18"/>
                      <w:szCs w:val="18"/>
                    </w:rPr>
                    <w:t>mg</w:t>
                  </w:r>
                  <w:r>
                    <w:rPr>
                      <w:rFonts w:hint="default" w:ascii="Times New Roman" w:hAnsi="Times New Roman" w:eastAsia="Times New Roman" w:cs="Times New Roman"/>
                      <w:spacing w:val="9"/>
                      <w:sz w:val="18"/>
                      <w:szCs w:val="18"/>
                    </w:rPr>
                    <w:t>/L</w:t>
                  </w:r>
                  <w:r>
                    <w:rPr>
                      <w:rFonts w:hint="default" w:ascii="Times New Roman" w:hAnsi="Times New Roman" w:cs="Times New Roman"/>
                      <w:spacing w:val="9"/>
                      <w:sz w:val="18"/>
                      <w:szCs w:val="18"/>
                    </w:rPr>
                    <w:t>有机废液的装置，不得布设污水处理站、</w:t>
                  </w:r>
                  <w:r>
                    <w:rPr>
                      <w:rFonts w:hint="default" w:ascii="Times New Roman" w:hAnsi="Times New Roman" w:cs="Times New Roman"/>
                      <w:spacing w:val="6"/>
                      <w:sz w:val="18"/>
                      <w:szCs w:val="18"/>
                    </w:rPr>
                    <w:t>危废间。</w:t>
                  </w:r>
                </w:p>
                <w:p w14:paraId="48D5781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6.</w:t>
                  </w:r>
                  <w:r>
                    <w:rPr>
                      <w:rFonts w:hint="default" w:ascii="Times New Roman" w:hAnsi="Times New Roman" w:cs="Times New Roman"/>
                      <w:spacing w:val="9"/>
                      <w:sz w:val="18"/>
                      <w:szCs w:val="18"/>
                    </w:rPr>
                    <w:t>建议加强村庄搬迁前的空间布局管控，入区</w:t>
                  </w:r>
                  <w:r>
                    <w:rPr>
                      <w:rFonts w:hint="default" w:ascii="Times New Roman" w:hAnsi="Times New Roman" w:cs="Times New Roman"/>
                      <w:spacing w:val="8"/>
                      <w:sz w:val="18"/>
                      <w:szCs w:val="18"/>
                    </w:rPr>
                    <w:t>项目优</w:t>
                  </w:r>
                  <w:r>
                    <w:rPr>
                      <w:rFonts w:hint="default" w:ascii="Times New Roman" w:hAnsi="Times New Roman" w:cs="Times New Roman"/>
                      <w:spacing w:val="9"/>
                      <w:sz w:val="18"/>
                      <w:szCs w:val="18"/>
                    </w:rPr>
                    <w:t>先选择距离现有村庄较远的地块布局，并按照环评文件设置一定的大气环境防护距离，在不能满足上述条件时，开发区内现状村庄结合规划开发时序适时启动</w:t>
                  </w:r>
                  <w:r>
                    <w:rPr>
                      <w:rFonts w:hint="default" w:ascii="Times New Roman" w:hAnsi="Times New Roman" w:cs="Times New Roman"/>
                      <w:spacing w:val="3"/>
                      <w:sz w:val="18"/>
                      <w:szCs w:val="18"/>
                    </w:rPr>
                    <w:t>搬迁。</w:t>
                  </w:r>
                </w:p>
              </w:tc>
              <w:tc>
                <w:tcPr>
                  <w:tcW w:w="1283" w:type="dxa"/>
                  <w:tcBorders>
                    <w:bottom w:val="single" w:color="000000" w:sz="6" w:space="0"/>
                  </w:tcBorders>
                  <w:vAlign w:val="center"/>
                </w:tcPr>
                <w:p w14:paraId="62EB5DE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7"/>
                      <w:sz w:val="18"/>
                      <w:szCs w:val="18"/>
                    </w:rPr>
                    <w:t>项目位于河北迁安经济</w:t>
                  </w:r>
                  <w:r>
                    <w:rPr>
                      <w:rFonts w:hint="default" w:ascii="Times New Roman" w:hAnsi="Times New Roman" w:cs="Times New Roman"/>
                      <w:spacing w:val="8"/>
                      <w:sz w:val="18"/>
                      <w:szCs w:val="18"/>
                    </w:rPr>
                    <w:t>开发区智能</w:t>
                  </w:r>
                  <w:r>
                    <w:rPr>
                      <w:rFonts w:hint="default" w:ascii="Times New Roman" w:hAnsi="Times New Roman" w:cs="Times New Roman"/>
                      <w:spacing w:val="7"/>
                      <w:sz w:val="18"/>
                      <w:szCs w:val="18"/>
                    </w:rPr>
                    <w:t>创新产业</w:t>
                  </w:r>
                  <w:r>
                    <w:rPr>
                      <w:rFonts w:hint="default" w:ascii="Times New Roman" w:hAnsi="Times New Roman" w:cs="Times New Roman"/>
                      <w:spacing w:val="4"/>
                      <w:sz w:val="18"/>
                      <w:szCs w:val="18"/>
                    </w:rPr>
                    <w:t>园，</w:t>
                  </w:r>
                  <w:r>
                    <w:rPr>
                      <w:rFonts w:hint="default" w:ascii="Times New Roman" w:hAnsi="Times New Roman" w:cs="Times New Roman"/>
                      <w:spacing w:val="4"/>
                      <w:sz w:val="18"/>
                      <w:szCs w:val="18"/>
                      <w:lang w:val="en-US" w:eastAsia="zh-CN"/>
                    </w:rPr>
                    <w:t>租赁</w:t>
                  </w:r>
                  <w:r>
                    <w:rPr>
                      <w:rFonts w:hint="default" w:ascii="Times New Roman" w:hAnsi="Times New Roman" w:cs="Times New Roman"/>
                      <w:spacing w:val="4"/>
                      <w:sz w:val="18"/>
                      <w:szCs w:val="18"/>
                    </w:rPr>
                    <w:t>现有厂</w:t>
                  </w:r>
                  <w:r>
                    <w:rPr>
                      <w:rFonts w:hint="default" w:ascii="Times New Roman" w:hAnsi="Times New Roman" w:cs="Times New Roman"/>
                      <w:sz w:val="18"/>
                      <w:szCs w:val="18"/>
                      <w:lang w:val="en-US" w:eastAsia="zh-CN"/>
                    </w:rPr>
                    <w:t>房</w:t>
                  </w:r>
                  <w:r>
                    <w:rPr>
                      <w:rFonts w:hint="default" w:ascii="Times New Roman" w:hAnsi="Times New Roman" w:cs="Times New Roman"/>
                      <w:spacing w:val="5"/>
                      <w:sz w:val="18"/>
                      <w:szCs w:val="18"/>
                    </w:rPr>
                    <w:t>，位于</w:t>
                  </w:r>
                  <w:r>
                    <w:rPr>
                      <w:rFonts w:hint="default" w:ascii="Times New Roman" w:hAnsi="Times New Roman" w:cs="Times New Roman"/>
                      <w:spacing w:val="8"/>
                      <w:sz w:val="18"/>
                      <w:szCs w:val="18"/>
                    </w:rPr>
                    <w:t>城镇开发边</w:t>
                  </w:r>
                  <w:r>
                    <w:rPr>
                      <w:rFonts w:hint="default" w:ascii="Times New Roman" w:hAnsi="Times New Roman" w:cs="Times New Roman"/>
                      <w:spacing w:val="7"/>
                      <w:sz w:val="18"/>
                      <w:szCs w:val="18"/>
                    </w:rPr>
                    <w:t>界内，不新</w:t>
                  </w:r>
                  <w:r>
                    <w:rPr>
                      <w:rFonts w:hint="default" w:ascii="Times New Roman" w:hAnsi="Times New Roman" w:cs="Times New Roman"/>
                      <w:spacing w:val="6"/>
                      <w:sz w:val="18"/>
                      <w:szCs w:val="18"/>
                    </w:rPr>
                    <w:t>增占地</w:t>
                  </w:r>
                </w:p>
              </w:tc>
              <w:tc>
                <w:tcPr>
                  <w:tcW w:w="418" w:type="dxa"/>
                  <w:tcBorders>
                    <w:bottom w:val="single" w:color="000000" w:sz="6" w:space="0"/>
                  </w:tcBorders>
                  <w:vAlign w:val="center"/>
                </w:tcPr>
                <w:p w14:paraId="20A98F8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符合</w:t>
                  </w:r>
                </w:p>
              </w:tc>
            </w:tr>
            <w:tr w14:paraId="498CC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8" w:hRule="atLeast"/>
              </w:trPr>
              <w:tc>
                <w:tcPr>
                  <w:tcW w:w="753" w:type="dxa"/>
                  <w:vAlign w:val="center"/>
                </w:tcPr>
                <w:p w14:paraId="65B0B55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污染</w:t>
                  </w:r>
                  <w:r>
                    <w:rPr>
                      <w:rFonts w:hint="default" w:ascii="Times New Roman" w:hAnsi="Times New Roman" w:cs="Times New Roman"/>
                      <w:spacing w:val="5"/>
                      <w:sz w:val="18"/>
                      <w:szCs w:val="18"/>
                    </w:rPr>
                    <w:t>物排放管</w:t>
                  </w:r>
                  <w:r>
                    <w:rPr>
                      <w:rFonts w:hint="default" w:ascii="Times New Roman" w:hAnsi="Times New Roman" w:cs="Times New Roman"/>
                      <w:spacing w:val="1"/>
                      <w:sz w:val="18"/>
                      <w:szCs w:val="18"/>
                    </w:rPr>
                    <w:t>控</w:t>
                  </w:r>
                </w:p>
              </w:tc>
              <w:tc>
                <w:tcPr>
                  <w:tcW w:w="5071" w:type="dxa"/>
                  <w:vAlign w:val="center"/>
                </w:tcPr>
                <w:p w14:paraId="35EC478B">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5"/>
                      <w:sz w:val="18"/>
                      <w:szCs w:val="18"/>
                    </w:rPr>
                    <w:t>1.</w:t>
                  </w:r>
                  <w:r>
                    <w:rPr>
                      <w:rFonts w:hint="default" w:ascii="Times New Roman" w:hAnsi="Times New Roman" w:cs="Times New Roman"/>
                      <w:spacing w:val="5"/>
                      <w:sz w:val="18"/>
                      <w:szCs w:val="18"/>
                    </w:rPr>
                    <w:t>开发区污染物排放</w:t>
                  </w:r>
                </w:p>
                <w:p w14:paraId="2960F74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①污染物允许排放量</w:t>
                  </w:r>
                </w:p>
                <w:p w14:paraId="58536A6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z w:val="18"/>
                      <w:szCs w:val="18"/>
                    </w:rPr>
                    <w:t>大气污染物：颗粒物</w:t>
                  </w:r>
                  <w:r>
                    <w:rPr>
                      <w:rFonts w:hint="default" w:ascii="Times New Roman" w:hAnsi="Times New Roman" w:eastAsia="Times New Roman" w:cs="Times New Roman"/>
                      <w:sz w:val="18"/>
                      <w:szCs w:val="18"/>
                    </w:rPr>
                    <w:t>8673.177t/a</w:t>
                  </w:r>
                  <w:r>
                    <w:rPr>
                      <w:rFonts w:hint="default" w:ascii="Times New Roman" w:hAnsi="Times New Roman" w:cs="Times New Roman"/>
                      <w:sz w:val="18"/>
                      <w:szCs w:val="18"/>
                    </w:rPr>
                    <w:t>、二氧化硫</w:t>
                  </w:r>
                  <w:r>
                    <w:rPr>
                      <w:rFonts w:hint="default" w:ascii="Times New Roman" w:hAnsi="Times New Roman" w:eastAsia="Times New Roman" w:cs="Times New Roman"/>
                      <w:sz w:val="18"/>
                      <w:szCs w:val="18"/>
                    </w:rPr>
                    <w:t>2790.9</w:t>
                  </w:r>
                  <w:r>
                    <w:rPr>
                      <w:rFonts w:hint="default" w:ascii="Times New Roman" w:hAnsi="Times New Roman" w:eastAsia="Times New Roman" w:cs="Times New Roman"/>
                      <w:spacing w:val="-1"/>
                      <w:sz w:val="18"/>
                      <w:szCs w:val="18"/>
                    </w:rPr>
                    <w:t>35t/a</w:t>
                  </w:r>
                  <w:r>
                    <w:rPr>
                      <w:rFonts w:hint="default" w:ascii="Times New Roman" w:hAnsi="Times New Roman" w:cs="Times New Roman"/>
                      <w:spacing w:val="-1"/>
                      <w:sz w:val="18"/>
                      <w:szCs w:val="18"/>
                    </w:rPr>
                    <w:t>、</w:t>
                  </w:r>
                  <w:r>
                    <w:rPr>
                      <w:rFonts w:hint="default" w:ascii="Times New Roman" w:hAnsi="Times New Roman" w:cs="Times New Roman"/>
                      <w:spacing w:val="4"/>
                      <w:sz w:val="18"/>
                      <w:szCs w:val="18"/>
                    </w:rPr>
                    <w:t>氮氧化物</w:t>
                  </w:r>
                  <w:r>
                    <w:rPr>
                      <w:rFonts w:hint="default" w:ascii="Times New Roman" w:hAnsi="Times New Roman" w:eastAsia="Times New Roman" w:cs="Times New Roman"/>
                      <w:spacing w:val="4"/>
                      <w:sz w:val="18"/>
                      <w:szCs w:val="18"/>
                    </w:rPr>
                    <w:t>5110.100t/a</w:t>
                  </w:r>
                  <w:r>
                    <w:rPr>
                      <w:rFonts w:hint="default" w:ascii="Times New Roman" w:hAnsi="Times New Roman" w:cs="Times New Roman"/>
                      <w:spacing w:val="4"/>
                      <w:sz w:val="18"/>
                      <w:szCs w:val="18"/>
                    </w:rPr>
                    <w:t>、非甲烷总烃</w:t>
                  </w:r>
                  <w:r>
                    <w:rPr>
                      <w:rFonts w:hint="default" w:ascii="Times New Roman" w:hAnsi="Times New Roman" w:eastAsia="Times New Roman" w:cs="Times New Roman"/>
                      <w:spacing w:val="4"/>
                      <w:sz w:val="18"/>
                      <w:szCs w:val="18"/>
                    </w:rPr>
                    <w:t>60.376t/</w:t>
                  </w:r>
                  <w:r>
                    <w:rPr>
                      <w:rFonts w:hint="default" w:ascii="Times New Roman" w:hAnsi="Times New Roman" w:eastAsia="Times New Roman" w:cs="Times New Roman"/>
                      <w:spacing w:val="3"/>
                      <w:sz w:val="18"/>
                      <w:szCs w:val="18"/>
                    </w:rPr>
                    <w:t>a</w:t>
                  </w:r>
                  <w:r>
                    <w:rPr>
                      <w:rFonts w:hint="default" w:ascii="Times New Roman" w:hAnsi="Times New Roman" w:cs="Times New Roman"/>
                      <w:spacing w:val="3"/>
                      <w:sz w:val="18"/>
                      <w:szCs w:val="18"/>
                    </w:rPr>
                    <w:t>、苯</w:t>
                  </w:r>
                  <w:r>
                    <w:rPr>
                      <w:rFonts w:hint="default" w:ascii="Times New Roman" w:hAnsi="Times New Roman" w:eastAsia="Times New Roman" w:cs="Times New Roman"/>
                      <w:spacing w:val="-2"/>
                      <w:sz w:val="18"/>
                      <w:szCs w:val="18"/>
                    </w:rPr>
                    <w:t>2.204t/a</w:t>
                  </w:r>
                  <w:r>
                    <w:rPr>
                      <w:rFonts w:hint="default" w:ascii="Times New Roman" w:hAnsi="Times New Roman" w:cs="Times New Roman"/>
                      <w:spacing w:val="-2"/>
                      <w:sz w:val="18"/>
                      <w:szCs w:val="18"/>
                    </w:rPr>
                    <w:t>、甲苯</w:t>
                  </w:r>
                  <w:r>
                    <w:rPr>
                      <w:rFonts w:hint="default" w:ascii="Times New Roman" w:hAnsi="Times New Roman" w:eastAsia="Times New Roman" w:cs="Times New Roman"/>
                      <w:spacing w:val="-2"/>
                      <w:sz w:val="18"/>
                      <w:szCs w:val="18"/>
                    </w:rPr>
                    <w:t>1.548t/a</w:t>
                  </w:r>
                  <w:r>
                    <w:rPr>
                      <w:rFonts w:hint="default" w:ascii="Times New Roman" w:hAnsi="Times New Roman" w:cs="Times New Roman"/>
                      <w:spacing w:val="-2"/>
                      <w:sz w:val="18"/>
                      <w:szCs w:val="18"/>
                    </w:rPr>
                    <w:t>、二甲苯</w:t>
                  </w:r>
                  <w:r>
                    <w:rPr>
                      <w:rFonts w:hint="default" w:ascii="Times New Roman" w:hAnsi="Times New Roman" w:eastAsia="Times New Roman" w:cs="Times New Roman"/>
                      <w:spacing w:val="-2"/>
                      <w:sz w:val="18"/>
                      <w:szCs w:val="18"/>
                    </w:rPr>
                    <w:t>2.146t/a</w:t>
                  </w:r>
                  <w:r>
                    <w:rPr>
                      <w:rFonts w:hint="default" w:ascii="Times New Roman" w:hAnsi="Times New Roman" w:cs="Times New Roman"/>
                      <w:spacing w:val="-2"/>
                      <w:sz w:val="18"/>
                      <w:szCs w:val="18"/>
                    </w:rPr>
                    <w:t>、氨气</w:t>
                  </w:r>
                  <w:r>
                    <w:rPr>
                      <w:rFonts w:hint="default" w:ascii="Times New Roman" w:hAnsi="Times New Roman" w:eastAsia="Times New Roman" w:cs="Times New Roman"/>
                      <w:spacing w:val="-2"/>
                      <w:sz w:val="18"/>
                      <w:szCs w:val="18"/>
                    </w:rPr>
                    <w:t>39</w:t>
                  </w:r>
                  <w:r>
                    <w:rPr>
                      <w:rFonts w:hint="default" w:ascii="Times New Roman" w:hAnsi="Times New Roman" w:eastAsia="Times New Roman" w:cs="Times New Roman"/>
                      <w:spacing w:val="-3"/>
                      <w:sz w:val="18"/>
                      <w:szCs w:val="18"/>
                    </w:rPr>
                    <w:t>3.626t/a</w:t>
                  </w:r>
                  <w:r>
                    <w:rPr>
                      <w:rFonts w:hint="default" w:ascii="Times New Roman" w:hAnsi="Times New Roman" w:cs="Times New Roman"/>
                      <w:spacing w:val="-3"/>
                      <w:sz w:val="18"/>
                      <w:szCs w:val="18"/>
                    </w:rPr>
                    <w:t>、</w:t>
                  </w:r>
                  <w:r>
                    <w:rPr>
                      <w:rFonts w:hint="default" w:ascii="Times New Roman" w:hAnsi="Times New Roman" w:cs="Times New Roman"/>
                      <w:spacing w:val="3"/>
                      <w:sz w:val="18"/>
                      <w:szCs w:val="18"/>
                    </w:rPr>
                    <w:t>硫化氢</w:t>
                  </w:r>
                  <w:r>
                    <w:rPr>
                      <w:rFonts w:hint="default" w:ascii="Times New Roman" w:hAnsi="Times New Roman" w:eastAsia="Times New Roman" w:cs="Times New Roman"/>
                      <w:spacing w:val="3"/>
                      <w:sz w:val="18"/>
                      <w:szCs w:val="18"/>
                    </w:rPr>
                    <w:t>17.176t/a</w:t>
                  </w:r>
                  <w:r>
                    <w:rPr>
                      <w:rFonts w:hint="default" w:ascii="Times New Roman" w:hAnsi="Times New Roman" w:cs="Times New Roman"/>
                      <w:spacing w:val="3"/>
                      <w:sz w:val="18"/>
                      <w:szCs w:val="18"/>
                    </w:rPr>
                    <w:t>、氯化氢</w:t>
                  </w:r>
                  <w:r>
                    <w:rPr>
                      <w:rFonts w:hint="default" w:ascii="Times New Roman" w:hAnsi="Times New Roman" w:eastAsia="Times New Roman" w:cs="Times New Roman"/>
                      <w:spacing w:val="3"/>
                      <w:sz w:val="18"/>
                      <w:szCs w:val="18"/>
                    </w:rPr>
                    <w:t>31.831t/a</w:t>
                  </w:r>
                  <w:r>
                    <w:rPr>
                      <w:rFonts w:hint="default" w:ascii="Times New Roman" w:hAnsi="Times New Roman" w:cs="Times New Roman"/>
                      <w:spacing w:val="3"/>
                      <w:sz w:val="18"/>
                      <w:szCs w:val="18"/>
                    </w:rPr>
                    <w:t>、苯乙烯</w:t>
                  </w:r>
                  <w:r>
                    <w:rPr>
                      <w:rFonts w:hint="default" w:ascii="Times New Roman" w:hAnsi="Times New Roman" w:eastAsia="Times New Roman" w:cs="Times New Roman"/>
                      <w:spacing w:val="3"/>
                      <w:sz w:val="18"/>
                      <w:szCs w:val="18"/>
                    </w:rPr>
                    <w:t>1.4</w:t>
                  </w:r>
                  <w:r>
                    <w:rPr>
                      <w:rFonts w:hint="default" w:ascii="Times New Roman" w:hAnsi="Times New Roman" w:eastAsia="Times New Roman" w:cs="Times New Roman"/>
                      <w:spacing w:val="2"/>
                      <w:sz w:val="18"/>
                      <w:szCs w:val="18"/>
                    </w:rPr>
                    <w:t>8t/a</w:t>
                  </w:r>
                  <w:r>
                    <w:rPr>
                      <w:rFonts w:hint="default" w:ascii="Times New Roman" w:hAnsi="Times New Roman" w:cs="Times New Roman"/>
                      <w:spacing w:val="2"/>
                      <w:sz w:val="18"/>
                      <w:szCs w:val="18"/>
                    </w:rPr>
                    <w:t>、硫酸雾</w:t>
                  </w:r>
                  <w:r>
                    <w:rPr>
                      <w:rFonts w:hint="default" w:ascii="Times New Roman" w:hAnsi="Times New Roman" w:eastAsia="Times New Roman" w:cs="Times New Roman"/>
                      <w:spacing w:val="2"/>
                      <w:sz w:val="18"/>
                      <w:szCs w:val="18"/>
                    </w:rPr>
                    <w:t>4.569t/a</w:t>
                  </w:r>
                  <w:r>
                    <w:rPr>
                      <w:rFonts w:hint="default" w:ascii="Times New Roman" w:hAnsi="Times New Roman" w:cs="Times New Roman"/>
                      <w:spacing w:val="2"/>
                      <w:sz w:val="18"/>
                      <w:szCs w:val="18"/>
                    </w:rPr>
                    <w:t>、甲醇</w:t>
                  </w:r>
                  <w:r>
                    <w:rPr>
                      <w:rFonts w:hint="default" w:ascii="Times New Roman" w:hAnsi="Times New Roman" w:eastAsia="Times New Roman" w:cs="Times New Roman"/>
                      <w:spacing w:val="2"/>
                      <w:sz w:val="18"/>
                      <w:szCs w:val="18"/>
                    </w:rPr>
                    <w:t>1.661t/a</w:t>
                  </w:r>
                  <w:r>
                    <w:rPr>
                      <w:rFonts w:hint="default" w:ascii="Times New Roman" w:hAnsi="Times New Roman" w:cs="Times New Roman"/>
                      <w:spacing w:val="2"/>
                      <w:sz w:val="18"/>
                      <w:szCs w:val="18"/>
                    </w:rPr>
                    <w:t>、铅</w:t>
                  </w:r>
                  <w:r>
                    <w:rPr>
                      <w:rFonts w:hint="default" w:ascii="Times New Roman" w:hAnsi="Times New Roman" w:eastAsia="Times New Roman" w:cs="Times New Roman"/>
                      <w:spacing w:val="2"/>
                      <w:sz w:val="18"/>
                      <w:szCs w:val="18"/>
                    </w:rPr>
                    <w:t>13.607t/a</w:t>
                  </w:r>
                  <w:r>
                    <w:rPr>
                      <w:rFonts w:hint="default" w:ascii="Times New Roman" w:hAnsi="Times New Roman" w:cs="Times New Roman"/>
                      <w:spacing w:val="2"/>
                      <w:sz w:val="18"/>
                      <w:szCs w:val="18"/>
                    </w:rPr>
                    <w:t>、二噁英</w:t>
                  </w:r>
                  <w:r>
                    <w:rPr>
                      <w:rFonts w:hint="default" w:ascii="Times New Roman" w:hAnsi="Times New Roman" w:eastAsia="Times New Roman" w:cs="Times New Roman"/>
                      <w:spacing w:val="5"/>
                      <w:sz w:val="18"/>
                      <w:szCs w:val="18"/>
                    </w:rPr>
                    <w:t>21.673g-</w:t>
                  </w:r>
                  <w:r>
                    <w:rPr>
                      <w:rFonts w:hint="default" w:ascii="Times New Roman" w:hAnsi="Times New Roman" w:eastAsia="Times New Roman" w:cs="Times New Roman"/>
                      <w:sz w:val="18"/>
                      <w:szCs w:val="18"/>
                    </w:rPr>
                    <w:t>TEQ</w:t>
                  </w:r>
                  <w:r>
                    <w:rPr>
                      <w:rFonts w:hint="default" w:ascii="Times New Roman" w:hAnsi="Times New Roman" w:eastAsia="Times New Roman" w:cs="Times New Roman"/>
                      <w:spacing w:val="5"/>
                      <w:sz w:val="18"/>
                      <w:szCs w:val="18"/>
                    </w:rPr>
                    <w:t>/a</w:t>
                  </w:r>
                  <w:r>
                    <w:rPr>
                      <w:rFonts w:hint="default" w:ascii="Times New Roman" w:hAnsi="Times New Roman" w:cs="Times New Roman"/>
                      <w:spacing w:val="5"/>
                      <w:sz w:val="18"/>
                      <w:szCs w:val="18"/>
                    </w:rPr>
                    <w:t>、一氧化碳</w:t>
                  </w:r>
                  <w:r>
                    <w:rPr>
                      <w:rFonts w:hint="default" w:ascii="Times New Roman" w:hAnsi="Times New Roman" w:eastAsia="Times New Roman" w:cs="Times New Roman"/>
                      <w:spacing w:val="5"/>
                      <w:sz w:val="18"/>
                      <w:szCs w:val="18"/>
                    </w:rPr>
                    <w:t>688430.5</w:t>
                  </w:r>
                  <w:r>
                    <w:rPr>
                      <w:rFonts w:hint="default" w:ascii="Times New Roman" w:hAnsi="Times New Roman" w:eastAsia="Times New Roman" w:cs="Times New Roman"/>
                      <w:spacing w:val="4"/>
                      <w:sz w:val="18"/>
                      <w:szCs w:val="18"/>
                    </w:rPr>
                    <w:t>13t/a</w:t>
                  </w:r>
                  <w:r>
                    <w:rPr>
                      <w:rFonts w:hint="default" w:ascii="Times New Roman" w:hAnsi="Times New Roman" w:cs="Times New Roman"/>
                      <w:spacing w:val="4"/>
                      <w:sz w:val="18"/>
                      <w:szCs w:val="18"/>
                    </w:rPr>
                    <w:t>、氟化物</w:t>
                  </w:r>
                  <w:r>
                    <w:rPr>
                      <w:rFonts w:hint="default" w:ascii="Times New Roman" w:hAnsi="Times New Roman" w:eastAsia="Times New Roman" w:cs="Times New Roman"/>
                      <w:spacing w:val="3"/>
                      <w:sz w:val="18"/>
                      <w:szCs w:val="18"/>
                    </w:rPr>
                    <w:t>82.515t/a</w:t>
                  </w:r>
                  <w:r>
                    <w:rPr>
                      <w:rFonts w:hint="default" w:ascii="Times New Roman" w:hAnsi="Times New Roman" w:cs="Times New Roman"/>
                      <w:spacing w:val="3"/>
                      <w:sz w:val="18"/>
                      <w:szCs w:val="18"/>
                    </w:rPr>
                    <w:t>、氰化氢</w:t>
                  </w:r>
                  <w:r>
                    <w:rPr>
                      <w:rFonts w:hint="default" w:ascii="Times New Roman" w:hAnsi="Times New Roman" w:eastAsia="Times New Roman" w:cs="Times New Roman"/>
                      <w:spacing w:val="3"/>
                      <w:sz w:val="18"/>
                      <w:szCs w:val="18"/>
                    </w:rPr>
                    <w:t>0.171t/a</w:t>
                  </w:r>
                  <w:r>
                    <w:rPr>
                      <w:rFonts w:hint="default" w:ascii="Times New Roman" w:hAnsi="Times New Roman" w:cs="Times New Roman"/>
                      <w:spacing w:val="3"/>
                      <w:sz w:val="18"/>
                      <w:szCs w:val="18"/>
                    </w:rPr>
                    <w:t>、酚类</w:t>
                  </w:r>
                  <w:r>
                    <w:rPr>
                      <w:rFonts w:hint="default" w:ascii="Times New Roman" w:hAnsi="Times New Roman" w:eastAsia="Times New Roman" w:cs="Times New Roman"/>
                      <w:spacing w:val="3"/>
                      <w:sz w:val="18"/>
                      <w:szCs w:val="18"/>
                    </w:rPr>
                    <w:t>0.065t/a</w:t>
                  </w:r>
                  <w:r>
                    <w:rPr>
                      <w:rFonts w:hint="default" w:ascii="Times New Roman" w:hAnsi="Times New Roman" w:cs="Times New Roman"/>
                      <w:spacing w:val="2"/>
                      <w:sz w:val="18"/>
                      <w:szCs w:val="18"/>
                    </w:rPr>
                    <w:t>、苯并</w:t>
                  </w:r>
                  <w:r>
                    <w:rPr>
                      <w:rFonts w:hint="default" w:ascii="Times New Roman" w:hAnsi="Times New Roman" w:eastAsia="Times New Roman" w:cs="Times New Roman"/>
                      <w:spacing w:val="2"/>
                      <w:sz w:val="18"/>
                      <w:szCs w:val="18"/>
                    </w:rPr>
                    <w:t>[a]</w:t>
                  </w:r>
                  <w:r>
                    <w:rPr>
                      <w:rFonts w:hint="default" w:ascii="Times New Roman" w:hAnsi="Times New Roman" w:cs="Times New Roman"/>
                      <w:spacing w:val="2"/>
                      <w:sz w:val="18"/>
                      <w:szCs w:val="18"/>
                    </w:rPr>
                    <w:t>芘</w:t>
                  </w:r>
                  <w:r>
                    <w:rPr>
                      <w:rFonts w:hint="default" w:ascii="Times New Roman" w:hAnsi="Times New Roman" w:eastAsia="Times New Roman" w:cs="Times New Roman"/>
                      <w:spacing w:val="4"/>
                      <w:sz w:val="18"/>
                      <w:szCs w:val="18"/>
                    </w:rPr>
                    <w:t>0.021t/a</w:t>
                  </w:r>
                  <w:r>
                    <w:rPr>
                      <w:rFonts w:hint="default" w:ascii="Times New Roman" w:hAnsi="Times New Roman" w:cs="Times New Roman"/>
                      <w:spacing w:val="4"/>
                      <w:sz w:val="18"/>
                      <w:szCs w:val="18"/>
                    </w:rPr>
                    <w:t>、苯可溶物</w:t>
                  </w:r>
                  <w:r>
                    <w:rPr>
                      <w:rFonts w:hint="default" w:ascii="Times New Roman" w:hAnsi="Times New Roman" w:eastAsia="Times New Roman" w:cs="Times New Roman"/>
                      <w:spacing w:val="4"/>
                      <w:sz w:val="18"/>
                      <w:szCs w:val="18"/>
                    </w:rPr>
                    <w:t>6.877t/a</w:t>
                  </w:r>
                  <w:r>
                    <w:rPr>
                      <w:rFonts w:hint="default" w:ascii="Times New Roman" w:hAnsi="Times New Roman" w:cs="Times New Roman"/>
                      <w:spacing w:val="4"/>
                      <w:sz w:val="18"/>
                      <w:szCs w:val="18"/>
                    </w:rPr>
                    <w:t>、磷酸雾</w:t>
                  </w:r>
                  <w:r>
                    <w:rPr>
                      <w:rFonts w:hint="default" w:ascii="Times New Roman" w:hAnsi="Times New Roman" w:eastAsia="Times New Roman" w:cs="Times New Roman"/>
                      <w:spacing w:val="4"/>
                      <w:sz w:val="18"/>
                      <w:szCs w:val="18"/>
                    </w:rPr>
                    <w:t>0.003t/a</w:t>
                  </w:r>
                  <w:r>
                    <w:rPr>
                      <w:rFonts w:hint="default" w:ascii="Times New Roman" w:hAnsi="Times New Roman" w:cs="Times New Roman"/>
                      <w:spacing w:val="3"/>
                      <w:sz w:val="18"/>
                      <w:szCs w:val="18"/>
                    </w:rPr>
                    <w:t>、铬及其</w:t>
                  </w:r>
                  <w:r>
                    <w:rPr>
                      <w:rFonts w:hint="default" w:ascii="Times New Roman" w:hAnsi="Times New Roman" w:cs="Times New Roman"/>
                      <w:spacing w:val="5"/>
                      <w:sz w:val="18"/>
                      <w:szCs w:val="18"/>
                    </w:rPr>
                    <w:t>化合物</w:t>
                  </w:r>
                  <w:r>
                    <w:rPr>
                      <w:rFonts w:hint="default" w:ascii="Times New Roman" w:hAnsi="Times New Roman" w:eastAsia="Times New Roman" w:cs="Times New Roman"/>
                      <w:spacing w:val="5"/>
                      <w:sz w:val="18"/>
                      <w:szCs w:val="18"/>
                    </w:rPr>
                    <w:t>0.011t/a</w:t>
                  </w:r>
                  <w:r>
                    <w:rPr>
                      <w:rFonts w:hint="default" w:ascii="Times New Roman" w:hAnsi="Times New Roman" w:cs="Times New Roman"/>
                      <w:spacing w:val="5"/>
                      <w:sz w:val="18"/>
                      <w:szCs w:val="18"/>
                    </w:rPr>
                    <w:t>、镍及其化合物</w:t>
                  </w:r>
                  <w:r>
                    <w:rPr>
                      <w:rFonts w:hint="default" w:ascii="Times New Roman" w:hAnsi="Times New Roman" w:eastAsia="Times New Roman" w:cs="Times New Roman"/>
                      <w:spacing w:val="5"/>
                      <w:sz w:val="18"/>
                      <w:szCs w:val="18"/>
                    </w:rPr>
                    <w:t>0</w:t>
                  </w:r>
                  <w:r>
                    <w:rPr>
                      <w:rFonts w:hint="default" w:ascii="Times New Roman" w:hAnsi="Times New Roman" w:eastAsia="Times New Roman" w:cs="Times New Roman"/>
                      <w:spacing w:val="4"/>
                      <w:sz w:val="18"/>
                      <w:szCs w:val="18"/>
                    </w:rPr>
                    <w:t>.001t/a</w:t>
                  </w:r>
                  <w:r>
                    <w:rPr>
                      <w:rFonts w:hint="default" w:ascii="Times New Roman" w:hAnsi="Times New Roman" w:cs="Times New Roman"/>
                      <w:spacing w:val="4"/>
                      <w:sz w:val="18"/>
                      <w:szCs w:val="18"/>
                    </w:rPr>
                    <w:t>、镉及其化合物</w:t>
                  </w:r>
                  <w:r>
                    <w:rPr>
                      <w:rFonts w:hint="default" w:ascii="Times New Roman" w:hAnsi="Times New Roman" w:eastAsia="Times New Roman" w:cs="Times New Roman"/>
                      <w:spacing w:val="3"/>
                      <w:sz w:val="18"/>
                      <w:szCs w:val="18"/>
                    </w:rPr>
                    <w:t>6.02E-03t/a</w:t>
                  </w:r>
                  <w:r>
                    <w:rPr>
                      <w:rFonts w:hint="default" w:ascii="Times New Roman" w:hAnsi="Times New Roman" w:cs="Times New Roman"/>
                      <w:spacing w:val="3"/>
                      <w:sz w:val="18"/>
                      <w:szCs w:val="18"/>
                    </w:rPr>
                    <w:t>、砷及其化合物</w:t>
                  </w:r>
                  <w:r>
                    <w:rPr>
                      <w:rFonts w:hint="default" w:ascii="Times New Roman" w:hAnsi="Times New Roman" w:eastAsia="Times New Roman" w:cs="Times New Roman"/>
                      <w:spacing w:val="3"/>
                      <w:sz w:val="18"/>
                      <w:szCs w:val="18"/>
                    </w:rPr>
                    <w:t>4.00E-03t/a</w:t>
                  </w:r>
                  <w:r>
                    <w:rPr>
                      <w:rFonts w:hint="default" w:ascii="Times New Roman" w:hAnsi="Times New Roman" w:cs="Times New Roman"/>
                      <w:spacing w:val="3"/>
                      <w:sz w:val="18"/>
                      <w:szCs w:val="18"/>
                    </w:rPr>
                    <w:t>、汞及其化合物</w:t>
                  </w:r>
                  <w:r>
                    <w:rPr>
                      <w:rFonts w:hint="default" w:ascii="Times New Roman" w:hAnsi="Times New Roman" w:eastAsia="Times New Roman" w:cs="Times New Roman"/>
                      <w:spacing w:val="4"/>
                      <w:sz w:val="18"/>
                      <w:szCs w:val="18"/>
                    </w:rPr>
                    <w:t>5.55E-03t/a</w:t>
                  </w:r>
                  <w:r>
                    <w:rPr>
                      <w:rFonts w:hint="default" w:ascii="Times New Roman" w:hAnsi="Times New Roman" w:cs="Times New Roman"/>
                      <w:spacing w:val="4"/>
                      <w:sz w:val="18"/>
                      <w:szCs w:val="18"/>
                    </w:rPr>
                    <w:t>、锡及其化合物</w:t>
                  </w:r>
                  <w:r>
                    <w:rPr>
                      <w:rFonts w:hint="default" w:ascii="Times New Roman" w:hAnsi="Times New Roman" w:eastAsia="Times New Roman" w:cs="Times New Roman"/>
                      <w:spacing w:val="4"/>
                      <w:sz w:val="18"/>
                      <w:szCs w:val="18"/>
                    </w:rPr>
                    <w:t>3.62E-04t/a</w:t>
                  </w:r>
                  <w:r>
                    <w:rPr>
                      <w:rFonts w:hint="default" w:ascii="Times New Roman" w:hAnsi="Times New Roman" w:cs="Times New Roman"/>
                      <w:spacing w:val="4"/>
                      <w:sz w:val="18"/>
                      <w:szCs w:val="18"/>
                    </w:rPr>
                    <w:t>、锑及其化合物</w:t>
                  </w:r>
                  <w:r>
                    <w:rPr>
                      <w:rFonts w:hint="default" w:ascii="Times New Roman" w:hAnsi="Times New Roman" w:eastAsia="Times New Roman" w:cs="Times New Roman"/>
                      <w:spacing w:val="3"/>
                      <w:sz w:val="18"/>
                      <w:szCs w:val="18"/>
                    </w:rPr>
                    <w:t>8.63E-05t/a</w:t>
                  </w:r>
                  <w:r>
                    <w:rPr>
                      <w:rFonts w:hint="default" w:ascii="Times New Roman" w:hAnsi="Times New Roman" w:cs="Times New Roman"/>
                      <w:spacing w:val="3"/>
                      <w:sz w:val="18"/>
                      <w:szCs w:val="18"/>
                    </w:rPr>
                    <w:t>、铜及其化合物</w:t>
                  </w:r>
                  <w:r>
                    <w:rPr>
                      <w:rFonts w:hint="default" w:ascii="Times New Roman" w:hAnsi="Times New Roman" w:eastAsia="Times New Roman" w:cs="Times New Roman"/>
                      <w:spacing w:val="3"/>
                      <w:sz w:val="18"/>
                      <w:szCs w:val="18"/>
                    </w:rPr>
                    <w:t>8.16E-04t</w:t>
                  </w:r>
                  <w:r>
                    <w:rPr>
                      <w:rFonts w:hint="default" w:ascii="Times New Roman" w:hAnsi="Times New Roman" w:eastAsia="Times New Roman" w:cs="Times New Roman"/>
                      <w:spacing w:val="2"/>
                      <w:sz w:val="18"/>
                      <w:szCs w:val="18"/>
                    </w:rPr>
                    <w:t>/a</w:t>
                  </w:r>
                  <w:r>
                    <w:rPr>
                      <w:rFonts w:hint="default" w:ascii="Times New Roman" w:hAnsi="Times New Roman" w:cs="Times New Roman"/>
                      <w:spacing w:val="2"/>
                      <w:sz w:val="18"/>
                      <w:szCs w:val="18"/>
                    </w:rPr>
                    <w:t>、锰及其化合物</w:t>
                  </w:r>
                  <w:r>
                    <w:rPr>
                      <w:rFonts w:hint="default" w:ascii="Times New Roman" w:hAnsi="Times New Roman" w:eastAsia="Times New Roman" w:cs="Times New Roman"/>
                      <w:spacing w:val="3"/>
                      <w:sz w:val="18"/>
                      <w:szCs w:val="18"/>
                    </w:rPr>
                    <w:t>9.82E-04t/a</w:t>
                  </w:r>
                  <w:r>
                    <w:rPr>
                      <w:rFonts w:hint="default" w:ascii="Times New Roman" w:hAnsi="Times New Roman" w:cs="Times New Roman"/>
                      <w:spacing w:val="3"/>
                      <w:sz w:val="18"/>
                      <w:szCs w:val="18"/>
                    </w:rPr>
                    <w:t>；</w:t>
                  </w:r>
                </w:p>
                <w:p w14:paraId="61ACACD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2"/>
                      <w:sz w:val="18"/>
                      <w:szCs w:val="18"/>
                    </w:rPr>
                    <w:t>水污染物：</w:t>
                  </w:r>
                  <w:r>
                    <w:rPr>
                      <w:rFonts w:hint="default" w:ascii="Times New Roman" w:hAnsi="Times New Roman" w:eastAsia="Times New Roman" w:cs="Times New Roman"/>
                      <w:spacing w:val="-2"/>
                      <w:sz w:val="18"/>
                      <w:szCs w:val="18"/>
                    </w:rPr>
                    <w:t>COD100.153t/a</w:t>
                  </w:r>
                  <w:r>
                    <w:rPr>
                      <w:rFonts w:hint="default" w:ascii="Times New Roman" w:hAnsi="Times New Roman" w:cs="Times New Roman"/>
                      <w:spacing w:val="-2"/>
                      <w:sz w:val="18"/>
                      <w:szCs w:val="18"/>
                    </w:rPr>
                    <w:t>、氨氮</w:t>
                  </w:r>
                  <w:r>
                    <w:rPr>
                      <w:rFonts w:hint="default" w:ascii="Times New Roman" w:hAnsi="Times New Roman" w:eastAsia="Times New Roman" w:cs="Times New Roman"/>
                      <w:spacing w:val="-2"/>
                      <w:sz w:val="18"/>
                      <w:szCs w:val="18"/>
                    </w:rPr>
                    <w:t>5.233t/a</w:t>
                  </w:r>
                  <w:r>
                    <w:rPr>
                      <w:rFonts w:hint="default" w:ascii="Times New Roman" w:hAnsi="Times New Roman" w:cs="Times New Roman"/>
                      <w:spacing w:val="-2"/>
                      <w:sz w:val="18"/>
                      <w:szCs w:val="18"/>
                    </w:rPr>
                    <w:t>、总磷</w:t>
                  </w:r>
                  <w:r>
                    <w:rPr>
                      <w:rFonts w:hint="default" w:ascii="Times New Roman" w:hAnsi="Times New Roman" w:eastAsia="Times New Roman" w:cs="Times New Roman"/>
                      <w:spacing w:val="-2"/>
                      <w:sz w:val="18"/>
                      <w:szCs w:val="18"/>
                    </w:rPr>
                    <w:t>1.002t/a</w:t>
                  </w:r>
                  <w:r>
                    <w:rPr>
                      <w:rFonts w:hint="default" w:ascii="Times New Roman" w:hAnsi="Times New Roman" w:cs="Times New Roman"/>
                      <w:spacing w:val="-2"/>
                      <w:sz w:val="18"/>
                      <w:szCs w:val="18"/>
                    </w:rPr>
                    <w:t>、</w:t>
                  </w:r>
                  <w:r>
                    <w:rPr>
                      <w:rFonts w:hint="default" w:ascii="Times New Roman" w:hAnsi="Times New Roman" w:cs="Times New Roman"/>
                      <w:spacing w:val="3"/>
                      <w:sz w:val="18"/>
                      <w:szCs w:val="18"/>
                    </w:rPr>
                    <w:t>总氮</w:t>
                  </w:r>
                  <w:r>
                    <w:rPr>
                      <w:rFonts w:hint="default" w:ascii="Times New Roman" w:hAnsi="Times New Roman" w:eastAsia="Times New Roman" w:cs="Times New Roman"/>
                      <w:spacing w:val="3"/>
                      <w:sz w:val="18"/>
                      <w:szCs w:val="18"/>
                    </w:rPr>
                    <w:t>44.044t/a</w:t>
                  </w:r>
                  <w:r>
                    <w:rPr>
                      <w:rFonts w:hint="default" w:ascii="Times New Roman" w:hAnsi="Times New Roman" w:cs="Times New Roman"/>
                      <w:spacing w:val="3"/>
                      <w:sz w:val="18"/>
                      <w:szCs w:val="18"/>
                    </w:rPr>
                    <w:t>、</w:t>
                  </w:r>
                  <w:r>
                    <w:rPr>
                      <w:rFonts w:hint="default" w:ascii="Times New Roman" w:hAnsi="Times New Roman" w:eastAsia="Times New Roman" w:cs="Times New Roman"/>
                      <w:sz w:val="18"/>
                      <w:szCs w:val="18"/>
                    </w:rPr>
                    <w:t>BOD</w:t>
                  </w:r>
                  <w:r>
                    <w:rPr>
                      <w:rFonts w:hint="default" w:ascii="Times New Roman" w:hAnsi="Times New Roman" w:eastAsia="Times New Roman" w:cs="Times New Roman"/>
                      <w:spacing w:val="3"/>
                      <w:sz w:val="18"/>
                      <w:szCs w:val="18"/>
                    </w:rPr>
                    <w:t>522.082t/a</w:t>
                  </w:r>
                  <w:r>
                    <w:rPr>
                      <w:rFonts w:hint="default" w:ascii="Times New Roman" w:hAnsi="Times New Roman" w:cs="Times New Roman"/>
                      <w:spacing w:val="3"/>
                      <w:sz w:val="18"/>
                      <w:szCs w:val="18"/>
                    </w:rPr>
                    <w:t>、石油类</w:t>
                  </w:r>
                  <w:r>
                    <w:rPr>
                      <w:rFonts w:hint="default" w:ascii="Times New Roman" w:hAnsi="Times New Roman" w:eastAsia="Times New Roman" w:cs="Times New Roman"/>
                      <w:spacing w:val="3"/>
                      <w:sz w:val="18"/>
                      <w:szCs w:val="18"/>
                    </w:rPr>
                    <w:t>2.936t/a</w:t>
                  </w:r>
                  <w:r>
                    <w:rPr>
                      <w:rFonts w:hint="default" w:ascii="Times New Roman" w:hAnsi="Times New Roman" w:cs="Times New Roman"/>
                      <w:spacing w:val="2"/>
                      <w:sz w:val="18"/>
                      <w:szCs w:val="18"/>
                    </w:rPr>
                    <w:t>、氯化</w:t>
                  </w:r>
                  <w:r>
                    <w:rPr>
                      <w:rFonts w:hint="default" w:ascii="Times New Roman" w:hAnsi="Times New Roman" w:cs="Times New Roman"/>
                      <w:spacing w:val="3"/>
                      <w:sz w:val="18"/>
                      <w:szCs w:val="18"/>
                    </w:rPr>
                    <w:t>物</w:t>
                  </w:r>
                  <w:r>
                    <w:rPr>
                      <w:rFonts w:hint="default" w:ascii="Times New Roman" w:hAnsi="Times New Roman" w:eastAsia="Times New Roman" w:cs="Times New Roman"/>
                      <w:spacing w:val="3"/>
                      <w:sz w:val="18"/>
                      <w:szCs w:val="18"/>
                    </w:rPr>
                    <w:t>22.574t/a</w:t>
                  </w:r>
                  <w:r>
                    <w:rPr>
                      <w:rFonts w:hint="default" w:ascii="Times New Roman" w:hAnsi="Times New Roman" w:cs="Times New Roman"/>
                      <w:spacing w:val="3"/>
                      <w:sz w:val="18"/>
                      <w:szCs w:val="18"/>
                    </w:rPr>
                    <w:t>、挥发酚</w:t>
                  </w:r>
                  <w:r>
                    <w:rPr>
                      <w:rFonts w:hint="default" w:ascii="Times New Roman" w:hAnsi="Times New Roman" w:eastAsia="Times New Roman" w:cs="Times New Roman"/>
                      <w:spacing w:val="3"/>
                      <w:sz w:val="18"/>
                      <w:szCs w:val="18"/>
                    </w:rPr>
                    <w:t>0.103t/a</w:t>
                  </w:r>
                  <w:r>
                    <w:rPr>
                      <w:rFonts w:hint="default" w:ascii="Times New Roman" w:hAnsi="Times New Roman" w:cs="Times New Roman"/>
                      <w:spacing w:val="3"/>
                      <w:sz w:val="18"/>
                      <w:szCs w:val="18"/>
                    </w:rPr>
                    <w:t>、硫化物</w:t>
                  </w:r>
                  <w:r>
                    <w:rPr>
                      <w:rFonts w:hint="default" w:ascii="Times New Roman" w:hAnsi="Times New Roman" w:eastAsia="Times New Roman" w:cs="Times New Roman"/>
                      <w:spacing w:val="3"/>
                      <w:sz w:val="18"/>
                      <w:szCs w:val="18"/>
                    </w:rPr>
                    <w:t>1.0</w:t>
                  </w:r>
                  <w:r>
                    <w:rPr>
                      <w:rFonts w:hint="default" w:ascii="Times New Roman" w:hAnsi="Times New Roman" w:eastAsia="Times New Roman" w:cs="Times New Roman"/>
                      <w:spacing w:val="2"/>
                      <w:sz w:val="18"/>
                      <w:szCs w:val="18"/>
                    </w:rPr>
                    <w:t>26t/a</w:t>
                  </w:r>
                  <w:r>
                    <w:rPr>
                      <w:rFonts w:hint="default" w:ascii="Times New Roman" w:hAnsi="Times New Roman" w:cs="Times New Roman"/>
                      <w:spacing w:val="2"/>
                      <w:sz w:val="18"/>
                      <w:szCs w:val="18"/>
                    </w:rPr>
                    <w:t>、氰化物</w:t>
                  </w:r>
                  <w:r>
                    <w:rPr>
                      <w:rFonts w:hint="default" w:ascii="Times New Roman" w:hAnsi="Times New Roman" w:eastAsia="Times New Roman" w:cs="Times New Roman"/>
                      <w:spacing w:val="2"/>
                      <w:sz w:val="18"/>
                      <w:szCs w:val="18"/>
                    </w:rPr>
                    <w:t>0.513t/a</w:t>
                  </w:r>
                  <w:r>
                    <w:rPr>
                      <w:rFonts w:hint="default" w:ascii="Times New Roman" w:hAnsi="Times New Roman" w:cs="Times New Roman"/>
                      <w:spacing w:val="2"/>
                      <w:sz w:val="18"/>
                      <w:szCs w:val="18"/>
                    </w:rPr>
                    <w:t>、总锌</w:t>
                  </w:r>
                  <w:r>
                    <w:rPr>
                      <w:rFonts w:hint="default" w:ascii="Times New Roman" w:hAnsi="Times New Roman" w:eastAsia="Times New Roman" w:cs="Times New Roman"/>
                      <w:spacing w:val="2"/>
                      <w:sz w:val="18"/>
                      <w:szCs w:val="18"/>
                    </w:rPr>
                    <w:t>1.82t/a</w:t>
                  </w:r>
                  <w:r>
                    <w:rPr>
                      <w:rFonts w:hint="default" w:ascii="Times New Roman" w:hAnsi="Times New Roman" w:cs="Times New Roman"/>
                      <w:spacing w:val="2"/>
                      <w:sz w:val="18"/>
                      <w:szCs w:val="18"/>
                    </w:rPr>
                    <w:t>。</w:t>
                  </w:r>
                </w:p>
                <w:p w14:paraId="05CEF4D8">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②开发区存量源削减量</w:t>
                  </w:r>
                </w:p>
                <w:p w14:paraId="7C25714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大气污染物：颗粒物</w:t>
                  </w:r>
                  <w:r>
                    <w:rPr>
                      <w:rFonts w:hint="default" w:ascii="Times New Roman" w:hAnsi="Times New Roman" w:eastAsia="Times New Roman" w:cs="Times New Roman"/>
                      <w:spacing w:val="3"/>
                      <w:sz w:val="18"/>
                      <w:szCs w:val="18"/>
                    </w:rPr>
                    <w:t>2098.581t/a</w:t>
                  </w:r>
                  <w:r>
                    <w:rPr>
                      <w:rFonts w:hint="default" w:ascii="Times New Roman" w:hAnsi="Times New Roman" w:cs="Times New Roman"/>
                      <w:spacing w:val="3"/>
                      <w:sz w:val="18"/>
                      <w:szCs w:val="18"/>
                    </w:rPr>
                    <w:t>、二氧化硫</w:t>
                  </w:r>
                  <w:r>
                    <w:rPr>
                      <w:rFonts w:hint="default" w:ascii="Times New Roman" w:hAnsi="Times New Roman" w:eastAsia="Times New Roman" w:cs="Times New Roman"/>
                      <w:spacing w:val="3"/>
                      <w:sz w:val="18"/>
                      <w:szCs w:val="18"/>
                    </w:rPr>
                    <w:t>672.290t/a</w:t>
                  </w:r>
                  <w:r>
                    <w:rPr>
                      <w:rFonts w:hint="default" w:ascii="Times New Roman" w:hAnsi="Times New Roman" w:cs="Times New Roman"/>
                      <w:spacing w:val="3"/>
                      <w:sz w:val="18"/>
                      <w:szCs w:val="18"/>
                    </w:rPr>
                    <w:t>、</w:t>
                  </w:r>
                  <w:r>
                    <w:rPr>
                      <w:rFonts w:hint="default" w:ascii="Times New Roman" w:hAnsi="Times New Roman" w:cs="Times New Roman"/>
                      <w:spacing w:val="4"/>
                      <w:sz w:val="18"/>
                      <w:szCs w:val="18"/>
                    </w:rPr>
                    <w:t>氮氧化物</w:t>
                  </w:r>
                  <w:r>
                    <w:rPr>
                      <w:rFonts w:hint="default" w:ascii="Times New Roman" w:hAnsi="Times New Roman" w:eastAsia="Times New Roman" w:cs="Times New Roman"/>
                      <w:spacing w:val="4"/>
                      <w:sz w:val="18"/>
                      <w:szCs w:val="18"/>
                    </w:rPr>
                    <w:t>1600.138t/a</w:t>
                  </w:r>
                  <w:r>
                    <w:rPr>
                      <w:rFonts w:hint="default" w:ascii="Times New Roman" w:hAnsi="Times New Roman" w:cs="Times New Roman"/>
                      <w:spacing w:val="4"/>
                      <w:sz w:val="18"/>
                      <w:szCs w:val="18"/>
                    </w:rPr>
                    <w:t>、非甲烷总烃</w:t>
                  </w:r>
                  <w:r>
                    <w:rPr>
                      <w:rFonts w:hint="default" w:ascii="Times New Roman" w:hAnsi="Times New Roman" w:eastAsia="Times New Roman" w:cs="Times New Roman"/>
                      <w:spacing w:val="4"/>
                      <w:sz w:val="18"/>
                      <w:szCs w:val="18"/>
                    </w:rPr>
                    <w:t>41.876t/a</w:t>
                  </w:r>
                  <w:r>
                    <w:rPr>
                      <w:rFonts w:hint="default" w:ascii="Times New Roman" w:hAnsi="Times New Roman" w:cs="Times New Roman"/>
                      <w:spacing w:val="4"/>
                      <w:sz w:val="18"/>
                      <w:szCs w:val="18"/>
                    </w:rPr>
                    <w:t>；</w:t>
                  </w:r>
                </w:p>
                <w:p w14:paraId="33F12AC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5"/>
                      <w:sz w:val="18"/>
                      <w:szCs w:val="18"/>
                    </w:rPr>
                    <w:t>水污染物：</w:t>
                  </w:r>
                  <w:r>
                    <w:rPr>
                      <w:rFonts w:hint="default" w:ascii="Times New Roman" w:hAnsi="Times New Roman" w:eastAsia="Times New Roman" w:cs="Times New Roman"/>
                      <w:sz w:val="18"/>
                      <w:szCs w:val="18"/>
                    </w:rPr>
                    <w:t>COD</w:t>
                  </w:r>
                  <w:r>
                    <w:rPr>
                      <w:rFonts w:hint="default" w:ascii="Times New Roman" w:hAnsi="Times New Roman" w:eastAsia="Times New Roman" w:cs="Times New Roman"/>
                      <w:spacing w:val="5"/>
                      <w:sz w:val="18"/>
                      <w:szCs w:val="18"/>
                    </w:rPr>
                    <w:t>728.299t/a</w:t>
                  </w:r>
                  <w:r>
                    <w:rPr>
                      <w:rFonts w:hint="default" w:ascii="Times New Roman" w:hAnsi="Times New Roman" w:cs="Times New Roman"/>
                      <w:spacing w:val="5"/>
                      <w:sz w:val="18"/>
                      <w:szCs w:val="18"/>
                    </w:rPr>
                    <w:t>、氨氮</w:t>
                  </w:r>
                  <w:r>
                    <w:rPr>
                      <w:rFonts w:hint="default" w:ascii="Times New Roman" w:hAnsi="Times New Roman" w:eastAsia="Times New Roman" w:cs="Times New Roman"/>
                      <w:spacing w:val="5"/>
                      <w:sz w:val="18"/>
                      <w:szCs w:val="18"/>
                    </w:rPr>
                    <w:t>70.239t/a</w:t>
                  </w:r>
                  <w:r>
                    <w:rPr>
                      <w:rFonts w:hint="default" w:ascii="Times New Roman" w:hAnsi="Times New Roman" w:cs="Times New Roman"/>
                      <w:spacing w:val="5"/>
                      <w:sz w:val="18"/>
                      <w:szCs w:val="18"/>
                    </w:rPr>
                    <w:t>、总磷</w:t>
                  </w:r>
                  <w:r>
                    <w:rPr>
                      <w:rFonts w:hint="default" w:ascii="Times New Roman" w:hAnsi="Times New Roman" w:eastAsia="Times New Roman" w:cs="Times New Roman"/>
                      <w:spacing w:val="4"/>
                      <w:sz w:val="18"/>
                      <w:szCs w:val="18"/>
                    </w:rPr>
                    <w:t>7.977t/a</w:t>
                  </w:r>
                  <w:r>
                    <w:rPr>
                      <w:rFonts w:hint="default" w:ascii="Times New Roman" w:hAnsi="Times New Roman" w:cs="Times New Roman"/>
                      <w:spacing w:val="4"/>
                      <w:sz w:val="18"/>
                      <w:szCs w:val="18"/>
                    </w:rPr>
                    <w:t>、总氮</w:t>
                  </w:r>
                  <w:r>
                    <w:rPr>
                      <w:rFonts w:hint="default" w:ascii="Times New Roman" w:hAnsi="Times New Roman" w:eastAsia="Times New Roman" w:cs="Times New Roman"/>
                      <w:spacing w:val="4"/>
                      <w:sz w:val="18"/>
                      <w:szCs w:val="18"/>
                    </w:rPr>
                    <w:t>52.013t/a</w:t>
                  </w:r>
                  <w:r>
                    <w:rPr>
                      <w:rFonts w:hint="default" w:ascii="Times New Roman" w:hAnsi="Times New Roman" w:cs="Times New Roman"/>
                      <w:spacing w:val="4"/>
                      <w:sz w:val="18"/>
                      <w:szCs w:val="18"/>
                    </w:rPr>
                    <w:t>、</w:t>
                  </w:r>
                  <w:r>
                    <w:rPr>
                      <w:rFonts w:hint="default" w:ascii="Times New Roman" w:hAnsi="Times New Roman" w:eastAsia="Times New Roman" w:cs="Times New Roman"/>
                      <w:sz w:val="18"/>
                      <w:szCs w:val="18"/>
                    </w:rPr>
                    <w:t>BOD</w:t>
                  </w:r>
                  <w:r>
                    <w:rPr>
                      <w:rFonts w:hint="default" w:ascii="Times New Roman" w:hAnsi="Times New Roman" w:eastAsia="Times New Roman" w:cs="Times New Roman"/>
                      <w:spacing w:val="3"/>
                      <w:position w:val="-1"/>
                      <w:sz w:val="18"/>
                      <w:szCs w:val="18"/>
                    </w:rPr>
                    <w:t>5</w:t>
                  </w:r>
                  <w:r>
                    <w:rPr>
                      <w:rFonts w:hint="default" w:ascii="Times New Roman" w:hAnsi="Times New Roman" w:eastAsia="Times New Roman" w:cs="Times New Roman"/>
                      <w:spacing w:val="3"/>
                      <w:sz w:val="18"/>
                      <w:szCs w:val="18"/>
                    </w:rPr>
                    <w:t>679.655t/a</w:t>
                  </w:r>
                  <w:r>
                    <w:rPr>
                      <w:rFonts w:hint="default" w:ascii="Times New Roman" w:hAnsi="Times New Roman" w:cs="Times New Roman"/>
                      <w:spacing w:val="3"/>
                      <w:sz w:val="18"/>
                      <w:szCs w:val="18"/>
                    </w:rPr>
                    <w:t>。</w:t>
                  </w:r>
                </w:p>
                <w:p w14:paraId="4A5C02B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③开发区新增源控制量</w:t>
                  </w:r>
                </w:p>
                <w:p w14:paraId="04D4215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大气污染物：颗粒物</w:t>
                  </w:r>
                  <w:r>
                    <w:rPr>
                      <w:rFonts w:hint="default" w:ascii="Times New Roman" w:hAnsi="Times New Roman" w:eastAsia="Times New Roman" w:cs="Times New Roman"/>
                      <w:spacing w:val="3"/>
                      <w:sz w:val="18"/>
                      <w:szCs w:val="18"/>
                    </w:rPr>
                    <w:t>1174.669t/a</w:t>
                  </w:r>
                  <w:r>
                    <w:rPr>
                      <w:rFonts w:hint="default" w:ascii="Times New Roman" w:hAnsi="Times New Roman" w:cs="Times New Roman"/>
                      <w:spacing w:val="3"/>
                      <w:sz w:val="18"/>
                      <w:szCs w:val="18"/>
                    </w:rPr>
                    <w:t>、二氧化硫</w:t>
                  </w:r>
                  <w:r>
                    <w:rPr>
                      <w:rFonts w:hint="default" w:ascii="Times New Roman" w:hAnsi="Times New Roman" w:eastAsia="Times New Roman" w:cs="Times New Roman"/>
                      <w:spacing w:val="3"/>
                      <w:sz w:val="18"/>
                      <w:szCs w:val="18"/>
                    </w:rPr>
                    <w:t>488.265t/a</w:t>
                  </w:r>
                  <w:r>
                    <w:rPr>
                      <w:rFonts w:hint="default" w:ascii="Times New Roman" w:hAnsi="Times New Roman" w:cs="Times New Roman"/>
                      <w:spacing w:val="3"/>
                      <w:sz w:val="18"/>
                      <w:szCs w:val="18"/>
                    </w:rPr>
                    <w:t>、</w:t>
                  </w:r>
                  <w:r>
                    <w:rPr>
                      <w:rFonts w:hint="default" w:ascii="Times New Roman" w:hAnsi="Times New Roman" w:cs="Times New Roman"/>
                      <w:spacing w:val="5"/>
                      <w:sz w:val="18"/>
                      <w:szCs w:val="18"/>
                    </w:rPr>
                    <w:t>氮氧化物</w:t>
                  </w:r>
                  <w:r>
                    <w:rPr>
                      <w:rFonts w:hint="default" w:ascii="Times New Roman" w:hAnsi="Times New Roman" w:eastAsia="Times New Roman" w:cs="Times New Roman"/>
                      <w:spacing w:val="5"/>
                      <w:sz w:val="18"/>
                      <w:szCs w:val="18"/>
                    </w:rPr>
                    <w:t>1037.322t/a</w:t>
                  </w:r>
                  <w:r>
                    <w:rPr>
                      <w:rFonts w:hint="default" w:ascii="Times New Roman" w:hAnsi="Times New Roman" w:cs="Times New Roman"/>
                      <w:spacing w:val="5"/>
                      <w:sz w:val="18"/>
                      <w:szCs w:val="18"/>
                    </w:rPr>
                    <w:t>、非甲烷总烃</w:t>
                  </w:r>
                  <w:r>
                    <w:rPr>
                      <w:rFonts w:hint="default" w:ascii="Times New Roman" w:hAnsi="Times New Roman" w:eastAsia="Times New Roman" w:cs="Times New Roman"/>
                      <w:spacing w:val="5"/>
                      <w:sz w:val="18"/>
                      <w:szCs w:val="18"/>
                    </w:rPr>
                    <w:t>2</w:t>
                  </w:r>
                  <w:r>
                    <w:rPr>
                      <w:rFonts w:hint="default" w:ascii="Times New Roman" w:hAnsi="Times New Roman" w:eastAsia="Times New Roman" w:cs="Times New Roman"/>
                      <w:spacing w:val="4"/>
                      <w:sz w:val="18"/>
                      <w:szCs w:val="18"/>
                    </w:rPr>
                    <w:t>5.263t/a</w:t>
                  </w:r>
                  <w:r>
                    <w:rPr>
                      <w:rFonts w:hint="default" w:ascii="Times New Roman" w:hAnsi="Times New Roman" w:cs="Times New Roman"/>
                      <w:spacing w:val="4"/>
                      <w:sz w:val="18"/>
                      <w:szCs w:val="18"/>
                    </w:rPr>
                    <w:t>、苯</w:t>
                  </w:r>
                  <w:r>
                    <w:rPr>
                      <w:rFonts w:hint="default" w:ascii="Times New Roman" w:hAnsi="Times New Roman" w:eastAsia="Times New Roman" w:cs="Times New Roman"/>
                      <w:sz w:val="18"/>
                      <w:szCs w:val="18"/>
                    </w:rPr>
                    <w:t>1.026t/a</w:t>
                  </w:r>
                  <w:r>
                    <w:rPr>
                      <w:rFonts w:hint="default" w:ascii="Times New Roman" w:hAnsi="Times New Roman" w:cs="Times New Roman"/>
                      <w:sz w:val="18"/>
                      <w:szCs w:val="18"/>
                    </w:rPr>
                    <w:t>、甲苯</w:t>
                  </w:r>
                  <w:r>
                    <w:rPr>
                      <w:rFonts w:hint="default" w:ascii="Times New Roman" w:hAnsi="Times New Roman" w:eastAsia="Times New Roman" w:cs="Times New Roman"/>
                      <w:sz w:val="18"/>
                      <w:szCs w:val="18"/>
                    </w:rPr>
                    <w:t>1.080t/a</w:t>
                  </w:r>
                  <w:r>
                    <w:rPr>
                      <w:rFonts w:hint="default" w:ascii="Times New Roman" w:hAnsi="Times New Roman" w:cs="Times New Roman"/>
                      <w:sz w:val="18"/>
                      <w:szCs w:val="18"/>
                    </w:rPr>
                    <w:t>、二甲苯</w:t>
                  </w:r>
                  <w:r>
                    <w:rPr>
                      <w:rFonts w:hint="default" w:ascii="Times New Roman" w:hAnsi="Times New Roman" w:eastAsia="Times New Roman" w:cs="Times New Roman"/>
                      <w:sz w:val="18"/>
                      <w:szCs w:val="18"/>
                    </w:rPr>
                    <w:t>1.401t/a</w:t>
                  </w:r>
                  <w:r>
                    <w:rPr>
                      <w:rFonts w:hint="default" w:ascii="Times New Roman" w:hAnsi="Times New Roman" w:cs="Times New Roman"/>
                      <w:sz w:val="18"/>
                      <w:szCs w:val="18"/>
                    </w:rPr>
                    <w:t>、氨气</w:t>
                  </w:r>
                  <w:r>
                    <w:rPr>
                      <w:rFonts w:hint="default" w:ascii="Times New Roman" w:hAnsi="Times New Roman" w:eastAsia="Times New Roman" w:cs="Times New Roman"/>
                      <w:sz w:val="18"/>
                      <w:szCs w:val="18"/>
                    </w:rPr>
                    <w:t>73.567t/a</w:t>
                  </w:r>
                  <w:r>
                    <w:rPr>
                      <w:rFonts w:hint="default" w:ascii="Times New Roman" w:hAnsi="Times New Roman" w:cs="Times New Roman"/>
                      <w:sz w:val="18"/>
                      <w:szCs w:val="18"/>
                    </w:rPr>
                    <w:t>、</w:t>
                  </w:r>
                  <w:r>
                    <w:rPr>
                      <w:rFonts w:hint="default" w:ascii="Times New Roman" w:hAnsi="Times New Roman" w:cs="Times New Roman"/>
                      <w:spacing w:val="3"/>
                      <w:sz w:val="18"/>
                      <w:szCs w:val="18"/>
                    </w:rPr>
                    <w:t>硫化氢</w:t>
                  </w:r>
                  <w:r>
                    <w:rPr>
                      <w:rFonts w:hint="default" w:ascii="Times New Roman" w:hAnsi="Times New Roman" w:eastAsia="Times New Roman" w:cs="Times New Roman"/>
                      <w:spacing w:val="3"/>
                      <w:sz w:val="18"/>
                      <w:szCs w:val="18"/>
                    </w:rPr>
                    <w:t>0.958t/a</w:t>
                  </w:r>
                  <w:r>
                    <w:rPr>
                      <w:rFonts w:hint="default" w:ascii="Times New Roman" w:hAnsi="Times New Roman" w:cs="Times New Roman"/>
                      <w:spacing w:val="3"/>
                      <w:sz w:val="18"/>
                      <w:szCs w:val="18"/>
                    </w:rPr>
                    <w:t>、氯化氢</w:t>
                  </w:r>
                  <w:r>
                    <w:rPr>
                      <w:rFonts w:hint="default" w:ascii="Times New Roman" w:hAnsi="Times New Roman" w:eastAsia="Times New Roman" w:cs="Times New Roman"/>
                      <w:spacing w:val="3"/>
                      <w:sz w:val="18"/>
                      <w:szCs w:val="18"/>
                    </w:rPr>
                    <w:t>11.119t/a</w:t>
                  </w:r>
                  <w:r>
                    <w:rPr>
                      <w:rFonts w:hint="default" w:ascii="Times New Roman" w:hAnsi="Times New Roman" w:cs="Times New Roman"/>
                      <w:spacing w:val="3"/>
                      <w:sz w:val="18"/>
                      <w:szCs w:val="18"/>
                    </w:rPr>
                    <w:t>、苯乙</w:t>
                  </w:r>
                  <w:r>
                    <w:rPr>
                      <w:rFonts w:hint="default" w:ascii="Times New Roman" w:hAnsi="Times New Roman" w:cs="Times New Roman"/>
                      <w:spacing w:val="2"/>
                      <w:sz w:val="18"/>
                      <w:szCs w:val="18"/>
                    </w:rPr>
                    <w:t>烯</w:t>
                  </w:r>
                  <w:r>
                    <w:rPr>
                      <w:rFonts w:hint="default" w:ascii="Times New Roman" w:hAnsi="Times New Roman" w:eastAsia="Times New Roman" w:cs="Times New Roman"/>
                      <w:spacing w:val="2"/>
                      <w:sz w:val="18"/>
                      <w:szCs w:val="18"/>
                    </w:rPr>
                    <w:t>0.596t/a</w:t>
                  </w:r>
                  <w:r>
                    <w:rPr>
                      <w:rFonts w:hint="default" w:ascii="Times New Roman" w:hAnsi="Times New Roman" w:cs="Times New Roman"/>
                      <w:spacing w:val="2"/>
                      <w:sz w:val="18"/>
                      <w:szCs w:val="18"/>
                    </w:rPr>
                    <w:t>、硫</w:t>
                  </w:r>
                  <w:r>
                    <w:rPr>
                      <w:rFonts w:hint="default" w:ascii="Times New Roman" w:hAnsi="Times New Roman" w:cs="Times New Roman"/>
                      <w:spacing w:val="-2"/>
                      <w:sz w:val="18"/>
                      <w:szCs w:val="18"/>
                    </w:rPr>
                    <w:t>酸雾</w:t>
                  </w:r>
                  <w:r>
                    <w:rPr>
                      <w:rFonts w:hint="default" w:ascii="Times New Roman" w:hAnsi="Times New Roman" w:eastAsia="Times New Roman" w:cs="Times New Roman"/>
                      <w:spacing w:val="-2"/>
                      <w:sz w:val="18"/>
                      <w:szCs w:val="18"/>
                    </w:rPr>
                    <w:t>1.279t/a</w:t>
                  </w:r>
                  <w:r>
                    <w:rPr>
                      <w:rFonts w:hint="default" w:ascii="Times New Roman" w:hAnsi="Times New Roman" w:cs="Times New Roman"/>
                      <w:spacing w:val="-2"/>
                      <w:sz w:val="18"/>
                      <w:szCs w:val="18"/>
                    </w:rPr>
                    <w:t>、甲醇</w:t>
                  </w:r>
                  <w:r>
                    <w:rPr>
                      <w:rFonts w:hint="default" w:ascii="Times New Roman" w:hAnsi="Times New Roman" w:eastAsia="Times New Roman" w:cs="Times New Roman"/>
                      <w:spacing w:val="-2"/>
                      <w:sz w:val="18"/>
                      <w:szCs w:val="18"/>
                    </w:rPr>
                    <w:t>1.661t/a</w:t>
                  </w:r>
                  <w:r>
                    <w:rPr>
                      <w:rFonts w:hint="default" w:ascii="Times New Roman" w:hAnsi="Times New Roman" w:cs="Times New Roman"/>
                      <w:spacing w:val="-2"/>
                      <w:sz w:val="18"/>
                      <w:szCs w:val="18"/>
                    </w:rPr>
                    <w:t>、铅</w:t>
                  </w:r>
                  <w:r>
                    <w:rPr>
                      <w:rFonts w:hint="default" w:ascii="Times New Roman" w:hAnsi="Times New Roman" w:eastAsia="Times New Roman" w:cs="Times New Roman"/>
                      <w:spacing w:val="-2"/>
                      <w:sz w:val="18"/>
                      <w:szCs w:val="18"/>
                    </w:rPr>
                    <w:t>1.881t/a</w:t>
                  </w:r>
                  <w:r>
                    <w:rPr>
                      <w:rFonts w:hint="default" w:ascii="Times New Roman" w:hAnsi="Times New Roman" w:cs="Times New Roman"/>
                      <w:spacing w:val="-2"/>
                      <w:sz w:val="18"/>
                      <w:szCs w:val="18"/>
                    </w:rPr>
                    <w:t>、二噁英</w:t>
                  </w:r>
                  <w:r>
                    <w:rPr>
                      <w:rFonts w:hint="default" w:ascii="Times New Roman" w:hAnsi="Times New Roman" w:eastAsia="Times New Roman" w:cs="Times New Roman"/>
                      <w:spacing w:val="-2"/>
                      <w:sz w:val="18"/>
                      <w:szCs w:val="18"/>
                    </w:rPr>
                    <w:t>5.003t/a</w:t>
                  </w:r>
                  <w:r>
                    <w:rPr>
                      <w:rFonts w:hint="default" w:ascii="Times New Roman" w:hAnsi="Times New Roman" w:cs="Times New Roman"/>
                      <w:spacing w:val="-2"/>
                      <w:sz w:val="18"/>
                      <w:szCs w:val="18"/>
                    </w:rPr>
                    <w:t>、</w:t>
                  </w:r>
                  <w:r>
                    <w:rPr>
                      <w:rFonts w:hint="default" w:ascii="Times New Roman" w:hAnsi="Times New Roman" w:eastAsia="Times New Roman" w:cs="Times New Roman"/>
                      <w:sz w:val="18"/>
                      <w:szCs w:val="18"/>
                    </w:rPr>
                    <w:t>CO</w:t>
                  </w:r>
                  <w:r>
                    <w:rPr>
                      <w:rFonts w:hint="default" w:ascii="Times New Roman" w:hAnsi="Times New Roman" w:eastAsia="Times New Roman" w:cs="Times New Roman"/>
                      <w:spacing w:val="4"/>
                      <w:sz w:val="18"/>
                      <w:szCs w:val="18"/>
                    </w:rPr>
                    <w:t>59494.676t/a</w:t>
                  </w:r>
                  <w:r>
                    <w:rPr>
                      <w:rFonts w:hint="default" w:ascii="Times New Roman" w:hAnsi="Times New Roman" w:cs="Times New Roman"/>
                      <w:spacing w:val="4"/>
                      <w:sz w:val="18"/>
                      <w:szCs w:val="18"/>
                    </w:rPr>
                    <w:t>、氟化物</w:t>
                  </w:r>
                  <w:r>
                    <w:rPr>
                      <w:rFonts w:hint="default" w:ascii="Times New Roman" w:hAnsi="Times New Roman" w:eastAsia="Times New Roman" w:cs="Times New Roman"/>
                      <w:spacing w:val="4"/>
                      <w:sz w:val="18"/>
                      <w:szCs w:val="18"/>
                    </w:rPr>
                    <w:t>15.134t/a</w:t>
                  </w:r>
                  <w:r>
                    <w:rPr>
                      <w:rFonts w:hint="default" w:ascii="Times New Roman" w:hAnsi="Times New Roman" w:cs="Times New Roman"/>
                      <w:spacing w:val="4"/>
                      <w:sz w:val="18"/>
                      <w:szCs w:val="18"/>
                    </w:rPr>
                    <w:t>、镉及其化合物</w:t>
                  </w:r>
                </w:p>
                <w:p w14:paraId="09BA180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3"/>
                      <w:sz w:val="18"/>
                      <w:szCs w:val="18"/>
                    </w:rPr>
                    <w:t>6.00E-03t/a</w:t>
                  </w:r>
                  <w:r>
                    <w:rPr>
                      <w:rFonts w:hint="default" w:ascii="Times New Roman" w:hAnsi="Times New Roman" w:cs="Times New Roman"/>
                      <w:spacing w:val="3"/>
                      <w:sz w:val="18"/>
                      <w:szCs w:val="18"/>
                    </w:rPr>
                    <w:t>、砷及其化合物</w:t>
                  </w:r>
                  <w:r>
                    <w:rPr>
                      <w:rFonts w:hint="default" w:ascii="Times New Roman" w:hAnsi="Times New Roman" w:eastAsia="Times New Roman" w:cs="Times New Roman"/>
                      <w:spacing w:val="3"/>
                      <w:sz w:val="18"/>
                      <w:szCs w:val="18"/>
                    </w:rPr>
                    <w:t>4.00E-03t/a</w:t>
                  </w:r>
                  <w:r>
                    <w:rPr>
                      <w:rFonts w:hint="default" w:ascii="Times New Roman" w:hAnsi="Times New Roman" w:cs="Times New Roman"/>
                      <w:spacing w:val="3"/>
                      <w:sz w:val="18"/>
                      <w:szCs w:val="18"/>
                    </w:rPr>
                    <w:t>、汞及其化合物</w:t>
                  </w:r>
                  <w:r>
                    <w:rPr>
                      <w:rFonts w:hint="default" w:ascii="Times New Roman" w:hAnsi="Times New Roman" w:eastAsia="Times New Roman" w:cs="Times New Roman"/>
                      <w:spacing w:val="2"/>
                      <w:sz w:val="18"/>
                      <w:szCs w:val="18"/>
                    </w:rPr>
                    <w:t>5.54E-03t/a</w:t>
                  </w:r>
                  <w:r>
                    <w:rPr>
                      <w:rFonts w:hint="default" w:ascii="Times New Roman" w:hAnsi="Times New Roman" w:cs="Times New Roman"/>
                      <w:spacing w:val="2"/>
                      <w:sz w:val="18"/>
                      <w:szCs w:val="18"/>
                    </w:rPr>
                    <w:t>；</w:t>
                  </w:r>
                </w:p>
                <w:p w14:paraId="4E628D1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z w:val="18"/>
                      <w:szCs w:val="18"/>
                    </w:rPr>
                    <w:t>水污染物：</w:t>
                  </w:r>
                  <w:r>
                    <w:rPr>
                      <w:rFonts w:hint="default" w:ascii="Times New Roman" w:hAnsi="Times New Roman" w:eastAsia="Times New Roman" w:cs="Times New Roman"/>
                      <w:sz w:val="18"/>
                      <w:szCs w:val="18"/>
                    </w:rPr>
                    <w:t>COD7.162t/a</w:t>
                  </w:r>
                  <w:r>
                    <w:rPr>
                      <w:rFonts w:hint="default" w:ascii="Times New Roman" w:hAnsi="Times New Roman" w:cs="Times New Roman"/>
                      <w:sz w:val="18"/>
                      <w:szCs w:val="18"/>
                    </w:rPr>
                    <w:t>、氨氮</w:t>
                  </w:r>
                  <w:r>
                    <w:rPr>
                      <w:rFonts w:hint="default" w:ascii="Times New Roman" w:hAnsi="Times New Roman" w:eastAsia="Times New Roman" w:cs="Times New Roman"/>
                      <w:sz w:val="18"/>
                      <w:szCs w:val="18"/>
                    </w:rPr>
                    <w:t>-3.745t/a</w:t>
                  </w:r>
                  <w:r>
                    <w:rPr>
                      <w:rFonts w:hint="default" w:ascii="Times New Roman" w:hAnsi="Times New Roman" w:cs="Times New Roman"/>
                      <w:sz w:val="18"/>
                      <w:szCs w:val="18"/>
                    </w:rPr>
                    <w:t>、总</w:t>
                  </w:r>
                  <w:r>
                    <w:rPr>
                      <w:rFonts w:hint="default" w:ascii="Times New Roman" w:hAnsi="Times New Roman" w:cs="Times New Roman"/>
                      <w:spacing w:val="-1"/>
                      <w:sz w:val="18"/>
                      <w:szCs w:val="18"/>
                    </w:rPr>
                    <w:t>磷</w:t>
                  </w:r>
                  <w:r>
                    <w:rPr>
                      <w:rFonts w:hint="default" w:ascii="Times New Roman" w:hAnsi="Times New Roman" w:eastAsia="Times New Roman" w:cs="Times New Roman"/>
                      <w:spacing w:val="-1"/>
                      <w:sz w:val="18"/>
                      <w:szCs w:val="18"/>
                    </w:rPr>
                    <w:t>-0.049t/a</w:t>
                  </w:r>
                  <w:r>
                    <w:rPr>
                      <w:rFonts w:hint="default" w:ascii="Times New Roman" w:hAnsi="Times New Roman" w:cs="Times New Roman"/>
                      <w:spacing w:val="-1"/>
                      <w:sz w:val="18"/>
                      <w:szCs w:val="18"/>
                    </w:rPr>
                    <w:t>、</w:t>
                  </w:r>
                  <w:r>
                    <w:rPr>
                      <w:rFonts w:hint="default" w:ascii="Times New Roman" w:hAnsi="Times New Roman" w:cs="Times New Roman"/>
                      <w:spacing w:val="6"/>
                      <w:sz w:val="18"/>
                      <w:szCs w:val="18"/>
                    </w:rPr>
                    <w:t>总氮</w:t>
                  </w:r>
                  <w:r>
                    <w:rPr>
                      <w:rFonts w:hint="default" w:ascii="Times New Roman" w:hAnsi="Times New Roman" w:eastAsia="Times New Roman" w:cs="Times New Roman"/>
                      <w:spacing w:val="6"/>
                      <w:sz w:val="18"/>
                      <w:szCs w:val="18"/>
                    </w:rPr>
                    <w:t>11.445t/a</w:t>
                  </w:r>
                  <w:r>
                    <w:rPr>
                      <w:rFonts w:hint="default" w:ascii="Times New Roman" w:hAnsi="Times New Roman" w:cs="Times New Roman"/>
                      <w:spacing w:val="6"/>
                      <w:sz w:val="18"/>
                      <w:szCs w:val="18"/>
                    </w:rPr>
                    <w:t>、</w:t>
                  </w:r>
                  <w:r>
                    <w:rPr>
                      <w:rFonts w:hint="default" w:ascii="Times New Roman" w:hAnsi="Times New Roman" w:eastAsia="Times New Roman" w:cs="Times New Roman"/>
                      <w:sz w:val="18"/>
                      <w:szCs w:val="18"/>
                    </w:rPr>
                    <w:t>BOD</w:t>
                  </w:r>
                  <w:r>
                    <w:rPr>
                      <w:rFonts w:hint="default" w:ascii="Times New Roman" w:hAnsi="Times New Roman" w:eastAsia="Times New Roman" w:cs="Times New Roman"/>
                      <w:spacing w:val="6"/>
                      <w:position w:val="-1"/>
                      <w:sz w:val="18"/>
                      <w:szCs w:val="18"/>
                    </w:rPr>
                    <w:t>5</w:t>
                  </w:r>
                  <w:r>
                    <w:rPr>
                      <w:rFonts w:hint="default" w:ascii="Times New Roman" w:hAnsi="Times New Roman" w:eastAsia="Times New Roman" w:cs="Times New Roman"/>
                      <w:spacing w:val="6"/>
                      <w:sz w:val="18"/>
                      <w:szCs w:val="18"/>
                    </w:rPr>
                    <w:t>1.420t/a</w:t>
                  </w:r>
                  <w:r>
                    <w:rPr>
                      <w:rFonts w:hint="default" w:ascii="Times New Roman" w:hAnsi="Times New Roman" w:cs="Times New Roman"/>
                      <w:spacing w:val="6"/>
                      <w:sz w:val="18"/>
                      <w:szCs w:val="18"/>
                      <w:lang w:eastAsia="zh-CN"/>
                    </w:rPr>
                    <w:t>（</w:t>
                  </w:r>
                  <w:r>
                    <w:rPr>
                      <w:rFonts w:hint="default" w:ascii="Times New Roman" w:hAnsi="Times New Roman" w:cs="Times New Roman"/>
                      <w:spacing w:val="6"/>
                      <w:sz w:val="18"/>
                      <w:szCs w:val="18"/>
                    </w:rPr>
                    <w:t>迁安经济开发区污水处</w:t>
                  </w:r>
                  <w:r>
                    <w:rPr>
                      <w:rFonts w:hint="default" w:ascii="Times New Roman" w:hAnsi="Times New Roman" w:cs="Times New Roman"/>
                      <w:spacing w:val="8"/>
                      <w:sz w:val="18"/>
                      <w:szCs w:val="18"/>
                    </w:rPr>
                    <w:t>理厂提标改造后，部分因子污染物排放量较</w:t>
                  </w:r>
                  <w:r>
                    <w:rPr>
                      <w:rFonts w:hint="default" w:ascii="Times New Roman" w:hAnsi="Times New Roman" w:eastAsia="Times New Roman" w:cs="Times New Roman"/>
                      <w:spacing w:val="8"/>
                      <w:sz w:val="18"/>
                      <w:szCs w:val="18"/>
                    </w:rPr>
                    <w:t>2023</w:t>
                  </w:r>
                  <w:r>
                    <w:rPr>
                      <w:rFonts w:hint="default" w:ascii="Times New Roman" w:hAnsi="Times New Roman" w:cs="Times New Roman"/>
                      <w:spacing w:val="8"/>
                      <w:sz w:val="18"/>
                      <w:szCs w:val="18"/>
                    </w:rPr>
                    <w:t>年减</w:t>
                  </w:r>
                  <w:r>
                    <w:rPr>
                      <w:rFonts w:hint="default" w:ascii="Times New Roman" w:hAnsi="Times New Roman" w:cs="Times New Roman"/>
                      <w:sz w:val="18"/>
                      <w:szCs w:val="18"/>
                    </w:rPr>
                    <w:t>少</w:t>
                  </w:r>
                  <w:r>
                    <w:rPr>
                      <w:rFonts w:hint="default" w:ascii="Times New Roman" w:hAnsi="Times New Roman" w:cs="Times New Roman"/>
                      <w:sz w:val="18"/>
                      <w:szCs w:val="18"/>
                      <w:lang w:eastAsia="zh-CN"/>
                    </w:rPr>
                    <w:t>）</w:t>
                  </w:r>
                  <w:r>
                    <w:rPr>
                      <w:rFonts w:hint="default" w:ascii="Times New Roman" w:hAnsi="Times New Roman" w:cs="Times New Roman"/>
                      <w:sz w:val="18"/>
                      <w:szCs w:val="18"/>
                    </w:rPr>
                    <w:t>。</w:t>
                  </w:r>
                </w:p>
                <w:p w14:paraId="4A5C339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7"/>
                      <w:sz w:val="18"/>
                      <w:szCs w:val="18"/>
                    </w:rPr>
                    <w:t>2.</w:t>
                  </w:r>
                  <w:r>
                    <w:rPr>
                      <w:rFonts w:hint="default" w:ascii="Times New Roman" w:hAnsi="Times New Roman" w:cs="Times New Roman"/>
                      <w:spacing w:val="7"/>
                      <w:sz w:val="18"/>
                      <w:szCs w:val="18"/>
                    </w:rPr>
                    <w:t>开发区碳排放：规划末期碳排放量</w:t>
                  </w:r>
                  <w:r>
                    <w:rPr>
                      <w:rFonts w:hint="default" w:ascii="Times New Roman" w:hAnsi="Times New Roman" w:eastAsia="Times New Roman" w:cs="Times New Roman"/>
                      <w:spacing w:val="7"/>
                      <w:sz w:val="18"/>
                      <w:szCs w:val="18"/>
                    </w:rPr>
                    <w:t>8838.780</w:t>
                  </w:r>
                  <w:r>
                    <w:rPr>
                      <w:rFonts w:hint="default" w:ascii="Times New Roman" w:hAnsi="Times New Roman" w:cs="Times New Roman"/>
                      <w:spacing w:val="7"/>
                      <w:sz w:val="18"/>
                      <w:szCs w:val="18"/>
                    </w:rPr>
                    <w:t>万</w:t>
                  </w:r>
                </w:p>
                <w:p w14:paraId="1EF866F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z w:val="18"/>
                      <w:szCs w:val="18"/>
                    </w:rPr>
                    <w:t>tCO</w:t>
                  </w:r>
                  <w:r>
                    <w:rPr>
                      <w:rFonts w:hint="default" w:ascii="Times New Roman" w:hAnsi="Times New Roman" w:eastAsia="Times New Roman" w:cs="Times New Roman"/>
                      <w:spacing w:val="6"/>
                      <w:position w:val="-1"/>
                      <w:sz w:val="18"/>
                      <w:szCs w:val="18"/>
                      <w:vertAlign w:val="subscript"/>
                    </w:rPr>
                    <w:t>2</w:t>
                  </w:r>
                  <w:r>
                    <w:rPr>
                      <w:rFonts w:hint="default" w:ascii="Times New Roman" w:hAnsi="Times New Roman" w:eastAsia="Times New Roman" w:cs="Times New Roman"/>
                      <w:spacing w:val="6"/>
                      <w:sz w:val="18"/>
                      <w:szCs w:val="18"/>
                    </w:rPr>
                    <w:t>/a</w:t>
                  </w:r>
                  <w:r>
                    <w:rPr>
                      <w:rFonts w:hint="default" w:ascii="Times New Roman" w:hAnsi="Times New Roman" w:cs="Times New Roman"/>
                      <w:spacing w:val="6"/>
                      <w:sz w:val="18"/>
                      <w:szCs w:val="18"/>
                    </w:rPr>
                    <w:t>，碳排放强度不得超过</w:t>
                  </w:r>
                  <w:r>
                    <w:rPr>
                      <w:rFonts w:hint="default" w:ascii="Times New Roman" w:hAnsi="Times New Roman" w:eastAsia="Times New Roman" w:cs="Times New Roman"/>
                      <w:spacing w:val="6"/>
                      <w:sz w:val="18"/>
                      <w:szCs w:val="18"/>
                    </w:rPr>
                    <w:t>11.785</w:t>
                  </w:r>
                  <w:r>
                    <w:rPr>
                      <w:rFonts w:hint="default" w:ascii="Times New Roman" w:hAnsi="Times New Roman" w:eastAsia="Times New Roman" w:cs="Times New Roman"/>
                      <w:sz w:val="18"/>
                      <w:szCs w:val="18"/>
                    </w:rPr>
                    <w:t>tCO</w:t>
                  </w:r>
                  <w:r>
                    <w:rPr>
                      <w:rFonts w:hint="default" w:ascii="Times New Roman" w:hAnsi="Times New Roman" w:eastAsia="Times New Roman" w:cs="Times New Roman"/>
                      <w:spacing w:val="6"/>
                      <w:position w:val="-1"/>
                      <w:sz w:val="18"/>
                      <w:szCs w:val="18"/>
                      <w:vertAlign w:val="subscript"/>
                    </w:rPr>
                    <w:t>2</w:t>
                  </w:r>
                  <w:r>
                    <w:rPr>
                      <w:rFonts w:hint="default" w:ascii="Times New Roman" w:hAnsi="Times New Roman" w:eastAsia="Times New Roman" w:cs="Times New Roman"/>
                      <w:spacing w:val="6"/>
                      <w:sz w:val="18"/>
                      <w:szCs w:val="18"/>
                    </w:rPr>
                    <w:t>/</w:t>
                  </w:r>
                  <w:r>
                    <w:rPr>
                      <w:rFonts w:hint="default" w:ascii="Times New Roman" w:hAnsi="Times New Roman" w:cs="Times New Roman"/>
                      <w:spacing w:val="6"/>
                      <w:sz w:val="18"/>
                      <w:szCs w:val="18"/>
                    </w:rPr>
                    <w:t>万元增加值。</w:t>
                  </w:r>
                </w:p>
                <w:p w14:paraId="7DD3A34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7"/>
                      <w:sz w:val="18"/>
                      <w:szCs w:val="18"/>
                    </w:rPr>
                    <w:t>3.</w:t>
                  </w:r>
                  <w:r>
                    <w:rPr>
                      <w:rFonts w:hint="default" w:ascii="Times New Roman" w:hAnsi="Times New Roman" w:cs="Times New Roman"/>
                      <w:spacing w:val="7"/>
                      <w:sz w:val="18"/>
                      <w:szCs w:val="18"/>
                    </w:rPr>
                    <w:t>新建具有绩效评级要求的涉气建设项目</w:t>
                  </w:r>
                  <w:r>
                    <w:rPr>
                      <w:rFonts w:hint="default" w:ascii="Times New Roman" w:hAnsi="Times New Roman" w:cs="Times New Roman"/>
                      <w:spacing w:val="6"/>
                      <w:sz w:val="18"/>
                      <w:szCs w:val="18"/>
                    </w:rPr>
                    <w:t>，须达到</w:t>
                  </w:r>
                  <w:r>
                    <w:rPr>
                      <w:rFonts w:hint="default" w:ascii="Times New Roman" w:hAnsi="Times New Roman" w:eastAsia="Times New Roman" w:cs="Times New Roman"/>
                      <w:spacing w:val="6"/>
                      <w:sz w:val="18"/>
                      <w:szCs w:val="18"/>
                    </w:rPr>
                    <w:t>B</w:t>
                  </w:r>
                  <w:r>
                    <w:rPr>
                      <w:rFonts w:hint="default" w:ascii="Times New Roman" w:hAnsi="Times New Roman" w:cs="Times New Roman"/>
                      <w:spacing w:val="6"/>
                      <w:sz w:val="18"/>
                      <w:szCs w:val="18"/>
                    </w:rPr>
                    <w:t>级及以上水平。</w:t>
                  </w:r>
                </w:p>
                <w:p w14:paraId="221CB178">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4.</w:t>
                  </w:r>
                  <w:r>
                    <w:rPr>
                      <w:rFonts w:hint="default" w:ascii="Times New Roman" w:hAnsi="Times New Roman" w:cs="Times New Roman"/>
                      <w:spacing w:val="8"/>
                      <w:sz w:val="18"/>
                      <w:szCs w:val="18"/>
                    </w:rPr>
                    <w:t>含第一类污染物的重金属废水全部回用，不得外排。</w:t>
                  </w:r>
                </w:p>
                <w:p w14:paraId="5177CF6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5.</w:t>
                  </w:r>
                  <w:r>
                    <w:rPr>
                      <w:rFonts w:hint="default" w:ascii="Times New Roman" w:hAnsi="Times New Roman" w:cs="Times New Roman"/>
                      <w:spacing w:val="9"/>
                      <w:sz w:val="18"/>
                      <w:szCs w:val="18"/>
                    </w:rPr>
                    <w:t>入区项目废水全部排入开发区规划或依托</w:t>
                  </w:r>
                  <w:r>
                    <w:rPr>
                      <w:rFonts w:hint="default" w:ascii="Times New Roman" w:hAnsi="Times New Roman" w:cs="Times New Roman"/>
                      <w:spacing w:val="8"/>
                      <w:sz w:val="18"/>
                      <w:szCs w:val="18"/>
                    </w:rPr>
                    <w:t>的污水处</w:t>
                  </w:r>
                  <w:r>
                    <w:rPr>
                      <w:rFonts w:hint="default" w:ascii="Times New Roman" w:hAnsi="Times New Roman" w:cs="Times New Roman"/>
                      <w:spacing w:val="9"/>
                      <w:sz w:val="18"/>
                      <w:szCs w:val="18"/>
                    </w:rPr>
                    <w:t>理厂或废水全部回用不外排，不得单独设置废水排放</w:t>
                  </w:r>
                  <w:r>
                    <w:rPr>
                      <w:rFonts w:hint="default" w:ascii="Times New Roman" w:hAnsi="Times New Roman" w:cs="Times New Roman"/>
                      <w:spacing w:val="8"/>
                      <w:sz w:val="18"/>
                      <w:szCs w:val="18"/>
                    </w:rPr>
                    <w:t>口，开发区污水收集处理率达到</w:t>
                  </w:r>
                  <w:r>
                    <w:rPr>
                      <w:rFonts w:hint="default" w:ascii="Times New Roman" w:hAnsi="Times New Roman" w:eastAsia="Times New Roman" w:cs="Times New Roman"/>
                      <w:spacing w:val="8"/>
                      <w:sz w:val="18"/>
                      <w:szCs w:val="18"/>
                    </w:rPr>
                    <w:t>100%</w:t>
                  </w:r>
                  <w:r>
                    <w:rPr>
                      <w:rFonts w:hint="default" w:ascii="Times New Roman" w:hAnsi="Times New Roman" w:cs="Times New Roman"/>
                      <w:spacing w:val="8"/>
                      <w:sz w:val="18"/>
                      <w:szCs w:val="18"/>
                    </w:rPr>
                    <w:t>。</w:t>
                  </w:r>
                </w:p>
                <w:p w14:paraId="6A99FE1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6.</w:t>
                  </w:r>
                  <w:r>
                    <w:rPr>
                      <w:rFonts w:hint="default" w:ascii="Times New Roman" w:hAnsi="Times New Roman" w:cs="Times New Roman"/>
                      <w:spacing w:val="8"/>
                      <w:sz w:val="18"/>
                      <w:szCs w:val="18"/>
                    </w:rPr>
                    <w:t>化工产业万元工业产值污染物排放量为颗粒物</w:t>
                  </w:r>
                </w:p>
                <w:p w14:paraId="7E1F80F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7"/>
                      <w:sz w:val="18"/>
                      <w:szCs w:val="18"/>
                    </w:rPr>
                    <w:t>0.013</w:t>
                  </w:r>
                  <w:r>
                    <w:rPr>
                      <w:rFonts w:hint="default" w:ascii="Times New Roman" w:hAnsi="Times New Roman" w:eastAsia="Times New Roman" w:cs="Times New Roman"/>
                      <w:sz w:val="18"/>
                      <w:szCs w:val="18"/>
                    </w:rPr>
                    <w:t>kg</w:t>
                  </w:r>
                  <w:r>
                    <w:rPr>
                      <w:rFonts w:hint="default" w:ascii="Times New Roman" w:hAnsi="Times New Roman" w:eastAsia="Times New Roman" w:cs="Times New Roman"/>
                      <w:spacing w:val="7"/>
                      <w:sz w:val="18"/>
                      <w:szCs w:val="18"/>
                    </w:rPr>
                    <w:t>/</w:t>
                  </w:r>
                  <w:r>
                    <w:rPr>
                      <w:rFonts w:hint="default" w:ascii="Times New Roman" w:hAnsi="Times New Roman" w:cs="Times New Roman"/>
                      <w:spacing w:val="7"/>
                      <w:sz w:val="18"/>
                      <w:szCs w:val="18"/>
                    </w:rPr>
                    <w:t>万元、二氧化硫</w:t>
                  </w:r>
                  <w:r>
                    <w:rPr>
                      <w:rFonts w:hint="default" w:ascii="Times New Roman" w:hAnsi="Times New Roman" w:eastAsia="Times New Roman" w:cs="Times New Roman"/>
                      <w:spacing w:val="7"/>
                      <w:sz w:val="18"/>
                      <w:szCs w:val="18"/>
                    </w:rPr>
                    <w:t>0.009</w:t>
                  </w:r>
                  <w:r>
                    <w:rPr>
                      <w:rFonts w:hint="default" w:ascii="Times New Roman" w:hAnsi="Times New Roman" w:eastAsia="Times New Roman" w:cs="Times New Roman"/>
                      <w:sz w:val="18"/>
                      <w:szCs w:val="18"/>
                    </w:rPr>
                    <w:t>kg</w:t>
                  </w:r>
                  <w:r>
                    <w:rPr>
                      <w:rFonts w:hint="default" w:ascii="Times New Roman" w:hAnsi="Times New Roman" w:eastAsia="Times New Roman" w:cs="Times New Roman"/>
                      <w:spacing w:val="7"/>
                      <w:sz w:val="18"/>
                      <w:szCs w:val="18"/>
                    </w:rPr>
                    <w:t>/</w:t>
                  </w:r>
                  <w:r>
                    <w:rPr>
                      <w:rFonts w:hint="default" w:ascii="Times New Roman" w:hAnsi="Times New Roman" w:cs="Times New Roman"/>
                      <w:spacing w:val="7"/>
                      <w:sz w:val="18"/>
                      <w:szCs w:val="18"/>
                    </w:rPr>
                    <w:t>万元、氮氧化物</w:t>
                  </w:r>
                </w:p>
                <w:p w14:paraId="5C74C0A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5"/>
                      <w:sz w:val="18"/>
                      <w:szCs w:val="18"/>
                    </w:rPr>
                    <w:t>0.066</w:t>
                  </w:r>
                  <w:r>
                    <w:rPr>
                      <w:rFonts w:hint="default" w:ascii="Times New Roman" w:hAnsi="Times New Roman" w:eastAsia="Times New Roman" w:cs="Times New Roman"/>
                      <w:sz w:val="18"/>
                      <w:szCs w:val="18"/>
                    </w:rPr>
                    <w:t>kg</w:t>
                  </w:r>
                  <w:r>
                    <w:rPr>
                      <w:rFonts w:hint="default" w:ascii="Times New Roman" w:hAnsi="Times New Roman" w:eastAsia="Times New Roman" w:cs="Times New Roman"/>
                      <w:spacing w:val="5"/>
                      <w:sz w:val="18"/>
                      <w:szCs w:val="18"/>
                    </w:rPr>
                    <w:t>/</w:t>
                  </w:r>
                  <w:r>
                    <w:rPr>
                      <w:rFonts w:hint="default" w:ascii="Times New Roman" w:hAnsi="Times New Roman" w:cs="Times New Roman"/>
                      <w:spacing w:val="5"/>
                      <w:sz w:val="18"/>
                      <w:szCs w:val="18"/>
                    </w:rPr>
                    <w:t>万元、</w:t>
                  </w:r>
                  <w:r>
                    <w:rPr>
                      <w:rFonts w:hint="default" w:ascii="Times New Roman" w:hAnsi="Times New Roman" w:eastAsia="Times New Roman" w:cs="Times New Roman"/>
                      <w:sz w:val="18"/>
                      <w:szCs w:val="18"/>
                    </w:rPr>
                    <w:t>VOCs</w:t>
                  </w:r>
                  <w:r>
                    <w:rPr>
                      <w:rFonts w:hint="default" w:ascii="Times New Roman" w:hAnsi="Times New Roman" w:eastAsia="Times New Roman" w:cs="Times New Roman"/>
                      <w:spacing w:val="5"/>
                      <w:sz w:val="18"/>
                      <w:szCs w:val="18"/>
                    </w:rPr>
                    <w:t>0.025</w:t>
                  </w:r>
                  <w:r>
                    <w:rPr>
                      <w:rFonts w:hint="default" w:ascii="Times New Roman" w:hAnsi="Times New Roman" w:eastAsia="Times New Roman" w:cs="Times New Roman"/>
                      <w:sz w:val="18"/>
                      <w:szCs w:val="18"/>
                    </w:rPr>
                    <w:t>kg</w:t>
                  </w:r>
                  <w:r>
                    <w:rPr>
                      <w:rFonts w:hint="default" w:ascii="Times New Roman" w:hAnsi="Times New Roman" w:eastAsia="Times New Roman" w:cs="Times New Roman"/>
                      <w:spacing w:val="5"/>
                      <w:sz w:val="18"/>
                      <w:szCs w:val="18"/>
                    </w:rPr>
                    <w:t>/</w:t>
                  </w:r>
                  <w:r>
                    <w:rPr>
                      <w:rFonts w:hint="default" w:ascii="Times New Roman" w:hAnsi="Times New Roman" w:cs="Times New Roman"/>
                      <w:spacing w:val="5"/>
                      <w:sz w:val="18"/>
                      <w:szCs w:val="18"/>
                    </w:rPr>
                    <w:t>万元，万元工业产值能耗为</w:t>
                  </w:r>
                  <w:r>
                    <w:rPr>
                      <w:rFonts w:hint="default" w:ascii="Times New Roman" w:hAnsi="Times New Roman" w:eastAsia="Times New Roman" w:cs="Times New Roman"/>
                      <w:spacing w:val="5"/>
                      <w:sz w:val="18"/>
                      <w:szCs w:val="18"/>
                    </w:rPr>
                    <w:t>0.44</w:t>
                  </w:r>
                  <w:r>
                    <w:rPr>
                      <w:rFonts w:hint="default" w:ascii="Times New Roman" w:hAnsi="Times New Roman" w:eastAsia="Times New Roman" w:cs="Times New Roman"/>
                      <w:sz w:val="18"/>
                      <w:szCs w:val="18"/>
                    </w:rPr>
                    <w:t>tce</w:t>
                  </w:r>
                  <w:r>
                    <w:rPr>
                      <w:rFonts w:hint="default" w:ascii="Times New Roman" w:hAnsi="Times New Roman" w:eastAsia="Times New Roman" w:cs="Times New Roman"/>
                      <w:spacing w:val="5"/>
                      <w:sz w:val="18"/>
                      <w:szCs w:val="18"/>
                    </w:rPr>
                    <w:t>/</w:t>
                  </w:r>
                  <w:r>
                    <w:rPr>
                      <w:rFonts w:hint="default" w:ascii="Times New Roman" w:hAnsi="Times New Roman" w:cs="Times New Roman"/>
                      <w:spacing w:val="5"/>
                      <w:sz w:val="18"/>
                      <w:szCs w:val="18"/>
                    </w:rPr>
                    <w:t>万元。</w:t>
                  </w:r>
                </w:p>
              </w:tc>
              <w:tc>
                <w:tcPr>
                  <w:tcW w:w="1283" w:type="dxa"/>
                  <w:vAlign w:val="center"/>
                </w:tcPr>
                <w:p w14:paraId="040289F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10"/>
                      <w:sz w:val="18"/>
                      <w:szCs w:val="18"/>
                    </w:rPr>
                    <w:t>1</w:t>
                  </w:r>
                  <w:r>
                    <w:rPr>
                      <w:rFonts w:hint="default" w:ascii="Times New Roman" w:hAnsi="Times New Roman" w:cs="Times New Roman"/>
                      <w:spacing w:val="-10"/>
                      <w:sz w:val="18"/>
                      <w:szCs w:val="18"/>
                    </w:rPr>
                    <w:t>、项目实施</w:t>
                  </w:r>
                  <w:r>
                    <w:rPr>
                      <w:rFonts w:hint="default" w:ascii="Times New Roman" w:hAnsi="Times New Roman" w:cs="Times New Roman"/>
                      <w:spacing w:val="7"/>
                      <w:sz w:val="18"/>
                      <w:szCs w:val="18"/>
                    </w:rPr>
                    <w:t>后，废气污染物为颗粒</w:t>
                  </w:r>
                  <w:r>
                    <w:rPr>
                      <w:rFonts w:hint="default" w:ascii="Times New Roman" w:hAnsi="Times New Roman" w:cs="Times New Roman"/>
                      <w:spacing w:val="8"/>
                      <w:sz w:val="18"/>
                      <w:szCs w:val="18"/>
                    </w:rPr>
                    <w:t>物</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lang w:val="en-US" w:eastAsia="zh-CN"/>
                    </w:rPr>
                    <w:t>二氧化硫、氮氧化物等</w:t>
                  </w:r>
                  <w:r>
                    <w:rPr>
                      <w:rFonts w:hint="eastAsia" w:ascii="Times New Roman" w:hAnsi="Times New Roman" w:cs="Times New Roman"/>
                      <w:spacing w:val="8"/>
                      <w:sz w:val="18"/>
                      <w:szCs w:val="18"/>
                      <w:lang w:val="en-US" w:eastAsia="zh-CN"/>
                    </w:rPr>
                    <w:t>。</w:t>
                  </w:r>
                  <w:r>
                    <w:rPr>
                      <w:rFonts w:hint="default" w:ascii="Times New Roman" w:hAnsi="Times New Roman" w:cs="Times New Roman"/>
                      <w:spacing w:val="8"/>
                      <w:sz w:val="18"/>
                      <w:szCs w:val="18"/>
                    </w:rPr>
                    <w:t>本项目</w:t>
                  </w:r>
                  <w:r>
                    <w:rPr>
                      <w:rFonts w:hint="default" w:ascii="Times New Roman" w:hAnsi="Times New Roman" w:cs="Times New Roman"/>
                      <w:spacing w:val="7"/>
                      <w:sz w:val="18"/>
                      <w:szCs w:val="18"/>
                    </w:rPr>
                    <w:t>为</w:t>
                  </w:r>
                  <w:r>
                    <w:rPr>
                      <w:rFonts w:hint="default" w:ascii="Times New Roman" w:hAnsi="Times New Roman" w:cs="Times New Roman"/>
                      <w:spacing w:val="7"/>
                      <w:sz w:val="18"/>
                      <w:szCs w:val="18"/>
                      <w:lang w:val="en-US" w:eastAsia="zh-CN"/>
                    </w:rPr>
                    <w:t>固体废物治理及生物质致密成型燃料加工</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采取完善的废气治理措施，满足相关标准</w:t>
                  </w:r>
                  <w:r>
                    <w:rPr>
                      <w:rFonts w:hint="default" w:ascii="Times New Roman" w:hAnsi="Times New Roman" w:cs="Times New Roman"/>
                      <w:spacing w:val="3"/>
                      <w:sz w:val="18"/>
                      <w:szCs w:val="18"/>
                    </w:rPr>
                    <w:t>限值要求。</w:t>
                  </w:r>
                  <w:r>
                    <w:rPr>
                      <w:rFonts w:hint="default" w:ascii="Times New Roman" w:hAnsi="Times New Roman" w:cs="Times New Roman"/>
                      <w:spacing w:val="7"/>
                      <w:sz w:val="18"/>
                      <w:szCs w:val="18"/>
                    </w:rPr>
                    <w:t>项目</w:t>
                  </w:r>
                  <w:r>
                    <w:rPr>
                      <w:rFonts w:hint="default" w:ascii="Times New Roman" w:hAnsi="Times New Roman" w:cs="Times New Roman"/>
                      <w:spacing w:val="7"/>
                      <w:sz w:val="18"/>
                      <w:szCs w:val="18"/>
                      <w:lang w:val="en-US" w:eastAsia="zh-CN"/>
                    </w:rPr>
                    <w:t>生产废水</w:t>
                  </w:r>
                  <w:r>
                    <w:rPr>
                      <w:rFonts w:hint="default" w:ascii="Times New Roman" w:hAnsi="Times New Roman" w:cs="Times New Roman"/>
                      <w:spacing w:val="8"/>
                      <w:sz w:val="18"/>
                      <w:szCs w:val="18"/>
                    </w:rPr>
                    <w:t>不</w:t>
                  </w:r>
                  <w:r>
                    <w:rPr>
                      <w:rFonts w:hint="default" w:ascii="Times New Roman" w:hAnsi="Times New Roman" w:cs="Times New Roman"/>
                      <w:spacing w:val="7"/>
                      <w:sz w:val="18"/>
                      <w:szCs w:val="18"/>
                    </w:rPr>
                    <w:t>外排，</w:t>
                  </w:r>
                  <w:r>
                    <w:rPr>
                      <w:rFonts w:hint="default" w:ascii="Times New Roman" w:hAnsi="Times New Roman" w:cs="Times New Roman"/>
                      <w:spacing w:val="7"/>
                      <w:sz w:val="18"/>
                      <w:szCs w:val="18"/>
                      <w:lang w:val="en-US" w:eastAsia="zh-CN"/>
                    </w:rPr>
                    <w:t>外排仅排放</w:t>
                  </w:r>
                  <w:r>
                    <w:rPr>
                      <w:rFonts w:hint="default" w:ascii="Times New Roman" w:hAnsi="Times New Roman" w:cs="Times New Roman"/>
                      <w:sz w:val="18"/>
                      <w:szCs w:val="18"/>
                    </w:rPr>
                    <w:t>生</w:t>
                  </w:r>
                  <w:r>
                    <w:rPr>
                      <w:rFonts w:hint="default" w:ascii="Times New Roman" w:hAnsi="Times New Roman" w:cs="Times New Roman"/>
                      <w:spacing w:val="8"/>
                      <w:sz w:val="18"/>
                      <w:szCs w:val="18"/>
                    </w:rPr>
                    <w:t>活污水，不会突破园区污染物新增</w:t>
                  </w:r>
                  <w:r>
                    <w:rPr>
                      <w:rFonts w:hint="default" w:ascii="Times New Roman" w:hAnsi="Times New Roman" w:cs="Times New Roman"/>
                      <w:spacing w:val="2"/>
                      <w:sz w:val="18"/>
                      <w:szCs w:val="18"/>
                    </w:rPr>
                    <w:t>排放量；</w:t>
                  </w:r>
                  <w:r>
                    <w:rPr>
                      <w:rFonts w:hint="default" w:ascii="Times New Roman" w:hAnsi="Times New Roman" w:eastAsia="Times New Roman" w:cs="Times New Roman"/>
                      <w:spacing w:val="2"/>
                      <w:sz w:val="18"/>
                      <w:szCs w:val="18"/>
                    </w:rPr>
                    <w:t>2</w:t>
                  </w:r>
                  <w:r>
                    <w:rPr>
                      <w:rFonts w:hint="default" w:ascii="Times New Roman" w:hAnsi="Times New Roman" w:cs="Times New Roman"/>
                      <w:spacing w:val="2"/>
                      <w:sz w:val="18"/>
                      <w:szCs w:val="18"/>
                    </w:rPr>
                    <w:t>、</w:t>
                  </w:r>
                  <w:r>
                    <w:rPr>
                      <w:rFonts w:hint="default" w:ascii="Times New Roman" w:hAnsi="Times New Roman" w:eastAsia="Times New Roman" w:cs="Times New Roman"/>
                      <w:spacing w:val="-4"/>
                      <w:sz w:val="18"/>
                      <w:szCs w:val="18"/>
                    </w:rPr>
                    <w:t>3</w:t>
                  </w:r>
                  <w:r>
                    <w:rPr>
                      <w:rFonts w:hint="default" w:ascii="Times New Roman" w:hAnsi="Times New Roman" w:cs="Times New Roman"/>
                      <w:spacing w:val="-4"/>
                      <w:sz w:val="18"/>
                      <w:szCs w:val="18"/>
                    </w:rPr>
                    <w:t>、</w:t>
                  </w:r>
                  <w:r>
                    <w:rPr>
                      <w:rFonts w:hint="default" w:ascii="Times New Roman" w:hAnsi="Times New Roman" w:eastAsia="Times New Roman" w:cs="Times New Roman"/>
                      <w:spacing w:val="-4"/>
                      <w:sz w:val="18"/>
                      <w:szCs w:val="18"/>
                    </w:rPr>
                    <w:t>4</w:t>
                  </w:r>
                  <w:r>
                    <w:rPr>
                      <w:rFonts w:hint="default" w:ascii="Times New Roman" w:hAnsi="Times New Roman" w:cs="Times New Roman"/>
                      <w:spacing w:val="-4"/>
                      <w:sz w:val="18"/>
                      <w:szCs w:val="18"/>
                    </w:rPr>
                    <w:t>、</w:t>
                  </w:r>
                  <w:r>
                    <w:rPr>
                      <w:rFonts w:hint="default" w:ascii="Times New Roman" w:hAnsi="Times New Roman" w:eastAsia="Times New Roman" w:cs="Times New Roman"/>
                      <w:spacing w:val="-4"/>
                      <w:sz w:val="18"/>
                      <w:szCs w:val="18"/>
                    </w:rPr>
                    <w:t>5</w:t>
                  </w:r>
                  <w:r>
                    <w:rPr>
                      <w:rFonts w:hint="default" w:ascii="Times New Roman" w:hAnsi="Times New Roman" w:cs="Times New Roman"/>
                      <w:spacing w:val="-4"/>
                      <w:sz w:val="18"/>
                      <w:szCs w:val="18"/>
                    </w:rPr>
                    <w:t>、</w:t>
                  </w:r>
                  <w:r>
                    <w:rPr>
                      <w:rFonts w:hint="default" w:ascii="Times New Roman" w:hAnsi="Times New Roman" w:eastAsia="Times New Roman" w:cs="Times New Roman"/>
                      <w:spacing w:val="-4"/>
                      <w:sz w:val="18"/>
                      <w:szCs w:val="18"/>
                    </w:rPr>
                    <w:t>6</w:t>
                  </w:r>
                  <w:r>
                    <w:rPr>
                      <w:rFonts w:hint="default" w:ascii="Times New Roman" w:hAnsi="Times New Roman" w:cs="Times New Roman"/>
                      <w:spacing w:val="7"/>
                      <w:sz w:val="18"/>
                      <w:szCs w:val="18"/>
                    </w:rPr>
                    <w:t>不涉及</w:t>
                  </w:r>
                </w:p>
              </w:tc>
              <w:tc>
                <w:tcPr>
                  <w:tcW w:w="418" w:type="dxa"/>
                  <w:vAlign w:val="center"/>
                </w:tcPr>
                <w:p w14:paraId="4175386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eastAsia" w:ascii="Times New Roman" w:hAnsi="Times New Roman" w:cs="Times New Roman"/>
                      <w:spacing w:val="8"/>
                      <w:sz w:val="18"/>
                      <w:szCs w:val="18"/>
                      <w:lang w:eastAsia="zh-CN"/>
                    </w:rPr>
                    <w:t>符合</w:t>
                  </w:r>
                </w:p>
              </w:tc>
            </w:tr>
            <w:tr w14:paraId="0CAB5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9" w:hRule="atLeast"/>
              </w:trPr>
              <w:tc>
                <w:tcPr>
                  <w:tcW w:w="753" w:type="dxa"/>
                  <w:vAlign w:val="center"/>
                </w:tcPr>
                <w:p w14:paraId="5950F4D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4"/>
                      <w:sz w:val="18"/>
                      <w:szCs w:val="18"/>
                    </w:rPr>
                    <w:t>环境风险防控</w:t>
                  </w:r>
                </w:p>
              </w:tc>
              <w:tc>
                <w:tcPr>
                  <w:tcW w:w="5071" w:type="dxa"/>
                  <w:vAlign w:val="center"/>
                </w:tcPr>
                <w:p w14:paraId="3C0EDC9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1.</w:t>
                  </w:r>
                  <w:r>
                    <w:rPr>
                      <w:rFonts w:hint="default" w:ascii="Times New Roman" w:hAnsi="Times New Roman" w:cs="Times New Roman"/>
                      <w:spacing w:val="8"/>
                      <w:sz w:val="18"/>
                      <w:szCs w:val="18"/>
                    </w:rPr>
                    <w:t>重点监管企业和开发区周边土壤环境定期开展监督性监测，重点监测重金属和持久性有机污染物。</w:t>
                  </w:r>
                </w:p>
                <w:p w14:paraId="02C4307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2.</w:t>
                  </w:r>
                  <w:r>
                    <w:rPr>
                      <w:rFonts w:hint="default" w:ascii="Times New Roman" w:hAnsi="Times New Roman" w:cs="Times New Roman"/>
                      <w:spacing w:val="9"/>
                      <w:sz w:val="18"/>
                      <w:szCs w:val="18"/>
                    </w:rPr>
                    <w:t>强化新污染物治理和化学品信息化管理，加强危废</w:t>
                  </w:r>
                  <w:r>
                    <w:rPr>
                      <w:rFonts w:hint="default" w:ascii="Times New Roman" w:hAnsi="Times New Roman" w:cs="Times New Roman"/>
                      <w:spacing w:val="6"/>
                      <w:sz w:val="18"/>
                      <w:szCs w:val="18"/>
                    </w:rPr>
                    <w:t>处置及管控。</w:t>
                  </w:r>
                </w:p>
                <w:p w14:paraId="32542B1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3.</w:t>
                  </w:r>
                  <w:r>
                    <w:rPr>
                      <w:rFonts w:hint="default" w:ascii="Times New Roman" w:hAnsi="Times New Roman" w:cs="Times New Roman"/>
                      <w:spacing w:val="9"/>
                      <w:sz w:val="18"/>
                      <w:szCs w:val="18"/>
                    </w:rPr>
                    <w:t>涉及水环境风险的入区项目，应重点关注水环</w:t>
                  </w:r>
                  <w:r>
                    <w:rPr>
                      <w:rFonts w:hint="default" w:ascii="Times New Roman" w:hAnsi="Times New Roman" w:cs="Times New Roman"/>
                      <w:spacing w:val="8"/>
                      <w:sz w:val="18"/>
                      <w:szCs w:val="18"/>
                    </w:rPr>
                    <w:t>境风</w:t>
                  </w:r>
                  <w:r>
                    <w:rPr>
                      <w:rFonts w:hint="default" w:ascii="Times New Roman" w:hAnsi="Times New Roman" w:cs="Times New Roman"/>
                      <w:spacing w:val="9"/>
                      <w:sz w:val="18"/>
                      <w:szCs w:val="18"/>
                    </w:rPr>
                    <w:t>险应急措施，确保突发事故情况水环境风险物质不进</w:t>
                  </w:r>
                  <w:r>
                    <w:rPr>
                      <w:rFonts w:hint="default" w:ascii="Times New Roman" w:hAnsi="Times New Roman" w:cs="Times New Roman"/>
                      <w:spacing w:val="6"/>
                      <w:sz w:val="18"/>
                      <w:szCs w:val="18"/>
                    </w:rPr>
                    <w:t>入地表水体。</w:t>
                  </w:r>
                </w:p>
                <w:p w14:paraId="2D5A440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4.</w:t>
                  </w:r>
                  <w:r>
                    <w:rPr>
                      <w:rFonts w:hint="default" w:ascii="Times New Roman" w:hAnsi="Times New Roman" w:cs="Times New Roman"/>
                      <w:spacing w:val="9"/>
                      <w:sz w:val="18"/>
                      <w:szCs w:val="18"/>
                    </w:rPr>
                    <w:t>入区企业应按照相关要求，组织编制《环境风险应</w:t>
                  </w:r>
                  <w:r>
                    <w:rPr>
                      <w:rFonts w:hint="default" w:ascii="Times New Roman" w:hAnsi="Times New Roman" w:cs="Times New Roman"/>
                      <w:spacing w:val="7"/>
                      <w:sz w:val="18"/>
                      <w:szCs w:val="18"/>
                    </w:rPr>
                    <w:t>急预案》并定期开展修编工作，成立应急组织机构，</w:t>
                  </w:r>
                  <w:r>
                    <w:rPr>
                      <w:rFonts w:hint="default" w:ascii="Times New Roman" w:hAnsi="Times New Roman" w:cs="Times New Roman"/>
                      <w:spacing w:val="8"/>
                      <w:sz w:val="18"/>
                      <w:szCs w:val="18"/>
                    </w:rPr>
                    <w:t>定期开展应急演练，提高区域环境风险防范能力。</w:t>
                  </w:r>
                </w:p>
                <w:p w14:paraId="4654A9C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5.</w:t>
                  </w:r>
                  <w:r>
                    <w:rPr>
                      <w:rFonts w:hint="default" w:ascii="Times New Roman" w:hAnsi="Times New Roman" w:cs="Times New Roman"/>
                      <w:spacing w:val="9"/>
                      <w:sz w:val="18"/>
                      <w:szCs w:val="18"/>
                    </w:rPr>
                    <w:t>危险废物转移过程中应采取防扬散、防流</w:t>
                  </w:r>
                  <w:r>
                    <w:rPr>
                      <w:rFonts w:hint="default" w:ascii="Times New Roman" w:hAnsi="Times New Roman" w:cs="Times New Roman"/>
                      <w:spacing w:val="8"/>
                      <w:sz w:val="18"/>
                      <w:szCs w:val="18"/>
                    </w:rPr>
                    <w:t>失、防渗</w:t>
                  </w:r>
                  <w:r>
                    <w:rPr>
                      <w:rFonts w:hint="default" w:ascii="Times New Roman" w:hAnsi="Times New Roman" w:cs="Times New Roman"/>
                      <w:spacing w:val="9"/>
                      <w:sz w:val="18"/>
                      <w:szCs w:val="18"/>
                    </w:rPr>
                    <w:t>漏或者其他防止污染环境的措施，不得擅自倾倒、堆放、丢弃、遗撒危险废物。转移过程发生危险废物突发环境事件时，应立即采取有效措施消除或者减轻对环境的污染危害，并按相关规定向事故发生地有关部</w:t>
                  </w:r>
                  <w:r>
                    <w:rPr>
                      <w:rFonts w:hint="default" w:ascii="Times New Roman" w:hAnsi="Times New Roman" w:cs="Times New Roman"/>
                      <w:spacing w:val="5"/>
                      <w:sz w:val="18"/>
                      <w:szCs w:val="18"/>
                    </w:rPr>
                    <w:t>门报告。</w:t>
                  </w:r>
                </w:p>
                <w:p w14:paraId="15F7343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6.</w:t>
                  </w:r>
                  <w:r>
                    <w:rPr>
                      <w:rFonts w:hint="default" w:ascii="Times New Roman" w:hAnsi="Times New Roman" w:cs="Times New Roman"/>
                      <w:spacing w:val="8"/>
                      <w:sz w:val="18"/>
                      <w:szCs w:val="18"/>
                    </w:rPr>
                    <w:t>开发区需在化工集中区</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南部片区</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地块一设置园区</w:t>
                  </w:r>
                  <w:r>
                    <w:rPr>
                      <w:rFonts w:hint="default" w:ascii="Times New Roman" w:hAnsi="Times New Roman" w:cs="Times New Roman"/>
                      <w:spacing w:val="4"/>
                      <w:sz w:val="18"/>
                      <w:szCs w:val="18"/>
                    </w:rPr>
                    <w:t xml:space="preserve"> 级事故池，各雨水入河口新增截断阀等风险防范措施，</w:t>
                  </w:r>
                  <w:r>
                    <w:rPr>
                      <w:rFonts w:hint="default" w:ascii="Times New Roman" w:hAnsi="Times New Roman" w:cs="Times New Roman"/>
                      <w:spacing w:val="9"/>
                      <w:sz w:val="18"/>
                      <w:szCs w:val="18"/>
                    </w:rPr>
                    <w:t>构建三级环境风险防控体系，强化危化品泄漏应急处置措施，三级防控体系需与园区及流域级应急预案相</w:t>
                  </w:r>
                  <w:r>
                    <w:rPr>
                      <w:rFonts w:hint="default" w:ascii="Times New Roman" w:hAnsi="Times New Roman" w:cs="Times New Roman"/>
                      <w:spacing w:val="3"/>
                      <w:sz w:val="18"/>
                      <w:szCs w:val="18"/>
                    </w:rPr>
                    <w:t>衔接。</w:t>
                  </w:r>
                </w:p>
              </w:tc>
              <w:tc>
                <w:tcPr>
                  <w:tcW w:w="1283" w:type="dxa"/>
                  <w:vAlign w:val="center"/>
                </w:tcPr>
                <w:p w14:paraId="44F8727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10"/>
                      <w:sz w:val="18"/>
                      <w:szCs w:val="18"/>
                    </w:rPr>
                    <w:t>1</w:t>
                  </w:r>
                  <w:r>
                    <w:rPr>
                      <w:rFonts w:hint="default" w:ascii="Times New Roman" w:hAnsi="Times New Roman" w:cs="Times New Roman"/>
                      <w:spacing w:val="-10"/>
                      <w:sz w:val="18"/>
                      <w:szCs w:val="18"/>
                    </w:rPr>
                    <w:t>、不属于土</w:t>
                  </w:r>
                  <w:r>
                    <w:rPr>
                      <w:rFonts w:hint="default" w:ascii="Times New Roman" w:hAnsi="Times New Roman" w:cs="Times New Roman"/>
                      <w:spacing w:val="8"/>
                      <w:sz w:val="18"/>
                      <w:szCs w:val="18"/>
                    </w:rPr>
                    <w:t>壤重点监管</w:t>
                  </w:r>
                  <w:r>
                    <w:rPr>
                      <w:rFonts w:hint="default" w:ascii="Times New Roman" w:hAnsi="Times New Roman" w:cs="Times New Roman"/>
                      <w:spacing w:val="4"/>
                      <w:sz w:val="18"/>
                      <w:szCs w:val="18"/>
                    </w:rPr>
                    <w:t>单位</w:t>
                  </w:r>
                </w:p>
                <w:p w14:paraId="43016EE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7"/>
                      <w:sz w:val="18"/>
                      <w:szCs w:val="18"/>
                    </w:rPr>
                    <w:t>2</w:t>
                  </w:r>
                  <w:r>
                    <w:rPr>
                      <w:rFonts w:hint="default" w:ascii="Times New Roman" w:hAnsi="Times New Roman" w:cs="Times New Roman"/>
                      <w:spacing w:val="-7"/>
                      <w:sz w:val="18"/>
                      <w:szCs w:val="18"/>
                    </w:rPr>
                    <w:t>、项目采取</w:t>
                  </w:r>
                  <w:r>
                    <w:rPr>
                      <w:rFonts w:hint="default" w:ascii="Times New Roman" w:hAnsi="Times New Roman" w:cs="Times New Roman"/>
                      <w:spacing w:val="7"/>
                      <w:sz w:val="18"/>
                      <w:szCs w:val="18"/>
                    </w:rPr>
                    <w:t>严格的环境风险防范措</w:t>
                  </w:r>
                  <w:r>
                    <w:rPr>
                      <w:rFonts w:hint="default" w:ascii="Times New Roman" w:hAnsi="Times New Roman" w:cs="Times New Roman"/>
                      <w:spacing w:val="8"/>
                      <w:sz w:val="18"/>
                      <w:szCs w:val="18"/>
                    </w:rPr>
                    <w:t>施，防止对</w:t>
                  </w:r>
                </w:p>
                <w:p w14:paraId="69BA4D2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5"/>
                      <w:sz w:val="18"/>
                      <w:szCs w:val="18"/>
                    </w:rPr>
                    <w:t>区域周边环</w:t>
                  </w:r>
                  <w:r>
                    <w:rPr>
                      <w:rFonts w:hint="default" w:ascii="Times New Roman" w:hAnsi="Times New Roman" w:cs="Times New Roman"/>
                      <w:spacing w:val="7"/>
                      <w:sz w:val="18"/>
                      <w:szCs w:val="18"/>
                    </w:rPr>
                    <w:t>境敏感点和</w:t>
                  </w:r>
                  <w:r>
                    <w:rPr>
                      <w:rFonts w:hint="default" w:ascii="Times New Roman" w:hAnsi="Times New Roman" w:cs="Times New Roman"/>
                      <w:spacing w:val="8"/>
                      <w:sz w:val="18"/>
                      <w:szCs w:val="18"/>
                    </w:rPr>
                    <w:t>地表水环境</w:t>
                  </w:r>
                  <w:r>
                    <w:rPr>
                      <w:rFonts w:hint="default" w:ascii="Times New Roman" w:hAnsi="Times New Roman" w:cs="Times New Roman"/>
                      <w:spacing w:val="7"/>
                      <w:sz w:val="18"/>
                      <w:szCs w:val="18"/>
                    </w:rPr>
                    <w:t>造成影响</w:t>
                  </w:r>
                </w:p>
                <w:p w14:paraId="6ADC9CD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7"/>
                      <w:sz w:val="18"/>
                      <w:szCs w:val="18"/>
                    </w:rPr>
                    <w:t>3</w:t>
                  </w:r>
                  <w:r>
                    <w:rPr>
                      <w:rFonts w:hint="default" w:ascii="Times New Roman" w:hAnsi="Times New Roman" w:cs="Times New Roman"/>
                      <w:spacing w:val="-7"/>
                      <w:sz w:val="18"/>
                      <w:szCs w:val="18"/>
                    </w:rPr>
                    <w:t>、项目不属</w:t>
                  </w:r>
                  <w:r>
                    <w:rPr>
                      <w:rFonts w:hint="default" w:ascii="Times New Roman" w:hAnsi="Times New Roman" w:cs="Times New Roman"/>
                      <w:spacing w:val="7"/>
                      <w:sz w:val="18"/>
                      <w:szCs w:val="18"/>
                    </w:rPr>
                    <w:t>于涉及水环境风险的入</w:t>
                  </w:r>
                  <w:r>
                    <w:rPr>
                      <w:rFonts w:hint="default" w:ascii="Times New Roman" w:hAnsi="Times New Roman" w:cs="Times New Roman"/>
                      <w:spacing w:val="5"/>
                      <w:sz w:val="18"/>
                      <w:szCs w:val="18"/>
                    </w:rPr>
                    <w:t>区项目。项</w:t>
                  </w:r>
                </w:p>
                <w:p w14:paraId="7F58CE4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z w:val="18"/>
                      <w:szCs w:val="18"/>
                    </w:rPr>
                    <w:t>目针对可能</w:t>
                  </w:r>
                  <w:r>
                    <w:rPr>
                      <w:rFonts w:hint="default" w:ascii="Times New Roman" w:hAnsi="Times New Roman" w:cs="Times New Roman"/>
                      <w:spacing w:val="4"/>
                      <w:sz w:val="18"/>
                      <w:szCs w:val="18"/>
                    </w:rPr>
                    <w:t>出现的突发</w:t>
                  </w:r>
                  <w:r>
                    <w:rPr>
                      <w:rFonts w:hint="default" w:ascii="Times New Roman" w:hAnsi="Times New Roman" w:cs="Times New Roman"/>
                      <w:spacing w:val="8"/>
                      <w:sz w:val="18"/>
                      <w:szCs w:val="18"/>
                    </w:rPr>
                    <w:t>环境事件制</w:t>
                  </w:r>
                  <w:r>
                    <w:rPr>
                      <w:rFonts w:hint="default" w:ascii="Times New Roman" w:hAnsi="Times New Roman" w:cs="Times New Roman"/>
                      <w:spacing w:val="7"/>
                      <w:sz w:val="18"/>
                      <w:szCs w:val="18"/>
                    </w:rPr>
                    <w:t>定了完善的风险防范措</w:t>
                  </w:r>
                  <w:r>
                    <w:rPr>
                      <w:rFonts w:hint="default" w:ascii="Times New Roman" w:hAnsi="Times New Roman" w:cs="Times New Roman"/>
                      <w:spacing w:val="8"/>
                      <w:sz w:val="18"/>
                      <w:szCs w:val="18"/>
                    </w:rPr>
                    <w:t>施，环境风</w:t>
                  </w:r>
                  <w:r>
                    <w:rPr>
                      <w:rFonts w:hint="default" w:ascii="Times New Roman" w:hAnsi="Times New Roman" w:cs="Times New Roman"/>
                      <w:spacing w:val="4"/>
                      <w:sz w:val="18"/>
                      <w:szCs w:val="18"/>
                    </w:rPr>
                    <w:t>险可防控</w:t>
                  </w:r>
                </w:p>
                <w:p w14:paraId="55AEAED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6"/>
                      <w:sz w:val="18"/>
                      <w:szCs w:val="18"/>
                    </w:rPr>
                    <w:t>4</w:t>
                  </w:r>
                  <w:r>
                    <w:rPr>
                      <w:rFonts w:hint="default" w:ascii="Times New Roman" w:hAnsi="Times New Roman" w:cs="Times New Roman"/>
                      <w:spacing w:val="-6"/>
                      <w:sz w:val="18"/>
                      <w:szCs w:val="18"/>
                    </w:rPr>
                    <w:t>、项目产生</w:t>
                  </w:r>
                  <w:r>
                    <w:rPr>
                      <w:rFonts w:hint="default" w:ascii="Times New Roman" w:hAnsi="Times New Roman" w:cs="Times New Roman"/>
                      <w:spacing w:val="3"/>
                      <w:sz w:val="18"/>
                      <w:szCs w:val="18"/>
                    </w:rPr>
                    <w:t>的废润滑</w:t>
                  </w:r>
                  <w:r>
                    <w:rPr>
                      <w:rFonts w:hint="default" w:ascii="Times New Roman" w:hAnsi="Times New Roman" w:cs="Times New Roman"/>
                      <w:spacing w:val="7"/>
                      <w:sz w:val="18"/>
                      <w:szCs w:val="18"/>
                    </w:rPr>
                    <w:t>油、废液压油</w:t>
                  </w:r>
                  <w:r>
                    <w:rPr>
                      <w:rFonts w:hint="default" w:ascii="Times New Roman" w:hAnsi="Times New Roman" w:cs="Times New Roman"/>
                      <w:spacing w:val="7"/>
                      <w:sz w:val="18"/>
                      <w:szCs w:val="18"/>
                      <w:lang w:val="en-US" w:eastAsia="zh-CN"/>
                    </w:rPr>
                    <w:t>等危废</w:t>
                  </w:r>
                  <w:r>
                    <w:rPr>
                      <w:rFonts w:hint="default" w:ascii="Times New Roman" w:hAnsi="Times New Roman" w:cs="Times New Roman"/>
                      <w:spacing w:val="7"/>
                      <w:sz w:val="18"/>
                      <w:szCs w:val="18"/>
                    </w:rPr>
                    <w:t>集中收集于铁桶内</w:t>
                  </w:r>
                  <w:r>
                    <w:rPr>
                      <w:rFonts w:hint="eastAsia" w:ascii="Times New Roman" w:hAnsi="Times New Roman" w:cs="Times New Roman"/>
                      <w:spacing w:val="7"/>
                      <w:sz w:val="18"/>
                      <w:szCs w:val="18"/>
                      <w:lang w:eastAsia="zh-CN"/>
                    </w:rPr>
                    <w:t>，与</w:t>
                  </w:r>
                  <w:r>
                    <w:rPr>
                      <w:rFonts w:hint="default" w:ascii="Times New Roman" w:hAnsi="Times New Roman" w:cs="Times New Roman"/>
                      <w:spacing w:val="8"/>
                      <w:sz w:val="18"/>
                      <w:szCs w:val="18"/>
                    </w:rPr>
                    <w:t>废油桶在危</w:t>
                  </w:r>
                  <w:r>
                    <w:rPr>
                      <w:rFonts w:hint="default" w:ascii="Times New Roman" w:hAnsi="Times New Roman" w:cs="Times New Roman"/>
                      <w:spacing w:val="7"/>
                      <w:sz w:val="18"/>
                      <w:szCs w:val="18"/>
                    </w:rPr>
                    <w:t>废间暂存后，定期交有资质的单</w:t>
                  </w:r>
                  <w:r>
                    <w:rPr>
                      <w:rFonts w:hint="default" w:ascii="Times New Roman" w:hAnsi="Times New Roman" w:cs="Times New Roman"/>
                      <w:spacing w:val="6"/>
                      <w:sz w:val="18"/>
                      <w:szCs w:val="18"/>
                    </w:rPr>
                    <w:t>位处置</w:t>
                  </w:r>
                </w:p>
              </w:tc>
              <w:tc>
                <w:tcPr>
                  <w:tcW w:w="418" w:type="dxa"/>
                  <w:vAlign w:val="center"/>
                </w:tcPr>
                <w:p w14:paraId="076917F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符</w:t>
                  </w:r>
                  <w:r>
                    <w:rPr>
                      <w:rFonts w:hint="default" w:ascii="Times New Roman" w:hAnsi="Times New Roman" w:cs="Times New Roman"/>
                      <w:spacing w:val="-30"/>
                      <w:sz w:val="18"/>
                      <w:szCs w:val="18"/>
                    </w:rPr>
                    <w:t xml:space="preserve"> </w:t>
                  </w:r>
                  <w:r>
                    <w:rPr>
                      <w:rFonts w:hint="default" w:ascii="Times New Roman" w:hAnsi="Times New Roman" w:cs="Times New Roman"/>
                      <w:spacing w:val="8"/>
                      <w:sz w:val="18"/>
                      <w:szCs w:val="18"/>
                    </w:rPr>
                    <w:t>合</w:t>
                  </w:r>
                </w:p>
              </w:tc>
            </w:tr>
            <w:tr w14:paraId="403CE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5" w:hRule="atLeast"/>
              </w:trPr>
              <w:tc>
                <w:tcPr>
                  <w:tcW w:w="753" w:type="dxa"/>
                  <w:vAlign w:val="center"/>
                </w:tcPr>
                <w:p w14:paraId="660884A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z w:val="18"/>
                      <w:szCs w:val="18"/>
                    </w:rPr>
                    <w:t>资源</w:t>
                  </w:r>
                  <w:r>
                    <w:rPr>
                      <w:rFonts w:hint="default" w:ascii="Times New Roman" w:hAnsi="Times New Roman" w:cs="Times New Roman"/>
                      <w:spacing w:val="4"/>
                      <w:sz w:val="18"/>
                      <w:szCs w:val="18"/>
                    </w:rPr>
                    <w:t>开发利用要求</w:t>
                  </w:r>
                </w:p>
              </w:tc>
              <w:tc>
                <w:tcPr>
                  <w:tcW w:w="5071" w:type="dxa"/>
                  <w:vAlign w:val="center"/>
                </w:tcPr>
                <w:p w14:paraId="07056DF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8"/>
                      <w:sz w:val="18"/>
                      <w:szCs w:val="18"/>
                    </w:rPr>
                    <w:t>1.</w:t>
                  </w:r>
                  <w:r>
                    <w:rPr>
                      <w:rFonts w:hint="default" w:ascii="Times New Roman" w:hAnsi="Times New Roman" w:cs="Times New Roman"/>
                      <w:spacing w:val="8"/>
                      <w:sz w:val="18"/>
                      <w:szCs w:val="18"/>
                    </w:rPr>
                    <w:t>入区项目应符合水资源管理制度的要求，优先使用</w:t>
                  </w:r>
                  <w:r>
                    <w:rPr>
                      <w:rFonts w:hint="default" w:ascii="Times New Roman" w:hAnsi="Times New Roman" w:cs="Times New Roman"/>
                      <w:spacing w:val="9"/>
                      <w:sz w:val="18"/>
                      <w:szCs w:val="18"/>
                    </w:rPr>
                    <w:t>再生水和地表水；具备使用再生水条件但未充分利用</w:t>
                  </w:r>
                  <w:r>
                    <w:rPr>
                      <w:rFonts w:hint="default" w:ascii="Times New Roman" w:hAnsi="Times New Roman" w:cs="Times New Roman"/>
                      <w:spacing w:val="8"/>
                      <w:sz w:val="18"/>
                      <w:szCs w:val="18"/>
                    </w:rPr>
                    <w:t>的钢铁、化工等行业不得批准其新增取水许可。</w:t>
                  </w:r>
                </w:p>
                <w:p w14:paraId="72EAC1A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2.</w:t>
                  </w:r>
                  <w:r>
                    <w:rPr>
                      <w:rFonts w:hint="default" w:ascii="Times New Roman" w:hAnsi="Times New Roman" w:cs="Times New Roman"/>
                      <w:spacing w:val="9"/>
                      <w:sz w:val="18"/>
                      <w:szCs w:val="18"/>
                    </w:rPr>
                    <w:t>开发区集中供水实施前，充分利用现有合法取水设施，严格落实取水许可制度，不再开凿新的用于工业用途的取水井。集中供水实施后，钢铁、焦化企业优先利用再生水、地表水作为生产水源，不足部分由现有合法地下水取水设施供应，其他现有企业及后续入驻企业使用集中供水，企业现有自备地下水井转为备</w:t>
                  </w:r>
                  <w:r>
                    <w:rPr>
                      <w:rFonts w:hint="default" w:ascii="Times New Roman" w:hAnsi="Times New Roman" w:cs="Times New Roman"/>
                      <w:spacing w:val="8"/>
                      <w:sz w:val="18"/>
                      <w:szCs w:val="18"/>
                    </w:rPr>
                    <w:t>用或关停。严禁工业用水开采深层地下水。</w:t>
                  </w:r>
                </w:p>
                <w:p w14:paraId="76B384D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3.</w:t>
                  </w:r>
                  <w:r>
                    <w:rPr>
                      <w:rFonts w:hint="default" w:ascii="Times New Roman" w:hAnsi="Times New Roman" w:cs="Times New Roman"/>
                      <w:spacing w:val="9"/>
                      <w:sz w:val="18"/>
                      <w:szCs w:val="18"/>
                    </w:rPr>
                    <w:t>至规划期末，开发区资源和能源消耗量应满足</w:t>
                  </w:r>
                  <w:r>
                    <w:rPr>
                      <w:rFonts w:hint="default" w:ascii="Times New Roman" w:hAnsi="Times New Roman" w:cs="Times New Roman"/>
                      <w:spacing w:val="8"/>
                      <w:sz w:val="18"/>
                      <w:szCs w:val="18"/>
                    </w:rPr>
                    <w:t>划定</w:t>
                  </w:r>
                  <w:r>
                    <w:rPr>
                      <w:rFonts w:hint="default" w:ascii="Times New Roman" w:hAnsi="Times New Roman" w:cs="Times New Roman"/>
                      <w:spacing w:val="-1"/>
                      <w:sz w:val="18"/>
                      <w:szCs w:val="18"/>
                    </w:rPr>
                    <w:t>的开发利用总量上线。能源利用上线：</w:t>
                  </w:r>
                  <w:r>
                    <w:rPr>
                      <w:rFonts w:hint="default" w:ascii="Times New Roman" w:hAnsi="Times New Roman" w:eastAsia="Times New Roman" w:cs="Times New Roman"/>
                      <w:spacing w:val="-1"/>
                      <w:sz w:val="18"/>
                      <w:szCs w:val="18"/>
                    </w:rPr>
                    <w:t>2471.292</w:t>
                  </w:r>
                  <w:r>
                    <w:rPr>
                      <w:rFonts w:hint="default" w:ascii="Times New Roman" w:hAnsi="Times New Roman" w:cs="Times New Roman"/>
                      <w:spacing w:val="-1"/>
                      <w:sz w:val="18"/>
                      <w:szCs w:val="18"/>
                    </w:rPr>
                    <w:t>万</w:t>
                  </w:r>
                  <w:r>
                    <w:rPr>
                      <w:rFonts w:hint="default" w:ascii="Times New Roman" w:hAnsi="Times New Roman" w:eastAsia="Times New Roman" w:cs="Times New Roman"/>
                      <w:spacing w:val="-1"/>
                      <w:sz w:val="18"/>
                      <w:szCs w:val="18"/>
                    </w:rPr>
                    <w:t>tce/a</w:t>
                  </w:r>
                  <w:r>
                    <w:rPr>
                      <w:rFonts w:hint="default" w:ascii="Times New Roman" w:hAnsi="Times New Roman" w:cs="Times New Roman"/>
                      <w:spacing w:val="-1"/>
                      <w:sz w:val="18"/>
                      <w:szCs w:val="18"/>
                    </w:rPr>
                    <w:t>；</w:t>
                  </w:r>
                  <w:r>
                    <w:rPr>
                      <w:rFonts w:hint="default" w:ascii="Times New Roman" w:hAnsi="Times New Roman" w:cs="Times New Roman"/>
                      <w:spacing w:val="7"/>
                      <w:sz w:val="18"/>
                      <w:szCs w:val="18"/>
                    </w:rPr>
                    <w:t>水资源利用上线：新水量</w:t>
                  </w:r>
                  <w:r>
                    <w:rPr>
                      <w:rFonts w:hint="default" w:ascii="Times New Roman" w:hAnsi="Times New Roman" w:eastAsia="Times New Roman" w:cs="Times New Roman"/>
                      <w:spacing w:val="7"/>
                      <w:sz w:val="18"/>
                      <w:szCs w:val="18"/>
                    </w:rPr>
                    <w:t>10712.378</w:t>
                  </w:r>
                  <w:r>
                    <w:rPr>
                      <w:rFonts w:hint="default" w:ascii="Times New Roman" w:hAnsi="Times New Roman" w:cs="Times New Roman"/>
                      <w:spacing w:val="7"/>
                      <w:sz w:val="18"/>
                      <w:szCs w:val="18"/>
                    </w:rPr>
                    <w:t>万</w:t>
                  </w:r>
                  <w:r>
                    <w:rPr>
                      <w:rFonts w:hint="default" w:ascii="Times New Roman" w:hAnsi="Times New Roman" w:eastAsia="Times New Roman" w:cs="Times New Roman"/>
                      <w:spacing w:val="7"/>
                      <w:sz w:val="18"/>
                      <w:szCs w:val="18"/>
                    </w:rPr>
                    <w:t>m³/a</w:t>
                  </w:r>
                  <w:r>
                    <w:rPr>
                      <w:rFonts w:hint="default" w:ascii="Times New Roman" w:hAnsi="Times New Roman" w:cs="Times New Roman"/>
                      <w:spacing w:val="7"/>
                      <w:sz w:val="18"/>
                      <w:szCs w:val="18"/>
                      <w:lang w:eastAsia="zh-CN"/>
                    </w:rPr>
                    <w:t>（</w:t>
                  </w:r>
                  <w:r>
                    <w:rPr>
                      <w:rFonts w:hint="default" w:ascii="Times New Roman" w:hAnsi="Times New Roman" w:cs="Times New Roman"/>
                      <w:spacing w:val="6"/>
                      <w:sz w:val="18"/>
                      <w:szCs w:val="18"/>
                    </w:rPr>
                    <w:t>地表水</w:t>
                  </w:r>
                </w:p>
                <w:p w14:paraId="55B1CB9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4"/>
                      <w:sz w:val="18"/>
                      <w:szCs w:val="18"/>
                    </w:rPr>
                    <w:t>6129.440</w:t>
                  </w:r>
                  <w:r>
                    <w:rPr>
                      <w:rFonts w:hint="default" w:ascii="Times New Roman" w:hAnsi="Times New Roman" w:cs="Times New Roman"/>
                      <w:spacing w:val="4"/>
                      <w:sz w:val="18"/>
                      <w:szCs w:val="18"/>
                    </w:rPr>
                    <w:t>万</w:t>
                  </w:r>
                  <w:r>
                    <w:rPr>
                      <w:rFonts w:hint="default" w:ascii="Times New Roman" w:hAnsi="Times New Roman" w:eastAsia="Times New Roman" w:cs="Times New Roman"/>
                      <w:spacing w:val="4"/>
                      <w:sz w:val="18"/>
                      <w:szCs w:val="18"/>
                    </w:rPr>
                    <w:t>m³/a</w:t>
                  </w:r>
                  <w:r>
                    <w:rPr>
                      <w:rFonts w:hint="default" w:ascii="Times New Roman" w:hAnsi="Times New Roman" w:cs="Times New Roman"/>
                      <w:spacing w:val="4"/>
                      <w:sz w:val="18"/>
                      <w:szCs w:val="18"/>
                    </w:rPr>
                    <w:t>、地下水</w:t>
                  </w:r>
                  <w:r>
                    <w:rPr>
                      <w:rFonts w:hint="default" w:ascii="Times New Roman" w:hAnsi="Times New Roman" w:eastAsia="Times New Roman" w:cs="Times New Roman"/>
                      <w:spacing w:val="4"/>
                      <w:sz w:val="18"/>
                      <w:szCs w:val="18"/>
                    </w:rPr>
                    <w:t>4582.939</w:t>
                  </w:r>
                  <w:r>
                    <w:rPr>
                      <w:rFonts w:hint="default" w:ascii="Times New Roman" w:hAnsi="Times New Roman" w:cs="Times New Roman"/>
                      <w:spacing w:val="4"/>
                      <w:sz w:val="18"/>
                      <w:szCs w:val="18"/>
                    </w:rPr>
                    <w:t>万</w:t>
                  </w:r>
                  <w:r>
                    <w:rPr>
                      <w:rFonts w:hint="default" w:ascii="Times New Roman" w:hAnsi="Times New Roman" w:eastAsia="Times New Roman" w:cs="Times New Roman"/>
                      <w:spacing w:val="4"/>
                      <w:sz w:val="18"/>
                      <w:szCs w:val="18"/>
                    </w:rPr>
                    <w:t>m³/a</w:t>
                  </w:r>
                  <w:r>
                    <w:rPr>
                      <w:rFonts w:hint="default" w:ascii="Times New Roman" w:hAnsi="Times New Roman" w:cs="Times New Roman"/>
                      <w:spacing w:val="4"/>
                      <w:sz w:val="18"/>
                      <w:szCs w:val="18"/>
                      <w:lang w:eastAsia="zh-CN"/>
                    </w:rPr>
                    <w:t>）</w:t>
                  </w:r>
                  <w:r>
                    <w:rPr>
                      <w:rFonts w:hint="default" w:ascii="Times New Roman" w:hAnsi="Times New Roman" w:cs="Times New Roman"/>
                      <w:spacing w:val="4"/>
                      <w:sz w:val="18"/>
                      <w:szCs w:val="18"/>
                    </w:rPr>
                    <w:t>；土地利用上线：建设用地面积</w:t>
                  </w:r>
                  <w:r>
                    <w:rPr>
                      <w:rFonts w:hint="default" w:ascii="Times New Roman" w:hAnsi="Times New Roman" w:eastAsia="Times New Roman" w:cs="Times New Roman"/>
                      <w:spacing w:val="4"/>
                      <w:sz w:val="18"/>
                      <w:szCs w:val="18"/>
                    </w:rPr>
                    <w:t>38.79k</w:t>
                  </w:r>
                  <w:r>
                    <w:rPr>
                      <w:rFonts w:hint="default" w:ascii="Times New Roman" w:hAnsi="Times New Roman" w:cs="Times New Roman"/>
                      <w:spacing w:val="4"/>
                      <w:sz w:val="18"/>
                      <w:szCs w:val="18"/>
                    </w:rPr>
                    <w:t>㎡</w:t>
                  </w:r>
                  <w:r>
                    <w:rPr>
                      <w:rFonts w:hint="default" w:ascii="Times New Roman" w:hAnsi="Times New Roman" w:cs="Times New Roman"/>
                      <w:spacing w:val="-49"/>
                      <w:sz w:val="18"/>
                      <w:szCs w:val="18"/>
                    </w:rPr>
                    <w:t xml:space="preserve"> </w:t>
                  </w:r>
                  <w:r>
                    <w:rPr>
                      <w:rFonts w:hint="default" w:ascii="Times New Roman" w:hAnsi="Times New Roman" w:cs="Times New Roman"/>
                      <w:spacing w:val="4"/>
                      <w:sz w:val="18"/>
                      <w:szCs w:val="18"/>
                    </w:rPr>
                    <w:t>，工业用地面积</w:t>
                  </w:r>
                  <w:r>
                    <w:rPr>
                      <w:rFonts w:hint="default" w:ascii="Times New Roman" w:hAnsi="Times New Roman" w:eastAsia="Times New Roman" w:cs="Times New Roman"/>
                      <w:spacing w:val="4"/>
                      <w:sz w:val="18"/>
                      <w:szCs w:val="18"/>
                    </w:rPr>
                    <w:t>34.37k</w:t>
                  </w:r>
                  <w:r>
                    <w:rPr>
                      <w:rFonts w:hint="default" w:ascii="Times New Roman" w:hAnsi="Times New Roman" w:cs="Times New Roman"/>
                      <w:spacing w:val="4"/>
                      <w:sz w:val="18"/>
                      <w:szCs w:val="18"/>
                    </w:rPr>
                    <w:t>㎡；</w:t>
                  </w:r>
                  <w:r>
                    <w:rPr>
                      <w:rFonts w:hint="default" w:ascii="Times New Roman" w:hAnsi="Times New Roman" w:cs="Times New Roman"/>
                      <w:spacing w:val="5"/>
                      <w:sz w:val="18"/>
                      <w:szCs w:val="18"/>
                    </w:rPr>
                    <w:t>煤炭资源利用上线为</w:t>
                  </w:r>
                  <w:r>
                    <w:rPr>
                      <w:rFonts w:hint="default" w:ascii="Times New Roman" w:hAnsi="Times New Roman" w:eastAsia="Times New Roman" w:cs="Times New Roman"/>
                      <w:spacing w:val="5"/>
                      <w:sz w:val="18"/>
                      <w:szCs w:val="18"/>
                    </w:rPr>
                    <w:t>1258</w:t>
                  </w:r>
                  <w:r>
                    <w:rPr>
                      <w:rFonts w:hint="default" w:ascii="Times New Roman" w:hAnsi="Times New Roman" w:cs="Times New Roman"/>
                      <w:spacing w:val="5"/>
                      <w:sz w:val="18"/>
                      <w:szCs w:val="18"/>
                    </w:rPr>
                    <w:t>万</w:t>
                  </w:r>
                  <w:r>
                    <w:rPr>
                      <w:rFonts w:hint="default" w:ascii="Times New Roman" w:hAnsi="Times New Roman" w:eastAsia="Times New Roman" w:cs="Times New Roman"/>
                      <w:spacing w:val="5"/>
                      <w:sz w:val="18"/>
                      <w:szCs w:val="18"/>
                    </w:rPr>
                    <w:t>t/a</w:t>
                  </w:r>
                  <w:r>
                    <w:rPr>
                      <w:rFonts w:hint="default" w:ascii="Times New Roman" w:hAnsi="Times New Roman" w:cs="Times New Roman"/>
                      <w:spacing w:val="5"/>
                      <w:sz w:val="18"/>
                      <w:szCs w:val="18"/>
                    </w:rPr>
                    <w:t>，其中燃</w:t>
                  </w:r>
                  <w:r>
                    <w:rPr>
                      <w:rFonts w:hint="default" w:ascii="Times New Roman" w:hAnsi="Times New Roman" w:cs="Times New Roman"/>
                      <w:spacing w:val="4"/>
                      <w:sz w:val="18"/>
                      <w:szCs w:val="18"/>
                    </w:rPr>
                    <w:t>料煤</w:t>
                  </w:r>
                  <w:r>
                    <w:rPr>
                      <w:rFonts w:hint="default" w:ascii="Times New Roman" w:hAnsi="Times New Roman" w:eastAsia="Times New Roman" w:cs="Times New Roman"/>
                      <w:spacing w:val="4"/>
                      <w:sz w:val="18"/>
                      <w:szCs w:val="18"/>
                    </w:rPr>
                    <w:t>546</w:t>
                  </w:r>
                  <w:r>
                    <w:rPr>
                      <w:rFonts w:hint="default" w:ascii="Times New Roman" w:hAnsi="Times New Roman" w:cs="Times New Roman"/>
                      <w:spacing w:val="4"/>
                      <w:sz w:val="18"/>
                      <w:szCs w:val="18"/>
                    </w:rPr>
                    <w:t>万</w:t>
                  </w:r>
                  <w:r>
                    <w:rPr>
                      <w:rFonts w:hint="default" w:ascii="Times New Roman" w:hAnsi="Times New Roman" w:eastAsia="Times New Roman" w:cs="Times New Roman"/>
                      <w:spacing w:val="4"/>
                      <w:sz w:val="18"/>
                      <w:szCs w:val="18"/>
                    </w:rPr>
                    <w:t>t/a</w:t>
                  </w:r>
                  <w:r>
                    <w:rPr>
                      <w:rFonts w:hint="default" w:ascii="Times New Roman" w:hAnsi="Times New Roman" w:cs="Times New Roman"/>
                      <w:spacing w:val="4"/>
                      <w:sz w:val="18"/>
                      <w:szCs w:val="18"/>
                    </w:rPr>
                    <w:t>，原料煤</w:t>
                  </w:r>
                  <w:r>
                    <w:rPr>
                      <w:rFonts w:hint="default" w:ascii="Times New Roman" w:hAnsi="Times New Roman" w:eastAsia="Times New Roman" w:cs="Times New Roman"/>
                      <w:spacing w:val="4"/>
                      <w:sz w:val="18"/>
                      <w:szCs w:val="18"/>
                    </w:rPr>
                    <w:t>712</w:t>
                  </w:r>
                  <w:r>
                    <w:rPr>
                      <w:rFonts w:hint="default" w:ascii="Times New Roman" w:hAnsi="Times New Roman" w:cs="Times New Roman"/>
                      <w:spacing w:val="4"/>
                      <w:sz w:val="18"/>
                      <w:szCs w:val="18"/>
                    </w:rPr>
                    <w:t>万</w:t>
                  </w:r>
                  <w:r>
                    <w:rPr>
                      <w:rFonts w:hint="default" w:ascii="Times New Roman" w:hAnsi="Times New Roman" w:eastAsia="Times New Roman" w:cs="Times New Roman"/>
                      <w:spacing w:val="4"/>
                      <w:sz w:val="18"/>
                      <w:szCs w:val="18"/>
                    </w:rPr>
                    <w:t>t/a</w:t>
                  </w:r>
                  <w:r>
                    <w:rPr>
                      <w:rFonts w:hint="default" w:ascii="Times New Roman" w:hAnsi="Times New Roman" w:cs="Times New Roman"/>
                      <w:spacing w:val="4"/>
                      <w:sz w:val="18"/>
                      <w:szCs w:val="18"/>
                    </w:rPr>
                    <w:t>。</w:t>
                  </w:r>
                </w:p>
                <w:p w14:paraId="531BA55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4.</w:t>
                  </w:r>
                  <w:r>
                    <w:rPr>
                      <w:rFonts w:hint="default" w:ascii="Times New Roman" w:hAnsi="Times New Roman" w:cs="Times New Roman"/>
                      <w:spacing w:val="9"/>
                      <w:sz w:val="18"/>
                      <w:szCs w:val="18"/>
                    </w:rPr>
                    <w:t>不断优化能源消费结构，优先利用区域工业余热资源，因工艺需求，企业可自建燃气等清洁能源锅炉并充分论证可行性，禁止建设分散燃煤供热设施。</w:t>
                  </w:r>
                </w:p>
                <w:p w14:paraId="6203D67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7"/>
                      <w:sz w:val="18"/>
                      <w:szCs w:val="18"/>
                    </w:rPr>
                    <w:t>5.</w:t>
                  </w:r>
                  <w:r>
                    <w:rPr>
                      <w:rFonts w:hint="default" w:ascii="Times New Roman" w:hAnsi="Times New Roman" w:eastAsia="Times New Roman" w:cs="Times New Roman"/>
                      <w:spacing w:val="-6"/>
                      <w:sz w:val="18"/>
                      <w:szCs w:val="18"/>
                    </w:rPr>
                    <w:t xml:space="preserve"> </w:t>
                  </w:r>
                  <w:r>
                    <w:rPr>
                      <w:rFonts w:hint="default" w:ascii="Times New Roman" w:hAnsi="Times New Roman" w:cs="Times New Roman"/>
                      <w:spacing w:val="7"/>
                      <w:sz w:val="18"/>
                      <w:szCs w:val="18"/>
                    </w:rPr>
                    <w:t>已实施集中供热的区域，不得建设用于冬季采暖的燃气、生物质锅炉。</w:t>
                  </w:r>
                </w:p>
                <w:p w14:paraId="3D77949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eastAsia="Times New Roman" w:cs="Times New Roman"/>
                      <w:spacing w:val="9"/>
                      <w:sz w:val="18"/>
                      <w:szCs w:val="18"/>
                    </w:rPr>
                    <w:t>6.</w:t>
                  </w:r>
                  <w:r>
                    <w:rPr>
                      <w:rFonts w:hint="default" w:ascii="Times New Roman" w:hAnsi="Times New Roman" w:cs="Times New Roman"/>
                      <w:spacing w:val="9"/>
                      <w:sz w:val="18"/>
                      <w:szCs w:val="18"/>
                    </w:rPr>
                    <w:t>现有的钢铁、焦化产业技术改造或装备提升</w:t>
                  </w:r>
                  <w:r>
                    <w:rPr>
                      <w:rFonts w:hint="default" w:ascii="Times New Roman" w:hAnsi="Times New Roman" w:cs="Times New Roman"/>
                      <w:spacing w:val="8"/>
                      <w:sz w:val="18"/>
                      <w:szCs w:val="18"/>
                    </w:rPr>
                    <w:t>项目各</w:t>
                  </w:r>
                  <w:r>
                    <w:rPr>
                      <w:rFonts w:hint="default" w:ascii="Times New Roman" w:hAnsi="Times New Roman" w:cs="Times New Roman"/>
                      <w:spacing w:val="9"/>
                      <w:sz w:val="18"/>
                      <w:szCs w:val="18"/>
                    </w:rPr>
                    <w:t>工序能耗、水耗满足《粗钢生产主要工序单位产品能</w:t>
                  </w:r>
                  <w:r>
                    <w:rPr>
                      <w:rFonts w:hint="default" w:ascii="Times New Roman" w:hAnsi="Times New Roman" w:cs="Times New Roman"/>
                      <w:spacing w:val="7"/>
                      <w:sz w:val="18"/>
                      <w:szCs w:val="18"/>
                    </w:rPr>
                    <w:t>源消耗限额》</w:t>
                  </w:r>
                  <w:r>
                    <w:rPr>
                      <w:rFonts w:hint="default" w:ascii="Times New Roman" w:hAnsi="Times New Roman" w:cs="Times New Roman"/>
                      <w:spacing w:val="7"/>
                      <w:sz w:val="18"/>
                      <w:szCs w:val="18"/>
                      <w:lang w:eastAsia="zh-CN"/>
                    </w:rPr>
                    <w:t>（</w:t>
                  </w:r>
                  <w:r>
                    <w:rPr>
                      <w:rFonts w:hint="default" w:ascii="Times New Roman" w:hAnsi="Times New Roman" w:eastAsia="Times New Roman" w:cs="Times New Roman"/>
                      <w:sz w:val="18"/>
                      <w:szCs w:val="18"/>
                    </w:rPr>
                    <w:t>GB</w:t>
                  </w:r>
                  <w:r>
                    <w:rPr>
                      <w:rFonts w:hint="default" w:ascii="Times New Roman" w:hAnsi="Times New Roman" w:eastAsia="Times New Roman" w:cs="Times New Roman"/>
                      <w:spacing w:val="7"/>
                      <w:sz w:val="18"/>
                      <w:szCs w:val="18"/>
                    </w:rPr>
                    <w:t>21256-2013</w:t>
                  </w:r>
                  <w:r>
                    <w:rPr>
                      <w:rFonts w:hint="default" w:ascii="Times New Roman" w:hAnsi="Times New Roman" w:eastAsia="宋体" w:cs="Times New Roman"/>
                      <w:spacing w:val="7"/>
                      <w:sz w:val="18"/>
                      <w:szCs w:val="18"/>
                      <w:lang w:eastAsia="zh-CN"/>
                    </w:rPr>
                    <w:t>）</w:t>
                  </w:r>
                  <w:r>
                    <w:rPr>
                      <w:rFonts w:hint="default" w:ascii="Times New Roman" w:hAnsi="Times New Roman" w:cs="Times New Roman"/>
                      <w:spacing w:val="7"/>
                      <w:sz w:val="18"/>
                      <w:szCs w:val="18"/>
                    </w:rPr>
                    <w:t>、《工业重点领域能效标杆水平和基准水平</w:t>
                  </w:r>
                  <w:r>
                    <w:rPr>
                      <w:rFonts w:hint="default" w:ascii="Times New Roman" w:hAnsi="Times New Roman" w:cs="Times New Roman"/>
                      <w:spacing w:val="7"/>
                      <w:sz w:val="18"/>
                      <w:szCs w:val="18"/>
                      <w:lang w:eastAsia="zh-CN"/>
                    </w:rPr>
                    <w:t>（</w:t>
                  </w:r>
                  <w:r>
                    <w:rPr>
                      <w:rFonts w:hint="default" w:ascii="Times New Roman" w:hAnsi="Times New Roman" w:eastAsia="Times New Roman" w:cs="Times New Roman"/>
                      <w:spacing w:val="7"/>
                      <w:sz w:val="18"/>
                      <w:szCs w:val="18"/>
                    </w:rPr>
                    <w:t>2023</w:t>
                  </w:r>
                  <w:r>
                    <w:rPr>
                      <w:rFonts w:hint="default" w:ascii="Times New Roman" w:hAnsi="Times New Roman" w:cs="Times New Roman"/>
                      <w:spacing w:val="7"/>
                      <w:sz w:val="18"/>
                      <w:szCs w:val="18"/>
                    </w:rPr>
                    <w:t>年版</w:t>
                  </w:r>
                  <w:r>
                    <w:rPr>
                      <w:rFonts w:hint="default" w:ascii="Times New Roman" w:hAnsi="Times New Roman" w:cs="Times New Roman"/>
                      <w:spacing w:val="7"/>
                      <w:sz w:val="18"/>
                      <w:szCs w:val="18"/>
                      <w:lang w:eastAsia="zh-CN"/>
                    </w:rPr>
                    <w:t>）</w:t>
                  </w:r>
                  <w:r>
                    <w:rPr>
                      <w:rFonts w:hint="default" w:ascii="Times New Roman" w:hAnsi="Times New Roman" w:cs="Times New Roman"/>
                      <w:spacing w:val="7"/>
                      <w:sz w:val="18"/>
                      <w:szCs w:val="18"/>
                    </w:rPr>
                    <w:t>》</w:t>
                  </w:r>
                  <w:r>
                    <w:rPr>
                      <w:rFonts w:hint="default" w:ascii="Times New Roman" w:hAnsi="Times New Roman" w:cs="Times New Roman"/>
                      <w:spacing w:val="7"/>
                      <w:sz w:val="18"/>
                      <w:szCs w:val="18"/>
                      <w:lang w:eastAsia="zh-CN"/>
                    </w:rPr>
                    <w:t>（</w:t>
                  </w:r>
                  <w:r>
                    <w:rPr>
                      <w:rFonts w:hint="default" w:ascii="Times New Roman" w:hAnsi="Times New Roman" w:cs="Times New Roman"/>
                      <w:spacing w:val="7"/>
                      <w:sz w:val="18"/>
                      <w:szCs w:val="18"/>
                    </w:rPr>
                    <w:t>发改产业</w:t>
                  </w:r>
                  <w:r>
                    <w:rPr>
                      <w:rFonts w:hint="default" w:ascii="Times New Roman" w:hAnsi="Times New Roman" w:eastAsia="Times New Roman" w:cs="Times New Roman"/>
                      <w:spacing w:val="7"/>
                      <w:sz w:val="18"/>
                      <w:szCs w:val="18"/>
                    </w:rPr>
                    <w:t>[</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\l "bookmark7" </w:instrText>
                  </w:r>
                  <w:r>
                    <w:rPr>
                      <w:rFonts w:hint="default" w:ascii="Times New Roman" w:hAnsi="Times New Roman" w:cs="Times New Roman"/>
                      <w:sz w:val="18"/>
                      <w:szCs w:val="18"/>
                    </w:rPr>
                    <w:fldChar w:fldCharType="separate"/>
                  </w:r>
                  <w:r>
                    <w:rPr>
                      <w:rFonts w:hint="default" w:ascii="Times New Roman" w:hAnsi="Times New Roman" w:eastAsia="Times New Roman" w:cs="Times New Roman"/>
                      <w:spacing w:val="7"/>
                      <w:sz w:val="18"/>
                      <w:szCs w:val="18"/>
                    </w:rPr>
                    <w:t>2023</w:t>
                  </w:r>
                  <w:r>
                    <w:rPr>
                      <w:rFonts w:hint="default" w:ascii="Times New Roman" w:hAnsi="Times New Roman" w:eastAsia="Times New Roman" w:cs="Times New Roman"/>
                      <w:spacing w:val="7"/>
                      <w:sz w:val="18"/>
                      <w:szCs w:val="18"/>
                    </w:rPr>
                    <w:fldChar w:fldCharType="end"/>
                  </w:r>
                  <w:r>
                    <w:rPr>
                      <w:rFonts w:hint="default" w:ascii="Times New Roman" w:hAnsi="Times New Roman" w:eastAsia="Times New Roman" w:cs="Times New Roman"/>
                      <w:spacing w:val="7"/>
                      <w:sz w:val="18"/>
                      <w:szCs w:val="18"/>
                    </w:rPr>
                    <w:t>]7</w:t>
                  </w:r>
                  <w:r>
                    <w:rPr>
                      <w:rFonts w:hint="default" w:ascii="Times New Roman" w:hAnsi="Times New Roman" w:eastAsia="Times New Roman" w:cs="Times New Roman"/>
                      <w:spacing w:val="6"/>
                      <w:sz w:val="18"/>
                      <w:szCs w:val="18"/>
                    </w:rPr>
                    <w:t>23</w:t>
                  </w:r>
                  <w:r>
                    <w:rPr>
                      <w:rFonts w:hint="default" w:ascii="Times New Roman" w:hAnsi="Times New Roman" w:cs="Times New Roman"/>
                      <w:spacing w:val="6"/>
                      <w:sz w:val="18"/>
                      <w:szCs w:val="18"/>
                    </w:rPr>
                    <w:t>号</w:t>
                  </w:r>
                  <w:r>
                    <w:rPr>
                      <w:rFonts w:hint="default" w:ascii="Times New Roman" w:hAnsi="Times New Roman" w:cs="Times New Roman"/>
                      <w:spacing w:val="6"/>
                      <w:sz w:val="18"/>
                      <w:szCs w:val="18"/>
                      <w:lang w:eastAsia="zh-CN"/>
                    </w:rPr>
                    <w:t>）</w:t>
                  </w:r>
                  <w:r>
                    <w:rPr>
                      <w:rFonts w:hint="default" w:ascii="Times New Roman" w:hAnsi="Times New Roman" w:cs="Times New Roman"/>
                      <w:spacing w:val="6"/>
                      <w:sz w:val="18"/>
                      <w:szCs w:val="18"/>
                    </w:rPr>
                    <w:t>、《水利部关于印发钢铁等十八项工业用水定额的</w:t>
                  </w:r>
                  <w:r>
                    <w:rPr>
                      <w:rFonts w:hint="default" w:ascii="Times New Roman" w:hAnsi="Times New Roman" w:cs="Times New Roman"/>
                      <w:spacing w:val="7"/>
                      <w:sz w:val="18"/>
                      <w:szCs w:val="18"/>
                    </w:rPr>
                    <w:t>通知》</w:t>
                  </w:r>
                  <w:r>
                    <w:rPr>
                      <w:rFonts w:hint="default" w:ascii="Times New Roman" w:hAnsi="Times New Roman" w:cs="Times New Roman"/>
                      <w:spacing w:val="7"/>
                      <w:sz w:val="18"/>
                      <w:szCs w:val="18"/>
                      <w:lang w:eastAsia="zh-CN"/>
                    </w:rPr>
                    <w:t>（</w:t>
                  </w:r>
                  <w:r>
                    <w:rPr>
                      <w:rFonts w:hint="default" w:ascii="Times New Roman" w:hAnsi="Times New Roman" w:cs="Times New Roman"/>
                      <w:spacing w:val="7"/>
                      <w:sz w:val="18"/>
                      <w:szCs w:val="18"/>
                    </w:rPr>
                    <w:t>水节约</w:t>
                  </w:r>
                  <w:r>
                    <w:rPr>
                      <w:rFonts w:hint="default" w:ascii="Times New Roman" w:hAnsi="Times New Roman" w:eastAsia="Times New Roman" w:cs="Times New Roman"/>
                      <w:spacing w:val="7"/>
                      <w:sz w:val="18"/>
                      <w:szCs w:val="18"/>
                    </w:rPr>
                    <w:t>[</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\l "bookmark8" </w:instrText>
                  </w:r>
                  <w:r>
                    <w:rPr>
                      <w:rFonts w:hint="default" w:ascii="Times New Roman" w:hAnsi="Times New Roman" w:cs="Times New Roman"/>
                      <w:sz w:val="18"/>
                      <w:szCs w:val="18"/>
                    </w:rPr>
                    <w:fldChar w:fldCharType="separate"/>
                  </w:r>
                  <w:r>
                    <w:rPr>
                      <w:rFonts w:hint="default" w:ascii="Times New Roman" w:hAnsi="Times New Roman" w:eastAsia="Times New Roman" w:cs="Times New Roman"/>
                      <w:spacing w:val="7"/>
                      <w:sz w:val="18"/>
                      <w:szCs w:val="18"/>
                    </w:rPr>
                    <w:t>2019</w:t>
                  </w:r>
                  <w:r>
                    <w:rPr>
                      <w:rFonts w:hint="default" w:ascii="Times New Roman" w:hAnsi="Times New Roman" w:eastAsia="Times New Roman" w:cs="Times New Roman"/>
                      <w:spacing w:val="7"/>
                      <w:sz w:val="18"/>
                      <w:szCs w:val="18"/>
                    </w:rPr>
                    <w:fldChar w:fldCharType="end"/>
                  </w:r>
                  <w:r>
                    <w:rPr>
                      <w:rFonts w:hint="default" w:ascii="Times New Roman" w:hAnsi="Times New Roman" w:eastAsia="Times New Roman" w:cs="Times New Roman"/>
                      <w:spacing w:val="7"/>
                      <w:sz w:val="18"/>
                      <w:szCs w:val="18"/>
                    </w:rPr>
                    <w:t>]373</w:t>
                  </w:r>
                  <w:r>
                    <w:rPr>
                      <w:rFonts w:hint="default" w:ascii="Times New Roman" w:hAnsi="Times New Roman" w:cs="Times New Roman"/>
                      <w:spacing w:val="7"/>
                      <w:sz w:val="18"/>
                      <w:szCs w:val="18"/>
                    </w:rPr>
                    <w:t>号</w:t>
                  </w:r>
                  <w:r>
                    <w:rPr>
                      <w:rFonts w:hint="default" w:ascii="Times New Roman" w:hAnsi="Times New Roman" w:cs="Times New Roman"/>
                      <w:spacing w:val="7"/>
                      <w:sz w:val="18"/>
                      <w:szCs w:val="18"/>
                      <w:lang w:eastAsia="zh-CN"/>
                    </w:rPr>
                    <w:t>）</w:t>
                  </w:r>
                  <w:r>
                    <w:rPr>
                      <w:rFonts w:hint="default" w:ascii="Times New Roman" w:hAnsi="Times New Roman" w:cs="Times New Roman"/>
                      <w:spacing w:val="7"/>
                      <w:sz w:val="18"/>
                      <w:szCs w:val="18"/>
                    </w:rPr>
                    <w:t>中新建企业先进值、标杆</w:t>
                  </w:r>
                  <w:r>
                    <w:rPr>
                      <w:rFonts w:hint="default" w:ascii="Times New Roman" w:hAnsi="Times New Roman" w:cs="Times New Roman"/>
                      <w:spacing w:val="9"/>
                      <w:sz w:val="18"/>
                      <w:szCs w:val="18"/>
                    </w:rPr>
                    <w:t>水平等要求。其他入区项目清洁生产水平须达到国家已颁布的相应清洁生产标准或清洁生产评价指标体系</w:t>
                  </w:r>
                  <w:r>
                    <w:rPr>
                      <w:rFonts w:hint="default" w:ascii="Times New Roman" w:hAnsi="Times New Roman" w:cs="Times New Roman"/>
                      <w:spacing w:val="8"/>
                      <w:sz w:val="18"/>
                      <w:szCs w:val="18"/>
                    </w:rPr>
                    <w:t>的国内先进水平</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二级水平</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，同时满足相应行业</w:t>
                  </w:r>
                  <w:r>
                    <w:rPr>
                      <w:rFonts w:hint="default" w:ascii="Times New Roman" w:hAnsi="Times New Roman" w:cs="Times New Roman"/>
                      <w:spacing w:val="7"/>
                      <w:sz w:val="18"/>
                      <w:szCs w:val="18"/>
                    </w:rPr>
                    <w:t>审批</w:t>
                  </w:r>
                  <w:r>
                    <w:rPr>
                      <w:rFonts w:hint="default" w:ascii="Times New Roman" w:hAnsi="Times New Roman" w:cs="Times New Roman"/>
                      <w:spacing w:val="9"/>
                      <w:sz w:val="18"/>
                      <w:szCs w:val="18"/>
                    </w:rPr>
                    <w:t>原则的规定，无标准的应达到国内先进及以上水平。</w:t>
                  </w:r>
                </w:p>
              </w:tc>
              <w:tc>
                <w:tcPr>
                  <w:tcW w:w="1283" w:type="dxa"/>
                  <w:vAlign w:val="center"/>
                </w:tcPr>
                <w:p w14:paraId="5950EE4B">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18"/>
                      <w:szCs w:val="18"/>
                      <w:lang w:val="en-US" w:eastAsia="zh-CN"/>
                    </w:rPr>
                  </w:pPr>
                  <w:r>
                    <w:rPr>
                      <w:rFonts w:hint="default" w:ascii="Times New Roman" w:hAnsi="Times New Roman" w:cs="Times New Roman"/>
                      <w:spacing w:val="7"/>
                      <w:sz w:val="18"/>
                      <w:szCs w:val="18"/>
                    </w:rPr>
                    <w:t>用水由现有</w:t>
                  </w:r>
                  <w:r>
                    <w:rPr>
                      <w:rFonts w:hint="default" w:ascii="Times New Roman" w:hAnsi="Times New Roman" w:cs="Times New Roman"/>
                      <w:spacing w:val="8"/>
                      <w:sz w:val="18"/>
                      <w:szCs w:val="18"/>
                    </w:rPr>
                    <w:t>供水管网提供</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lang w:val="en-US" w:eastAsia="zh-CN"/>
                    </w:rPr>
                    <w:t>不设自备井；项目不设置分散燃煤供热设施，不设置取暖用的生物质锅炉；不涉及钢铁、焦化产能</w:t>
                  </w:r>
                </w:p>
              </w:tc>
              <w:tc>
                <w:tcPr>
                  <w:tcW w:w="418" w:type="dxa"/>
                  <w:vAlign w:val="center"/>
                </w:tcPr>
                <w:p w14:paraId="06A13D9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eastAsia" w:ascii="Times New Roman" w:hAnsi="Times New Roman" w:cs="Times New Roman"/>
                      <w:spacing w:val="8"/>
                      <w:sz w:val="18"/>
                      <w:szCs w:val="18"/>
                      <w:lang w:eastAsia="zh-CN"/>
                    </w:rPr>
                    <w:t>符合</w:t>
                  </w:r>
                </w:p>
              </w:tc>
            </w:tr>
          </w:tbl>
          <w:p w14:paraId="783A8A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16" w:firstLineChars="200"/>
              <w:textAlignment w:val="auto"/>
              <w:rPr>
                <w:rFonts w:hint="default" w:ascii="Times New Roman" w:hAnsi="Times New Roman" w:eastAsia="宋体" w:cs="Times New Roman"/>
                <w:color w:val="000000" w:themeColor="text1"/>
                <w:spacing w:val="0"/>
                <w:sz w:val="24"/>
                <w:szCs w:val="24"/>
                <w:highlight w:val="green"/>
                <w14:textFill>
                  <w14:solidFill>
                    <w14:schemeClr w14:val="tx1"/>
                  </w14:solidFill>
                </w14:textFill>
              </w:rPr>
            </w:pPr>
            <w:r>
              <w:rPr>
                <w:rFonts w:hint="default" w:ascii="Times New Roman" w:hAnsi="Times New Roman" w:cs="Times New Roman"/>
                <w:spacing w:val="9"/>
                <w:sz w:val="24"/>
                <w:szCs w:val="24"/>
              </w:rPr>
              <w:t>通过上述分析，项目符合规划环评</w:t>
            </w:r>
            <w:r>
              <w:rPr>
                <w:rFonts w:hint="default" w:ascii="Times New Roman" w:hAnsi="Times New Roman" w:eastAsia="Times New Roman" w:cs="Times New Roman"/>
                <w:spacing w:val="9"/>
                <w:sz w:val="24"/>
                <w:szCs w:val="24"/>
              </w:rPr>
              <w:t>“</w:t>
            </w:r>
            <w:r>
              <w:rPr>
                <w:rFonts w:hint="default" w:ascii="Times New Roman" w:hAnsi="Times New Roman" w:cs="Times New Roman"/>
                <w:spacing w:val="9"/>
                <w:sz w:val="24"/>
                <w:szCs w:val="24"/>
              </w:rPr>
              <w:t>开发区准入清单</w:t>
            </w:r>
            <w:r>
              <w:rPr>
                <w:rFonts w:hint="default" w:ascii="Times New Roman" w:hAnsi="Times New Roman" w:eastAsia="Times New Roman" w:cs="Times New Roman"/>
                <w:spacing w:val="8"/>
                <w:sz w:val="24"/>
                <w:szCs w:val="24"/>
              </w:rPr>
              <w:t>”</w:t>
            </w:r>
            <w:r>
              <w:rPr>
                <w:rFonts w:hint="default" w:ascii="Times New Roman" w:hAnsi="Times New Roman" w:cs="Times New Roman"/>
                <w:spacing w:val="8"/>
                <w:sz w:val="24"/>
                <w:szCs w:val="24"/>
              </w:rPr>
              <w:t>相关要求。</w:t>
            </w:r>
          </w:p>
          <w:p w14:paraId="423D9AFC">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04"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spacing w:val="6"/>
                <w:sz w:val="24"/>
                <w:szCs w:val="24"/>
              </w:rPr>
              <w:t>1.6</w:t>
            </w:r>
            <w:r>
              <w:rPr>
                <w:rFonts w:hint="default" w:ascii="Times New Roman" w:hAnsi="Times New Roman" w:cs="Times New Roman"/>
                <w:spacing w:val="6"/>
                <w:sz w:val="24"/>
                <w:szCs w:val="24"/>
              </w:rPr>
              <w:t>与规划环评结论符合性分析</w:t>
            </w:r>
          </w:p>
          <w:p w14:paraId="102CFB10">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16" w:firstLineChars="200"/>
              <w:jc w:val="both"/>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评价从经济发展与区域环境承载力的角度对规划进行了全局分析，并提出了优</w:t>
            </w:r>
            <w:r>
              <w:rPr>
                <w:rFonts w:hint="default" w:ascii="Times New Roman" w:hAnsi="Times New Roman" w:cs="Times New Roman"/>
                <w:spacing w:val="8"/>
                <w:sz w:val="24"/>
                <w:szCs w:val="24"/>
              </w:rPr>
              <w:t>化调整建议。河北迁安经济开发区总体规划</w:t>
            </w:r>
            <w:r>
              <w:rPr>
                <w:rFonts w:hint="default" w:ascii="Times New Roman" w:hAnsi="Times New Roman" w:cs="Times New Roman"/>
                <w:spacing w:val="8"/>
                <w:sz w:val="24"/>
                <w:szCs w:val="24"/>
                <w:lang w:eastAsia="zh-CN"/>
              </w:rPr>
              <w:t>（</w:t>
            </w:r>
            <w:r>
              <w:rPr>
                <w:rFonts w:hint="default" w:ascii="Times New Roman" w:hAnsi="Times New Roman" w:eastAsia="Times New Roman" w:cs="Times New Roman"/>
                <w:spacing w:val="8"/>
                <w:sz w:val="24"/>
                <w:szCs w:val="24"/>
              </w:rPr>
              <w:t>2022</w:t>
            </w:r>
            <w:r>
              <w:rPr>
                <w:rFonts w:hint="default" w:ascii="Times New Roman" w:hAnsi="Times New Roman" w:cs="Times New Roman"/>
                <w:spacing w:val="8"/>
                <w:sz w:val="24"/>
                <w:szCs w:val="24"/>
                <w:lang w:eastAsia="zh-CN"/>
              </w:rPr>
              <w:t>—</w:t>
            </w:r>
            <w:r>
              <w:rPr>
                <w:rFonts w:hint="default" w:ascii="Times New Roman" w:hAnsi="Times New Roman" w:eastAsia="Times New Roman" w:cs="Times New Roman"/>
                <w:spacing w:val="8"/>
                <w:sz w:val="24"/>
                <w:szCs w:val="24"/>
              </w:rPr>
              <w:t>2030</w:t>
            </w:r>
            <w:r>
              <w:rPr>
                <w:rFonts w:hint="default" w:ascii="Times New Roman" w:hAnsi="Times New Roman" w:cs="Times New Roman"/>
                <w:spacing w:val="8"/>
                <w:sz w:val="24"/>
                <w:szCs w:val="24"/>
              </w:rPr>
              <w:t>年</w:t>
            </w:r>
            <w:r>
              <w:rPr>
                <w:rFonts w:hint="default" w:ascii="Times New Roman" w:hAnsi="Times New Roman" w:cs="Times New Roman"/>
                <w:spacing w:val="8"/>
                <w:sz w:val="24"/>
                <w:szCs w:val="24"/>
                <w:lang w:eastAsia="zh-CN"/>
              </w:rPr>
              <w:t>）</w:t>
            </w:r>
            <w:r>
              <w:rPr>
                <w:rFonts w:hint="default" w:ascii="Times New Roman" w:hAnsi="Times New Roman" w:cs="Times New Roman"/>
                <w:spacing w:val="8"/>
                <w:sz w:val="24"/>
                <w:szCs w:val="24"/>
              </w:rPr>
              <w:t>符合国家、河北省、</w:t>
            </w:r>
            <w:r>
              <w:rPr>
                <w:rFonts w:hint="default" w:ascii="Times New Roman" w:hAnsi="Times New Roman" w:cs="Times New Roman"/>
                <w:spacing w:val="7"/>
                <w:sz w:val="24"/>
                <w:szCs w:val="24"/>
              </w:rPr>
              <w:t>唐山</w:t>
            </w:r>
            <w:r>
              <w:rPr>
                <w:rFonts w:hint="default" w:ascii="Times New Roman" w:hAnsi="Times New Roman" w:cs="Times New Roman"/>
                <w:spacing w:val="9"/>
                <w:sz w:val="24"/>
                <w:szCs w:val="24"/>
              </w:rPr>
              <w:t>市相关规划要求；规划产业的发展符合当前国家、省、市产业政策要求。在落实区域削减源以及评价提出的预防和治理措施的情况下，开发区规划的实施对周围环境影响可接受，不会改变区域环境功能，可满足环境质量底线要求；在充分利用地表水、再生水以及加强环境管理的前提下，区域资源环境可以承载规划的实施，不突破水资源、土地资源利用上线；规划范围内不涉及生态保护红线区；规划产业空间布局和能源结构相对合理，可以达到相应的环境保护目标。</w:t>
            </w:r>
          </w:p>
          <w:p w14:paraId="687CF3FB">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16" w:firstLineChars="200"/>
              <w:jc w:val="both"/>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规划应加强环境保护预防和治理措施，产业发展规模需</w:t>
            </w:r>
            <w:r>
              <w:rPr>
                <w:rFonts w:hint="default" w:ascii="Times New Roman" w:hAnsi="Times New Roman" w:eastAsia="Times New Roman" w:cs="Times New Roman"/>
                <w:spacing w:val="9"/>
                <w:sz w:val="24"/>
                <w:szCs w:val="24"/>
              </w:rPr>
              <w:t>“</w:t>
            </w:r>
            <w:r>
              <w:rPr>
                <w:rFonts w:hint="default" w:ascii="Times New Roman" w:hAnsi="Times New Roman" w:cs="Times New Roman"/>
                <w:spacing w:val="9"/>
                <w:sz w:val="24"/>
                <w:szCs w:val="24"/>
              </w:rPr>
              <w:t>量水而行</w:t>
            </w:r>
            <w:r>
              <w:rPr>
                <w:rFonts w:hint="default" w:ascii="Times New Roman" w:hAnsi="Times New Roman" w:eastAsia="Times New Roman" w:cs="Times New Roman"/>
                <w:spacing w:val="9"/>
                <w:sz w:val="24"/>
                <w:szCs w:val="24"/>
              </w:rPr>
              <w:t>”</w:t>
            </w:r>
            <w:r>
              <w:rPr>
                <w:rFonts w:hint="default" w:ascii="Times New Roman" w:hAnsi="Times New Roman" w:eastAsia="Times New Roman" w:cs="Times New Roman"/>
                <w:spacing w:val="-23"/>
                <w:sz w:val="24"/>
                <w:szCs w:val="24"/>
              </w:rPr>
              <w:t xml:space="preserve"> </w:t>
            </w:r>
            <w:r>
              <w:rPr>
                <w:rFonts w:hint="default" w:ascii="Times New Roman" w:hAnsi="Times New Roman" w:cs="Times New Roman"/>
                <w:spacing w:val="9"/>
                <w:sz w:val="24"/>
                <w:szCs w:val="24"/>
              </w:rPr>
              <w:t>，</w:t>
            </w:r>
            <w:r>
              <w:rPr>
                <w:rFonts w:hint="default" w:ascii="Times New Roman" w:hAnsi="Times New Roman" w:cs="Times New Roman"/>
                <w:spacing w:val="8"/>
                <w:sz w:val="24"/>
                <w:szCs w:val="24"/>
              </w:rPr>
              <w:t>根据评价</w:t>
            </w:r>
            <w:r>
              <w:rPr>
                <w:rFonts w:hint="default" w:ascii="Times New Roman" w:hAnsi="Times New Roman" w:cs="Times New Roman"/>
                <w:spacing w:val="9"/>
                <w:sz w:val="24"/>
                <w:szCs w:val="24"/>
              </w:rPr>
              <w:t>提出的分区管控要求、环境影响减缓措施与协同降碳建议，加强开发区空间管控，严格控制污染物排放总量，并采纳评价提出的调整建议和相关要求对规划进行优化</w:t>
            </w:r>
            <w:r>
              <w:rPr>
                <w:rFonts w:hint="default" w:ascii="Times New Roman" w:hAnsi="Times New Roman" w:cs="Times New Roman"/>
                <w:spacing w:val="8"/>
                <w:sz w:val="24"/>
                <w:szCs w:val="24"/>
              </w:rPr>
              <w:t>调整后，《河北迁安经济开发区总体规划》</w:t>
            </w:r>
            <w:r>
              <w:rPr>
                <w:rFonts w:hint="default" w:ascii="Times New Roman" w:hAnsi="Times New Roman" w:cs="Times New Roman"/>
                <w:spacing w:val="8"/>
                <w:sz w:val="24"/>
                <w:szCs w:val="24"/>
                <w:lang w:eastAsia="zh-CN"/>
              </w:rPr>
              <w:t>（</w:t>
            </w:r>
            <w:r>
              <w:rPr>
                <w:rFonts w:hint="default" w:ascii="Times New Roman" w:hAnsi="Times New Roman" w:eastAsia="Times New Roman" w:cs="Times New Roman"/>
                <w:spacing w:val="8"/>
                <w:sz w:val="24"/>
                <w:szCs w:val="24"/>
              </w:rPr>
              <w:t>2022</w:t>
            </w:r>
            <w:r>
              <w:rPr>
                <w:rFonts w:hint="default" w:ascii="Times New Roman" w:hAnsi="Times New Roman" w:cs="Times New Roman"/>
                <w:spacing w:val="8"/>
                <w:sz w:val="24"/>
                <w:szCs w:val="24"/>
                <w:lang w:eastAsia="zh-CN"/>
              </w:rPr>
              <w:t>—</w:t>
            </w:r>
            <w:r>
              <w:rPr>
                <w:rFonts w:hint="default" w:ascii="Times New Roman" w:hAnsi="Times New Roman" w:eastAsia="Times New Roman" w:cs="Times New Roman"/>
                <w:spacing w:val="8"/>
                <w:sz w:val="24"/>
                <w:szCs w:val="24"/>
              </w:rPr>
              <w:t>2030</w:t>
            </w:r>
            <w:r>
              <w:rPr>
                <w:rFonts w:hint="default" w:ascii="Times New Roman" w:hAnsi="Times New Roman" w:cs="Times New Roman"/>
                <w:spacing w:val="8"/>
                <w:sz w:val="24"/>
                <w:szCs w:val="24"/>
              </w:rPr>
              <w:t>年</w:t>
            </w:r>
            <w:r>
              <w:rPr>
                <w:rFonts w:hint="default" w:ascii="Times New Roman" w:hAnsi="Times New Roman" w:cs="Times New Roman"/>
                <w:spacing w:val="8"/>
                <w:sz w:val="24"/>
                <w:szCs w:val="24"/>
                <w:lang w:eastAsia="zh-CN"/>
              </w:rPr>
              <w:t>）</w:t>
            </w:r>
            <w:r>
              <w:rPr>
                <w:rFonts w:hint="default" w:ascii="Times New Roman" w:hAnsi="Times New Roman" w:cs="Times New Roman"/>
                <w:spacing w:val="8"/>
                <w:sz w:val="24"/>
                <w:szCs w:val="24"/>
              </w:rPr>
              <w:t>的实施具有环境合理性和</w:t>
            </w:r>
            <w:r>
              <w:rPr>
                <w:rFonts w:hint="default" w:ascii="Times New Roman" w:hAnsi="Times New Roman" w:cs="Times New Roman"/>
                <w:spacing w:val="4"/>
                <w:sz w:val="24"/>
                <w:szCs w:val="24"/>
              </w:rPr>
              <w:t>可行性。</w:t>
            </w:r>
          </w:p>
          <w:p w14:paraId="321B05C3">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16" w:firstLineChars="200"/>
              <w:jc w:val="both"/>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本项目</w:t>
            </w:r>
            <w:r>
              <w:rPr>
                <w:rFonts w:hint="default" w:ascii="Times New Roman" w:hAnsi="Times New Roman" w:cs="Times New Roman"/>
                <w:spacing w:val="9"/>
                <w:sz w:val="24"/>
                <w:highlight w:val="none"/>
              </w:rPr>
              <w:t>产业定位及用地布局符合规划要求</w:t>
            </w:r>
            <w:r>
              <w:rPr>
                <w:rFonts w:hint="default" w:ascii="Times New Roman" w:hAnsi="Times New Roman" w:cs="Times New Roman"/>
                <w:spacing w:val="9"/>
                <w:sz w:val="24"/>
                <w:szCs w:val="24"/>
              </w:rPr>
              <w:t>，废气污染物满足排放标准</w:t>
            </w:r>
            <w:r>
              <w:rPr>
                <w:rFonts w:hint="eastAsia" w:ascii="Times New Roman" w:hAnsi="Times New Roman" w:cs="Times New Roman"/>
                <w:spacing w:val="9"/>
                <w:sz w:val="24"/>
                <w:szCs w:val="24"/>
                <w:lang w:eastAsia="zh-CN"/>
              </w:rPr>
              <w:t>，在</w:t>
            </w:r>
            <w:r>
              <w:rPr>
                <w:rFonts w:hint="default" w:ascii="Times New Roman" w:hAnsi="Times New Roman" w:cs="Times New Roman"/>
                <w:spacing w:val="9"/>
                <w:sz w:val="24"/>
                <w:szCs w:val="24"/>
              </w:rPr>
              <w:t>落实本评价提出的预防和治理措施的情况下，对周围环境影响可接受；本项目建设不突破水资源、土地资源利用上线；在加强环境保护预防和治理措施前提下，本项目满足规划要求的分区管控要求、环境影响减缓措施与协同降碳建议，并严格控制污染物</w:t>
            </w:r>
            <w:r>
              <w:rPr>
                <w:rFonts w:hint="default" w:ascii="Times New Roman" w:hAnsi="Times New Roman" w:cs="Times New Roman"/>
                <w:spacing w:val="8"/>
                <w:sz w:val="24"/>
                <w:szCs w:val="24"/>
              </w:rPr>
              <w:t>排放总量。因此，项目符合规划环评结论。</w:t>
            </w:r>
          </w:p>
          <w:p w14:paraId="639FF456">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08"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spacing w:val="7"/>
                <w:sz w:val="24"/>
                <w:szCs w:val="24"/>
              </w:rPr>
              <w:t>1.7</w:t>
            </w:r>
            <w:r>
              <w:rPr>
                <w:rFonts w:hint="default" w:ascii="Times New Roman" w:hAnsi="Times New Roman" w:cs="Times New Roman"/>
                <w:spacing w:val="7"/>
                <w:sz w:val="24"/>
                <w:szCs w:val="24"/>
              </w:rPr>
              <w:t>与规划环评审查意见符合性分析</w:t>
            </w:r>
          </w:p>
          <w:p w14:paraId="386772EA">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08" w:firstLineChars="200"/>
              <w:textAlignment w:val="auto"/>
              <w:rPr>
                <w:rFonts w:hint="default" w:ascii="Times New Roman" w:hAnsi="Times New Roman" w:cs="Times New Roman"/>
                <w:sz w:val="24"/>
                <w:szCs w:val="24"/>
              </w:rPr>
            </w:pPr>
            <w:r>
              <w:rPr>
                <w:rFonts w:hint="default" w:ascii="Times New Roman" w:hAnsi="Times New Roman" w:cs="Times New Roman"/>
                <w:spacing w:val="7"/>
                <w:sz w:val="24"/>
                <w:szCs w:val="24"/>
              </w:rPr>
              <w:t>项目与《关于</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河北迁安经济开发区总体规划</w:t>
            </w:r>
            <w:r>
              <w:rPr>
                <w:rFonts w:hint="default" w:ascii="Times New Roman" w:hAnsi="Times New Roman" w:cs="Times New Roman"/>
                <w:spacing w:val="7"/>
                <w:sz w:val="24"/>
                <w:szCs w:val="24"/>
                <w:lang w:eastAsia="zh-CN"/>
              </w:rPr>
              <w:t>（</w:t>
            </w:r>
            <w:r>
              <w:rPr>
                <w:rFonts w:hint="default" w:ascii="Times New Roman" w:hAnsi="Times New Roman" w:eastAsia="Times New Roman" w:cs="Times New Roman"/>
                <w:spacing w:val="7"/>
                <w:sz w:val="24"/>
                <w:szCs w:val="24"/>
              </w:rPr>
              <w:t>2022</w:t>
            </w:r>
            <w:r>
              <w:rPr>
                <w:rFonts w:hint="default" w:ascii="Times New Roman" w:hAnsi="Times New Roman" w:cs="Times New Roman"/>
                <w:spacing w:val="7"/>
                <w:sz w:val="24"/>
                <w:szCs w:val="24"/>
                <w:lang w:eastAsia="zh-CN"/>
              </w:rPr>
              <w:t>—</w:t>
            </w:r>
            <w:r>
              <w:rPr>
                <w:rFonts w:hint="default" w:ascii="Times New Roman" w:hAnsi="Times New Roman" w:eastAsia="Times New Roman" w:cs="Times New Roman"/>
                <w:spacing w:val="7"/>
                <w:sz w:val="24"/>
                <w:szCs w:val="24"/>
              </w:rPr>
              <w:t>2030</w:t>
            </w:r>
            <w:r>
              <w:rPr>
                <w:rFonts w:hint="default" w:ascii="Times New Roman" w:hAnsi="Times New Roman" w:cs="Times New Roman"/>
                <w:spacing w:val="7"/>
                <w:sz w:val="24"/>
                <w:szCs w:val="24"/>
              </w:rPr>
              <w:t>年</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环境影响报告书</w:t>
            </w:r>
            <w:r>
              <w:rPr>
                <w:rFonts w:hint="default" w:ascii="Times New Roman" w:hAnsi="Times New Roman" w:cs="Times New Roman"/>
                <w:spacing w:val="7"/>
                <w:sz w:val="24"/>
                <w:szCs w:val="24"/>
                <w:lang w:eastAsia="zh-CN"/>
              </w:rPr>
              <w:t>〉</w:t>
            </w:r>
            <w:r>
              <w:rPr>
                <w:rFonts w:hint="default" w:ascii="Times New Roman" w:hAnsi="Times New Roman" w:cs="Times New Roman"/>
                <w:spacing w:val="7"/>
                <w:sz w:val="24"/>
                <w:szCs w:val="24"/>
              </w:rPr>
              <w:t>的</w:t>
            </w:r>
            <w:r>
              <w:rPr>
                <w:rFonts w:hint="default" w:ascii="Times New Roman" w:hAnsi="Times New Roman" w:cs="Times New Roman"/>
                <w:spacing w:val="6"/>
                <w:sz w:val="24"/>
                <w:szCs w:val="24"/>
              </w:rPr>
              <w:t>审查意见》</w:t>
            </w:r>
            <w:r>
              <w:rPr>
                <w:rFonts w:hint="default" w:ascii="Times New Roman" w:hAnsi="Times New Roman" w:cs="Times New Roman"/>
                <w:spacing w:val="6"/>
                <w:sz w:val="24"/>
                <w:szCs w:val="24"/>
                <w:lang w:eastAsia="zh-CN"/>
              </w:rPr>
              <w:t>（</w:t>
            </w:r>
            <w:r>
              <w:rPr>
                <w:rFonts w:hint="default" w:ascii="Times New Roman" w:hAnsi="Times New Roman" w:cs="Times New Roman"/>
                <w:spacing w:val="6"/>
                <w:sz w:val="24"/>
                <w:szCs w:val="24"/>
              </w:rPr>
              <w:t>冀环环评函</w:t>
            </w:r>
            <w:r>
              <w:rPr>
                <w:rFonts w:hint="default" w:ascii="Times New Roman" w:hAnsi="Times New Roman" w:eastAsia="Times New Roman" w:cs="Times New Roman"/>
                <w:spacing w:val="6"/>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"bookmark9"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spacing w:val="6"/>
                <w:sz w:val="24"/>
                <w:szCs w:val="24"/>
              </w:rPr>
              <w:t>2025</w:t>
            </w:r>
            <w:r>
              <w:rPr>
                <w:rFonts w:hint="default" w:ascii="Times New Roman" w:hAnsi="Times New Roman" w:eastAsia="Times New Roman" w:cs="Times New Roman"/>
                <w:spacing w:val="6"/>
                <w:sz w:val="24"/>
                <w:szCs w:val="24"/>
              </w:rPr>
              <w:fldChar w:fldCharType="end"/>
            </w:r>
            <w:r>
              <w:rPr>
                <w:rFonts w:hint="default" w:ascii="Times New Roman" w:hAnsi="Times New Roman" w:eastAsia="Times New Roman" w:cs="Times New Roman"/>
                <w:spacing w:val="6"/>
                <w:sz w:val="24"/>
                <w:szCs w:val="24"/>
              </w:rPr>
              <w:t>]</w:t>
            </w:r>
            <w:r>
              <w:rPr>
                <w:rFonts w:hint="default" w:ascii="Times New Roman" w:hAnsi="Times New Roman" w:eastAsia="Times New Roman" w:cs="Times New Roman"/>
                <w:spacing w:val="-25"/>
                <w:sz w:val="24"/>
                <w:szCs w:val="24"/>
              </w:rPr>
              <w:t xml:space="preserve"> </w:t>
            </w:r>
            <w:r>
              <w:rPr>
                <w:rFonts w:hint="default" w:ascii="Times New Roman" w:hAnsi="Times New Roman" w:eastAsia="Times New Roman" w:cs="Times New Roman"/>
                <w:spacing w:val="6"/>
                <w:sz w:val="24"/>
                <w:szCs w:val="24"/>
              </w:rPr>
              <w:t>1283</w:t>
            </w:r>
            <w:r>
              <w:rPr>
                <w:rFonts w:hint="default" w:ascii="Times New Roman" w:hAnsi="Times New Roman" w:cs="Times New Roman"/>
                <w:spacing w:val="6"/>
                <w:sz w:val="24"/>
                <w:szCs w:val="24"/>
              </w:rPr>
              <w:t>号</w:t>
            </w:r>
            <w:r>
              <w:rPr>
                <w:rFonts w:hint="default" w:ascii="Times New Roman" w:hAnsi="Times New Roman" w:cs="Times New Roman"/>
                <w:spacing w:val="6"/>
                <w:sz w:val="24"/>
                <w:szCs w:val="24"/>
                <w:lang w:eastAsia="zh-CN"/>
              </w:rPr>
              <w:t>）</w:t>
            </w:r>
            <w:r>
              <w:rPr>
                <w:rFonts w:hint="default" w:ascii="Times New Roman" w:hAnsi="Times New Roman" w:cs="Times New Roman"/>
                <w:spacing w:val="6"/>
                <w:sz w:val="24"/>
                <w:szCs w:val="24"/>
              </w:rPr>
              <w:t>的</w:t>
            </w:r>
            <w:r>
              <w:rPr>
                <w:rFonts w:hint="default" w:ascii="Times New Roman" w:hAnsi="Times New Roman" w:cs="Times New Roman"/>
                <w:spacing w:val="5"/>
                <w:sz w:val="24"/>
                <w:szCs w:val="24"/>
              </w:rPr>
              <w:t>符合性见表</w:t>
            </w:r>
            <w:r>
              <w:rPr>
                <w:rFonts w:hint="default" w:ascii="Times New Roman" w:hAnsi="Times New Roman" w:eastAsia="Times New Roman" w:cs="Times New Roman"/>
                <w:spacing w:val="5"/>
                <w:sz w:val="24"/>
                <w:szCs w:val="24"/>
              </w:rPr>
              <w:t>1-</w:t>
            </w:r>
            <w:r>
              <w:rPr>
                <w:rFonts w:hint="default" w:ascii="Times New Roman" w:hAnsi="Times New Roman" w:eastAsia="宋体" w:cs="Times New Roman"/>
                <w:spacing w:val="5"/>
                <w:sz w:val="24"/>
                <w:szCs w:val="24"/>
                <w:lang w:val="en-US" w:eastAsia="zh-CN"/>
              </w:rPr>
              <w:t>2</w:t>
            </w:r>
            <w:r>
              <w:rPr>
                <w:rFonts w:hint="default" w:ascii="Times New Roman" w:hAnsi="Times New Roman" w:cs="Times New Roman"/>
                <w:spacing w:val="5"/>
                <w:sz w:val="24"/>
                <w:szCs w:val="24"/>
              </w:rPr>
              <w:t>。</w:t>
            </w:r>
          </w:p>
          <w:p w14:paraId="3C9F2484">
            <w:pPr>
              <w:keepNext w:val="0"/>
              <w:keepLines w:val="0"/>
              <w:pageBreakBefore w:val="0"/>
              <w:suppressLineNumbers w:val="0"/>
              <w:kinsoku/>
              <w:wordWrap/>
              <w:overflowPunct/>
              <w:topLinePunct w:val="0"/>
              <w:bidi w:val="0"/>
              <w:adjustRightInd w:val="0"/>
              <w:snapToGrid w:val="0"/>
              <w:spacing w:before="0" w:beforeAutospacing="0" w:after="0" w:afterAutospacing="0" w:line="480" w:lineRule="exact"/>
              <w:ind w:left="0" w:right="0" w:firstLine="446" w:firstLineChars="200"/>
              <w:rPr>
                <w:rFonts w:hint="default" w:ascii="Times New Roman" w:hAnsi="Times New Roman" w:eastAsia="宋体" w:cs="Times New Roman"/>
                <w:color w:val="000000" w:themeColor="text1"/>
                <w:spacing w:val="0"/>
                <w:sz w:val="24"/>
                <w:highlight w:val="green"/>
                <w14:textFill>
                  <w14:solidFill>
                    <w14:schemeClr w14:val="tx1"/>
                  </w14:solidFill>
                </w14:textFill>
              </w:rPr>
            </w:pPr>
            <w:r>
              <w:rPr>
                <w:rFonts w:hint="default" w:ascii="Times New Roman" w:hAnsi="Times New Roman" w:cs="Times New Roman"/>
                <w:b/>
                <w:bCs/>
                <w:spacing w:val="6"/>
              </w:rPr>
              <w:t>表</w:t>
            </w:r>
            <w:r>
              <w:rPr>
                <w:rFonts w:hint="default" w:ascii="Times New Roman" w:hAnsi="Times New Roman" w:eastAsia="Times New Roman" w:cs="Times New Roman"/>
                <w:b/>
                <w:bCs/>
                <w:spacing w:val="6"/>
              </w:rPr>
              <w:t>1-</w:t>
            </w:r>
            <w:r>
              <w:rPr>
                <w:rFonts w:hint="default" w:ascii="Times New Roman" w:hAnsi="Times New Roman" w:eastAsia="宋体" w:cs="Times New Roman"/>
                <w:b/>
                <w:bCs/>
                <w:spacing w:val="6"/>
                <w:lang w:val="en-US" w:eastAsia="zh-CN"/>
              </w:rPr>
              <w:t>2</w:t>
            </w:r>
            <w:r>
              <w:rPr>
                <w:rFonts w:hint="default" w:ascii="Times New Roman" w:hAnsi="Times New Roman" w:eastAsia="Times New Roman" w:cs="Times New Roman"/>
                <w:b/>
                <w:bCs/>
                <w:spacing w:val="6"/>
              </w:rPr>
              <w:t xml:space="preserve">        </w:t>
            </w:r>
            <w:r>
              <w:rPr>
                <w:rFonts w:hint="default" w:ascii="Times New Roman" w:hAnsi="Times New Roman" w:cs="Times New Roman"/>
                <w:b/>
                <w:bCs/>
                <w:spacing w:val="6"/>
              </w:rPr>
              <w:t>项目与规划环评审查意见符合性分析</w:t>
            </w:r>
          </w:p>
          <w:tbl>
            <w:tblPr>
              <w:tblStyle w:val="67"/>
              <w:tblW w:w="753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28"/>
              <w:gridCol w:w="3562"/>
              <w:gridCol w:w="2861"/>
              <w:gridCol w:w="680"/>
            </w:tblGrid>
            <w:tr w14:paraId="57289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428" w:type="dxa"/>
                  <w:vAlign w:val="center"/>
                </w:tcPr>
                <w:p w14:paraId="63F28F0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序</w:t>
                  </w:r>
                  <w:r>
                    <w:rPr>
                      <w:rFonts w:hint="default" w:ascii="Times New Roman" w:hAnsi="Times New Roman" w:cs="Times New Roman"/>
                      <w:spacing w:val="-28"/>
                      <w:sz w:val="18"/>
                      <w:szCs w:val="18"/>
                    </w:rPr>
                    <w:t xml:space="preserve"> </w:t>
                  </w:r>
                  <w:r>
                    <w:rPr>
                      <w:rFonts w:hint="default" w:ascii="Times New Roman" w:hAnsi="Times New Roman" w:cs="Times New Roman"/>
                      <w:spacing w:val="8"/>
                      <w:sz w:val="18"/>
                      <w:szCs w:val="18"/>
                    </w:rPr>
                    <w:t>号</w:t>
                  </w:r>
                </w:p>
              </w:tc>
              <w:tc>
                <w:tcPr>
                  <w:tcW w:w="3562" w:type="dxa"/>
                  <w:vAlign w:val="center"/>
                </w:tcPr>
                <w:p w14:paraId="0A8062C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4"/>
                      <w:sz w:val="18"/>
                      <w:szCs w:val="18"/>
                    </w:rPr>
                    <w:t>审查意见</w:t>
                  </w:r>
                </w:p>
              </w:tc>
              <w:tc>
                <w:tcPr>
                  <w:tcW w:w="2861" w:type="dxa"/>
                  <w:vAlign w:val="center"/>
                </w:tcPr>
                <w:p w14:paraId="0C017F1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6"/>
                      <w:sz w:val="18"/>
                      <w:szCs w:val="18"/>
                    </w:rPr>
                    <w:t>项目情况</w:t>
                  </w:r>
                </w:p>
              </w:tc>
              <w:tc>
                <w:tcPr>
                  <w:tcW w:w="680" w:type="dxa"/>
                  <w:vAlign w:val="center"/>
                </w:tcPr>
                <w:p w14:paraId="61ACE22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r>
                    <w:rPr>
                      <w:rFonts w:hint="default" w:ascii="Times New Roman" w:hAnsi="Times New Roman" w:cs="Times New Roman"/>
                      <w:sz w:val="18"/>
                      <w:szCs w:val="18"/>
                    </w:rPr>
                    <w:t>性</w:t>
                  </w:r>
                </w:p>
              </w:tc>
            </w:tr>
            <w:tr w14:paraId="58E3C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2" w:hRule="atLeast"/>
              </w:trPr>
              <w:tc>
                <w:tcPr>
                  <w:tcW w:w="428" w:type="dxa"/>
                  <w:vAlign w:val="center"/>
                </w:tcPr>
                <w:p w14:paraId="6D9C33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w:t>
                  </w:r>
                </w:p>
              </w:tc>
              <w:tc>
                <w:tcPr>
                  <w:tcW w:w="3562" w:type="dxa"/>
                  <w:vAlign w:val="center"/>
                </w:tcPr>
                <w:p w14:paraId="37FE838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落实国家及区域发展战略，坚持生态优先、提质增效，以生态环境质量改善为核心，做好与各级国土空间规划</w:t>
                  </w:r>
                  <w:r>
                    <w:rPr>
                      <w:rFonts w:hint="default" w:ascii="Times New Roman" w:hAnsi="Times New Roman" w:cs="Times New Roman"/>
                      <w:spacing w:val="9"/>
                      <w:sz w:val="18"/>
                      <w:szCs w:val="18"/>
                    </w:rPr>
                    <w:t>和生态环境分区管控体系的协调衔</w:t>
                  </w:r>
                  <w:r>
                    <w:rPr>
                      <w:rFonts w:hint="default" w:ascii="Times New Roman" w:hAnsi="Times New Roman" w:cs="Times New Roman"/>
                      <w:spacing w:val="8"/>
                      <w:sz w:val="18"/>
                      <w:szCs w:val="18"/>
                    </w:rPr>
                    <w:t>接，进一步优化《规划》布局、产业</w:t>
                  </w:r>
                  <w:r>
                    <w:rPr>
                      <w:rFonts w:hint="default" w:ascii="Times New Roman" w:hAnsi="Times New Roman" w:cs="Times New Roman"/>
                      <w:spacing w:val="7"/>
                      <w:sz w:val="18"/>
                      <w:szCs w:val="18"/>
                    </w:rPr>
                    <w:t>定位和发展规模</w:t>
                  </w:r>
                </w:p>
              </w:tc>
              <w:tc>
                <w:tcPr>
                  <w:tcW w:w="2861" w:type="dxa"/>
                  <w:vAlign w:val="center"/>
                </w:tcPr>
                <w:p w14:paraId="5436A70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项目位于河北迁安经济开发</w:t>
                  </w:r>
                  <w:r>
                    <w:rPr>
                      <w:rFonts w:hint="default" w:ascii="Times New Roman" w:hAnsi="Times New Roman" w:cs="Times New Roman"/>
                      <w:spacing w:val="2"/>
                      <w:sz w:val="18"/>
                      <w:szCs w:val="18"/>
                    </w:rPr>
                    <w:t>区智能创新产业园，项目为固体废物治理</w:t>
                  </w:r>
                  <w:r>
                    <w:rPr>
                      <w:rFonts w:hint="default" w:ascii="Times New Roman" w:hAnsi="Times New Roman" w:cs="Times New Roman"/>
                      <w:spacing w:val="2"/>
                      <w:sz w:val="18"/>
                      <w:szCs w:val="18"/>
                      <w:lang w:val="en-US" w:eastAsia="zh-CN"/>
                    </w:rPr>
                    <w:t>及</w:t>
                  </w:r>
                  <w:r>
                    <w:rPr>
                      <w:rFonts w:hint="default" w:ascii="Times New Roman" w:hAnsi="Times New Roman" w:cs="Times New Roman"/>
                      <w:spacing w:val="2"/>
                      <w:sz w:val="18"/>
                      <w:szCs w:val="18"/>
                    </w:rPr>
                    <w:t>生物质致密成型燃料加工</w:t>
                  </w:r>
                  <w:r>
                    <w:rPr>
                      <w:rFonts w:hint="default" w:ascii="Times New Roman" w:hAnsi="Times New Roman" w:cs="Times New Roman"/>
                      <w:spacing w:val="2"/>
                      <w:sz w:val="18"/>
                      <w:szCs w:val="18"/>
                      <w:lang w:val="en-US" w:eastAsia="zh-CN"/>
                    </w:rPr>
                    <w:t>项目</w:t>
                  </w:r>
                  <w:r>
                    <w:rPr>
                      <w:rFonts w:hint="default" w:ascii="Times New Roman" w:hAnsi="Times New Roman" w:cs="Times New Roman"/>
                      <w:spacing w:val="2"/>
                      <w:sz w:val="18"/>
                      <w:szCs w:val="18"/>
                    </w:rPr>
                    <w:t>，不涉及</w:t>
                  </w:r>
                  <w:r>
                    <w:rPr>
                      <w:rFonts w:hint="default" w:ascii="Times New Roman" w:hAnsi="Times New Roman" w:cs="Times New Roman"/>
                      <w:spacing w:val="3"/>
                      <w:sz w:val="18"/>
                      <w:szCs w:val="18"/>
                    </w:rPr>
                    <w:t>钢铁产能变化，河北迁安经济</w:t>
                  </w:r>
                  <w:r>
                    <w:rPr>
                      <w:rFonts w:hint="default" w:ascii="Times New Roman" w:hAnsi="Times New Roman" w:cs="Times New Roman"/>
                      <w:spacing w:val="8"/>
                      <w:sz w:val="18"/>
                      <w:szCs w:val="18"/>
                    </w:rPr>
                    <w:t>开发区管理委员会</w:t>
                  </w:r>
                  <w:r>
                    <w:rPr>
                      <w:rFonts w:hint="default" w:ascii="Times New Roman" w:hAnsi="Times New Roman" w:cs="Times New Roman"/>
                      <w:spacing w:val="9"/>
                      <w:sz w:val="18"/>
                      <w:szCs w:val="18"/>
                    </w:rPr>
                    <w:t>已出具关于本项</w:t>
                  </w:r>
                  <w:r>
                    <w:rPr>
                      <w:rFonts w:hint="default" w:ascii="Times New Roman" w:hAnsi="Times New Roman" w:cs="Times New Roman"/>
                      <w:spacing w:val="-1"/>
                      <w:sz w:val="18"/>
                      <w:szCs w:val="18"/>
                    </w:rPr>
                    <w:t>目的</w:t>
                  </w:r>
                  <w:r>
                    <w:rPr>
                      <w:rFonts w:hint="default" w:ascii="Times New Roman" w:hAnsi="Times New Roman" w:cs="Times New Roman"/>
                      <w:spacing w:val="-1"/>
                      <w:sz w:val="18"/>
                      <w:szCs w:val="18"/>
                      <w:lang w:val="en-US" w:eastAsia="zh-CN"/>
                    </w:rPr>
                    <w:t>入园</w:t>
                  </w:r>
                  <w:r>
                    <w:rPr>
                      <w:rFonts w:hint="default" w:ascii="Times New Roman" w:hAnsi="Times New Roman" w:cs="Times New Roman"/>
                      <w:spacing w:val="-1"/>
                      <w:sz w:val="18"/>
                      <w:szCs w:val="18"/>
                    </w:rPr>
                    <w:t>意见，本项目符合园</w:t>
                  </w:r>
                  <w:r>
                    <w:rPr>
                      <w:rFonts w:hint="default" w:ascii="Times New Roman" w:hAnsi="Times New Roman" w:cs="Times New Roman"/>
                      <w:spacing w:val="2"/>
                      <w:sz w:val="18"/>
                      <w:szCs w:val="18"/>
                    </w:rPr>
                    <w:t>区总体规划要求。项目选址合</w:t>
                  </w:r>
                  <w:r>
                    <w:rPr>
                      <w:rFonts w:hint="default" w:ascii="Times New Roman" w:hAnsi="Times New Roman" w:cs="Times New Roman"/>
                      <w:spacing w:val="3"/>
                      <w:sz w:val="18"/>
                      <w:szCs w:val="18"/>
                    </w:rPr>
                    <w:t>理</w:t>
                  </w:r>
                  <w:r>
                    <w:rPr>
                      <w:rFonts w:hint="eastAsia" w:ascii="Times New Roman" w:hAnsi="Times New Roman" w:cs="Times New Roman"/>
                      <w:spacing w:val="3"/>
                      <w:sz w:val="18"/>
                      <w:szCs w:val="18"/>
                      <w:lang w:eastAsia="zh-CN"/>
                    </w:rPr>
                    <w:t>，</w:t>
                  </w:r>
                  <w:r>
                    <w:rPr>
                      <w:rFonts w:hint="default" w:ascii="Times New Roman" w:hAnsi="Times New Roman" w:cs="Times New Roman"/>
                      <w:spacing w:val="3"/>
                      <w:sz w:val="18"/>
                      <w:szCs w:val="18"/>
                    </w:rPr>
                    <w:t>符合开发区产业布局和发</w:t>
                  </w:r>
                </w:p>
                <w:p w14:paraId="6375AEA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6"/>
                      <w:sz w:val="18"/>
                      <w:szCs w:val="18"/>
                    </w:rPr>
                    <w:t>展规划</w:t>
                  </w:r>
                </w:p>
              </w:tc>
              <w:tc>
                <w:tcPr>
                  <w:tcW w:w="680" w:type="dxa"/>
                  <w:vAlign w:val="center"/>
                </w:tcPr>
                <w:p w14:paraId="45EC56B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63142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428" w:type="dxa"/>
                  <w:vAlign w:val="center"/>
                </w:tcPr>
                <w:p w14:paraId="52D82C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w:t>
                  </w:r>
                </w:p>
              </w:tc>
              <w:tc>
                <w:tcPr>
                  <w:tcW w:w="3562" w:type="dxa"/>
                  <w:vAlign w:val="center"/>
                </w:tcPr>
                <w:p w14:paraId="165ADFD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推进开发区绿色低碳转型发展，实现减污降碳协同增效目标。根据国家、</w:t>
                  </w:r>
                  <w:r>
                    <w:rPr>
                      <w:rFonts w:hint="default" w:ascii="Times New Roman" w:hAnsi="Times New Roman" w:cs="Times New Roman"/>
                      <w:spacing w:val="16"/>
                      <w:sz w:val="18"/>
                      <w:szCs w:val="18"/>
                    </w:rPr>
                    <w:t>地方碳减排和碳达峰行动方案及路径要求，进一步优化开发区能源结</w:t>
                  </w:r>
                  <w:r>
                    <w:rPr>
                      <w:rFonts w:hint="default" w:ascii="Times New Roman" w:hAnsi="Times New Roman" w:cs="Times New Roman"/>
                      <w:spacing w:val="6"/>
                      <w:sz w:val="18"/>
                      <w:szCs w:val="18"/>
                    </w:rPr>
                    <w:t>构、交通运输方式等《规划》</w:t>
                  </w:r>
                  <w:r>
                    <w:rPr>
                      <w:rFonts w:hint="default" w:ascii="Times New Roman" w:hAnsi="Times New Roman" w:cs="Times New Roman"/>
                      <w:spacing w:val="-56"/>
                      <w:sz w:val="18"/>
                      <w:szCs w:val="18"/>
                    </w:rPr>
                    <w:t xml:space="preserve"> </w:t>
                  </w:r>
                  <w:r>
                    <w:rPr>
                      <w:rFonts w:hint="default" w:ascii="Times New Roman" w:hAnsi="Times New Roman" w:cs="Times New Roman"/>
                      <w:spacing w:val="6"/>
                      <w:sz w:val="18"/>
                      <w:szCs w:val="18"/>
                    </w:rPr>
                    <w:t>内容。</w:t>
                  </w:r>
                </w:p>
              </w:tc>
              <w:tc>
                <w:tcPr>
                  <w:tcW w:w="2861" w:type="dxa"/>
                  <w:vAlign w:val="center"/>
                </w:tcPr>
                <w:p w14:paraId="6308670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2"/>
                      <w:sz w:val="18"/>
                      <w:szCs w:val="18"/>
                    </w:rPr>
                    <w:t>项目采用节能、节电设备等降</w:t>
                  </w:r>
                  <w:r>
                    <w:rPr>
                      <w:rFonts w:hint="default" w:ascii="Times New Roman" w:hAnsi="Times New Roman" w:cs="Times New Roman"/>
                      <w:spacing w:val="6"/>
                      <w:sz w:val="18"/>
                      <w:szCs w:val="18"/>
                    </w:rPr>
                    <w:t>碳</w:t>
                  </w:r>
                  <w:r>
                    <w:rPr>
                      <w:rFonts w:hint="eastAsia" w:ascii="Times New Roman" w:hAnsi="Times New Roman" w:cs="Times New Roman"/>
                      <w:spacing w:val="6"/>
                      <w:sz w:val="18"/>
                      <w:szCs w:val="18"/>
                      <w:lang w:eastAsia="zh-CN"/>
                    </w:rPr>
                    <w:t>措施。</w:t>
                  </w:r>
                </w:p>
              </w:tc>
              <w:tc>
                <w:tcPr>
                  <w:tcW w:w="680" w:type="dxa"/>
                  <w:vAlign w:val="center"/>
                </w:tcPr>
                <w:p w14:paraId="2A26A76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599FD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428" w:type="dxa"/>
                  <w:tcBorders>
                    <w:bottom w:val="single" w:color="000000" w:sz="6" w:space="0"/>
                  </w:tcBorders>
                  <w:vAlign w:val="center"/>
                </w:tcPr>
                <w:p w14:paraId="749F3D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w:t>
                  </w:r>
                </w:p>
              </w:tc>
              <w:tc>
                <w:tcPr>
                  <w:tcW w:w="3562" w:type="dxa"/>
                  <w:tcBorders>
                    <w:bottom w:val="single" w:color="000000" w:sz="6" w:space="0"/>
                  </w:tcBorders>
                  <w:vAlign w:val="center"/>
                </w:tcPr>
                <w:p w14:paraId="5D14A51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严格空间管控要求，优化功能布局。</w:t>
                  </w:r>
                  <w:r>
                    <w:rPr>
                      <w:rFonts w:hint="default" w:ascii="Times New Roman" w:hAnsi="Times New Roman" w:cs="Times New Roman"/>
                      <w:spacing w:val="16"/>
                      <w:sz w:val="18"/>
                      <w:szCs w:val="18"/>
                    </w:rPr>
                    <w:t>进一步优化开发区产业布局。落实</w:t>
                  </w:r>
                  <w:r>
                    <w:rPr>
                      <w:rFonts w:hint="default" w:ascii="Times New Roman" w:hAnsi="Times New Roman" w:cs="Times New Roman"/>
                      <w:spacing w:val="9"/>
                      <w:sz w:val="18"/>
                      <w:szCs w:val="18"/>
                    </w:rPr>
                    <w:t>《报告书》提出的空间布局引导和管控要求，优化工业、居住等各类用地</w:t>
                  </w:r>
                  <w:r>
                    <w:rPr>
                      <w:rFonts w:hint="default" w:ascii="Times New Roman" w:hAnsi="Times New Roman" w:cs="Times New Roman"/>
                      <w:spacing w:val="7"/>
                      <w:sz w:val="18"/>
                      <w:szCs w:val="18"/>
                    </w:rPr>
                    <w:t>的空间分布和产业的梯级布局，严格</w:t>
                  </w:r>
                  <w:r>
                    <w:rPr>
                      <w:rFonts w:hint="default" w:ascii="Times New Roman" w:hAnsi="Times New Roman" w:cs="Times New Roman"/>
                      <w:spacing w:val="8"/>
                      <w:sz w:val="18"/>
                      <w:szCs w:val="18"/>
                    </w:rPr>
                    <w:t>涉风险源企业管理，确保人居环境安</w:t>
                  </w:r>
                  <w:r>
                    <w:rPr>
                      <w:rFonts w:hint="default" w:ascii="Times New Roman" w:hAnsi="Times New Roman" w:cs="Times New Roman"/>
                      <w:sz w:val="18"/>
                      <w:szCs w:val="18"/>
                    </w:rPr>
                    <w:t>全。</w:t>
                  </w:r>
                </w:p>
              </w:tc>
              <w:tc>
                <w:tcPr>
                  <w:tcW w:w="2861" w:type="dxa"/>
                  <w:tcBorders>
                    <w:bottom w:val="single" w:color="000000" w:sz="6" w:space="0"/>
                  </w:tcBorders>
                  <w:vAlign w:val="center"/>
                </w:tcPr>
                <w:p w14:paraId="53841D1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2"/>
                      <w:sz w:val="18"/>
                      <w:szCs w:val="18"/>
                    </w:rPr>
                    <w:t>项目</w:t>
                  </w:r>
                  <w:r>
                    <w:rPr>
                      <w:rFonts w:hint="eastAsia" w:ascii="Times New Roman" w:hAnsi="Times New Roman" w:cs="Times New Roman"/>
                      <w:spacing w:val="2"/>
                      <w:sz w:val="18"/>
                      <w:szCs w:val="18"/>
                      <w:lang w:eastAsia="zh-CN"/>
                    </w:rPr>
                    <w:t>位于河北</w:t>
                  </w:r>
                  <w:r>
                    <w:rPr>
                      <w:rFonts w:hint="default" w:ascii="Times New Roman" w:hAnsi="Times New Roman" w:cs="Times New Roman"/>
                      <w:spacing w:val="2"/>
                      <w:sz w:val="18"/>
                      <w:szCs w:val="18"/>
                    </w:rPr>
                    <w:t>迁安经济开发区，</w:t>
                  </w:r>
                  <w:r>
                    <w:rPr>
                      <w:rFonts w:hint="default" w:ascii="Times New Roman" w:hAnsi="Times New Roman" w:cs="Times New Roman"/>
                      <w:spacing w:val="2"/>
                      <w:sz w:val="18"/>
                      <w:szCs w:val="18"/>
                      <w:lang w:val="en-US" w:eastAsia="zh-CN"/>
                    </w:rPr>
                    <w:t>租赁现有厂房</w:t>
                  </w:r>
                  <w:r>
                    <w:rPr>
                      <w:rFonts w:hint="default" w:ascii="Times New Roman" w:hAnsi="Times New Roman" w:cs="Times New Roman"/>
                      <w:spacing w:val="5"/>
                      <w:sz w:val="18"/>
                      <w:szCs w:val="18"/>
                    </w:rPr>
                    <w:t>，不新增占地，位于迁安市城镇开发边界内，</w:t>
                  </w:r>
                  <w:r>
                    <w:rPr>
                      <w:rFonts w:hint="default" w:ascii="Times New Roman" w:hAnsi="Times New Roman" w:cs="Times New Roman"/>
                      <w:spacing w:val="14"/>
                      <w:sz w:val="18"/>
                      <w:szCs w:val="18"/>
                    </w:rPr>
                    <w:t>项目采取严格的风险防范措</w:t>
                  </w:r>
                  <w:r>
                    <w:rPr>
                      <w:rFonts w:hint="default" w:ascii="Times New Roman" w:hAnsi="Times New Roman" w:cs="Times New Roman"/>
                      <w:spacing w:val="9"/>
                      <w:sz w:val="18"/>
                      <w:szCs w:val="18"/>
                    </w:rPr>
                    <w:t>施，确保人居环境</w:t>
                  </w:r>
                  <w:r>
                    <w:rPr>
                      <w:rFonts w:hint="eastAsia" w:ascii="Times New Roman" w:hAnsi="Times New Roman" w:cs="Times New Roman"/>
                      <w:spacing w:val="9"/>
                      <w:sz w:val="18"/>
                      <w:szCs w:val="18"/>
                      <w:lang w:eastAsia="zh-CN"/>
                    </w:rPr>
                    <w:t>安全。</w:t>
                  </w:r>
                </w:p>
              </w:tc>
              <w:tc>
                <w:tcPr>
                  <w:tcW w:w="680" w:type="dxa"/>
                  <w:tcBorders>
                    <w:bottom w:val="single" w:color="000000" w:sz="6" w:space="0"/>
                  </w:tcBorders>
                  <w:vAlign w:val="center"/>
                </w:tcPr>
                <w:p w14:paraId="6FC184B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14847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1" w:hRule="atLeast"/>
              </w:trPr>
              <w:tc>
                <w:tcPr>
                  <w:tcW w:w="428" w:type="dxa"/>
                  <w:vAlign w:val="center"/>
                </w:tcPr>
                <w:p w14:paraId="097E21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pacing w:val="1"/>
                      <w:sz w:val="18"/>
                      <w:szCs w:val="18"/>
                    </w:rPr>
                    <w:t>4</w:t>
                  </w:r>
                </w:p>
              </w:tc>
              <w:tc>
                <w:tcPr>
                  <w:tcW w:w="3562" w:type="dxa"/>
                  <w:vAlign w:val="center"/>
                </w:tcPr>
                <w:p w14:paraId="5B8B604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严守环境质量底线，强化污染物排放总量管控。提升现有及入区企业污染治理设施及环境管理水平，严格落实《报告书》提出的大气污染物削减方案。强化涉重废水污染治理，严格落实重金属管控要求，第一类重金属厂区内回用，不得外排。严格落实《关</w:t>
                  </w:r>
                  <w:r>
                    <w:rPr>
                      <w:rFonts w:hint="default" w:ascii="Times New Roman" w:hAnsi="Times New Roman" w:cs="Times New Roman"/>
                      <w:spacing w:val="16"/>
                      <w:sz w:val="18"/>
                      <w:szCs w:val="18"/>
                    </w:rPr>
                    <w:t>于加强重点行业建设项目区域削减</w:t>
                  </w:r>
                  <w:r>
                    <w:rPr>
                      <w:rFonts w:hint="default" w:ascii="Times New Roman" w:hAnsi="Times New Roman" w:cs="Times New Roman"/>
                      <w:spacing w:val="15"/>
                      <w:sz w:val="18"/>
                      <w:szCs w:val="18"/>
                    </w:rPr>
                    <w:t>措施监督管理的通知》相关要求。</w:t>
                  </w:r>
                </w:p>
              </w:tc>
              <w:tc>
                <w:tcPr>
                  <w:tcW w:w="2861" w:type="dxa"/>
                  <w:vAlign w:val="center"/>
                </w:tcPr>
                <w:p w14:paraId="23A3DE5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项目采取严格环保治理措施，</w:t>
                  </w:r>
                  <w:r>
                    <w:rPr>
                      <w:rFonts w:hint="default" w:ascii="Times New Roman" w:hAnsi="Times New Roman" w:cs="Times New Roman"/>
                      <w:spacing w:val="3"/>
                      <w:sz w:val="18"/>
                      <w:szCs w:val="18"/>
                    </w:rPr>
                    <w:t>废气排放满足</w:t>
                  </w:r>
                  <w:r>
                    <w:rPr>
                      <w:rFonts w:hint="default" w:ascii="Times New Roman" w:hAnsi="Times New Roman" w:cs="Times New Roman"/>
                      <w:spacing w:val="3"/>
                      <w:sz w:val="18"/>
                      <w:szCs w:val="18"/>
                      <w:lang w:val="en-US" w:eastAsia="zh-CN"/>
                    </w:rPr>
                    <w:t>相关标准</w:t>
                  </w:r>
                  <w:r>
                    <w:rPr>
                      <w:rFonts w:hint="default" w:ascii="Times New Roman" w:hAnsi="Times New Roman" w:cs="Times New Roman"/>
                      <w:spacing w:val="8"/>
                      <w:sz w:val="18"/>
                      <w:szCs w:val="18"/>
                    </w:rPr>
                    <w:t>要</w:t>
                  </w:r>
                  <w:r>
                    <w:rPr>
                      <w:rFonts w:hint="default" w:ascii="Times New Roman" w:hAnsi="Times New Roman" w:cs="Times New Roman"/>
                      <w:spacing w:val="3"/>
                      <w:sz w:val="18"/>
                      <w:szCs w:val="18"/>
                    </w:rPr>
                    <w:t>求；项目</w:t>
                  </w:r>
                  <w:r>
                    <w:rPr>
                      <w:rFonts w:hint="default" w:ascii="Times New Roman" w:hAnsi="Times New Roman" w:cs="Times New Roman"/>
                      <w:spacing w:val="3"/>
                      <w:sz w:val="18"/>
                      <w:szCs w:val="18"/>
                      <w:lang w:val="en-US" w:eastAsia="zh-CN"/>
                    </w:rPr>
                    <w:t>生产废水不外排</w:t>
                  </w:r>
                  <w:r>
                    <w:rPr>
                      <w:rFonts w:hint="default" w:ascii="Times New Roman" w:hAnsi="Times New Roman" w:cs="Times New Roman"/>
                      <w:spacing w:val="2"/>
                      <w:sz w:val="18"/>
                      <w:szCs w:val="18"/>
                    </w:rPr>
                    <w:t>，</w:t>
                  </w:r>
                  <w:r>
                    <w:rPr>
                      <w:rFonts w:hint="default" w:ascii="Times New Roman" w:hAnsi="Times New Roman" w:cs="Times New Roman"/>
                      <w:spacing w:val="2"/>
                      <w:sz w:val="18"/>
                      <w:szCs w:val="18"/>
                      <w:lang w:val="en-US" w:eastAsia="zh-CN"/>
                    </w:rPr>
                    <w:t>仅外排</w:t>
                  </w:r>
                  <w:r>
                    <w:rPr>
                      <w:rFonts w:hint="default" w:ascii="Times New Roman" w:hAnsi="Times New Roman" w:cs="Times New Roman"/>
                      <w:spacing w:val="2"/>
                      <w:sz w:val="18"/>
                      <w:szCs w:val="18"/>
                    </w:rPr>
                    <w:t>生活污水，不涉及第一类重金</w:t>
                  </w:r>
                  <w:r>
                    <w:rPr>
                      <w:rFonts w:hint="default" w:ascii="Times New Roman" w:hAnsi="Times New Roman" w:cs="Times New Roman"/>
                      <w:sz w:val="18"/>
                      <w:szCs w:val="18"/>
                    </w:rPr>
                    <w:t>属</w:t>
                  </w:r>
                </w:p>
              </w:tc>
              <w:tc>
                <w:tcPr>
                  <w:tcW w:w="680" w:type="dxa"/>
                  <w:vAlign w:val="center"/>
                </w:tcPr>
                <w:p w14:paraId="23EBF60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0421F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2" w:hRule="atLeast"/>
              </w:trPr>
              <w:tc>
                <w:tcPr>
                  <w:tcW w:w="428" w:type="dxa"/>
                  <w:vAlign w:val="center"/>
                </w:tcPr>
                <w:p w14:paraId="55EE97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w:t>
                  </w:r>
                </w:p>
              </w:tc>
              <w:tc>
                <w:tcPr>
                  <w:tcW w:w="3562" w:type="dxa"/>
                  <w:vAlign w:val="center"/>
                </w:tcPr>
                <w:p w14:paraId="3931CAA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严格入区项目生态环境准入，推动绿色低碳高质量发展。严格落实《报告书》提出的开发区生态环境准入要求</w:t>
                  </w:r>
                  <w:r>
                    <w:rPr>
                      <w:rFonts w:hint="default" w:ascii="Times New Roman" w:hAnsi="Times New Roman" w:cs="Times New Roman"/>
                      <w:spacing w:val="9"/>
                      <w:sz w:val="18"/>
                      <w:szCs w:val="18"/>
                    </w:rPr>
                    <w:t>和与规划不符的现有企业环境管理</w:t>
                  </w:r>
                  <w:r>
                    <w:rPr>
                      <w:rFonts w:hint="default" w:ascii="Times New Roman" w:hAnsi="Times New Roman" w:cs="Times New Roman"/>
                      <w:spacing w:val="3"/>
                      <w:sz w:val="18"/>
                      <w:szCs w:val="18"/>
                    </w:rPr>
                    <w:t>要求。严格落实《报告书》提出的</w:t>
                  </w:r>
                  <w:r>
                    <w:rPr>
                      <w:rFonts w:hint="default" w:ascii="Times New Roman" w:hAnsi="Times New Roman" w:eastAsia="Times New Roman" w:cs="Times New Roman"/>
                      <w:spacing w:val="3"/>
                      <w:sz w:val="18"/>
                      <w:szCs w:val="18"/>
                    </w:rPr>
                    <w:t>“</w:t>
                  </w:r>
                  <w:r>
                    <w:rPr>
                      <w:rFonts w:hint="default" w:ascii="Times New Roman" w:hAnsi="Times New Roman" w:cs="Times New Roman"/>
                      <w:spacing w:val="3"/>
                      <w:sz w:val="18"/>
                      <w:szCs w:val="18"/>
                    </w:rPr>
                    <w:t>两</w:t>
                  </w:r>
                  <w:r>
                    <w:rPr>
                      <w:rFonts w:hint="default" w:ascii="Times New Roman" w:hAnsi="Times New Roman" w:cs="Times New Roman"/>
                      <w:spacing w:val="2"/>
                      <w:sz w:val="18"/>
                      <w:szCs w:val="18"/>
                    </w:rPr>
                    <w:t>高</w:t>
                  </w:r>
                  <w:r>
                    <w:rPr>
                      <w:rFonts w:hint="default" w:ascii="Times New Roman" w:hAnsi="Times New Roman" w:eastAsia="Times New Roman" w:cs="Times New Roman"/>
                      <w:spacing w:val="2"/>
                      <w:sz w:val="18"/>
                      <w:szCs w:val="18"/>
                    </w:rPr>
                    <w:t>”</w:t>
                  </w:r>
                  <w:r>
                    <w:rPr>
                      <w:rFonts w:hint="default" w:ascii="Times New Roman" w:hAnsi="Times New Roman" w:cs="Times New Roman"/>
                      <w:spacing w:val="2"/>
                      <w:sz w:val="18"/>
                      <w:szCs w:val="18"/>
                    </w:rPr>
                    <w:t>行业产能控制要求，以及钢铁下游</w:t>
                  </w:r>
                  <w:r>
                    <w:rPr>
                      <w:rFonts w:hint="default" w:ascii="Times New Roman" w:hAnsi="Times New Roman" w:cs="Times New Roman"/>
                      <w:spacing w:val="8"/>
                      <w:sz w:val="18"/>
                      <w:szCs w:val="18"/>
                    </w:rPr>
                    <w:t>耗钢、装备制造、化工等产业发展要求。开发区不断提高现有企业清洁生产水平，促进开发区产业转型升级与</w:t>
                  </w:r>
                  <w:r>
                    <w:rPr>
                      <w:rFonts w:hint="default" w:ascii="Times New Roman" w:hAnsi="Times New Roman" w:cs="Times New Roman"/>
                      <w:spacing w:val="9"/>
                      <w:sz w:val="18"/>
                      <w:szCs w:val="18"/>
                    </w:rPr>
                    <w:t>生态环境保护、人居环境安全相协</w:t>
                  </w:r>
                  <w:r>
                    <w:rPr>
                      <w:rFonts w:hint="default" w:ascii="Times New Roman" w:hAnsi="Times New Roman" w:cs="Times New Roman"/>
                      <w:spacing w:val="-1"/>
                      <w:sz w:val="18"/>
                      <w:szCs w:val="18"/>
                    </w:rPr>
                    <w:t>调。</w:t>
                  </w:r>
                </w:p>
              </w:tc>
              <w:tc>
                <w:tcPr>
                  <w:tcW w:w="2861" w:type="dxa"/>
                  <w:vAlign w:val="center"/>
                </w:tcPr>
                <w:p w14:paraId="4ECBA93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eastAsia" w:ascii="Times New Roman" w:hAnsi="Times New Roman" w:cs="Times New Roman"/>
                      <w:spacing w:val="8"/>
                      <w:sz w:val="18"/>
                      <w:szCs w:val="18"/>
                      <w:lang w:eastAsia="zh-CN"/>
                    </w:rPr>
                    <w:t>项目</w:t>
                  </w:r>
                  <w:r>
                    <w:rPr>
                      <w:rFonts w:hint="default" w:ascii="Times New Roman" w:hAnsi="Times New Roman" w:cs="Times New Roman"/>
                      <w:spacing w:val="8"/>
                      <w:sz w:val="18"/>
                      <w:szCs w:val="18"/>
                    </w:rPr>
                    <w:t>位于河北迁安经济</w:t>
                  </w:r>
                  <w:r>
                    <w:rPr>
                      <w:rFonts w:hint="default" w:ascii="Times New Roman" w:hAnsi="Times New Roman" w:cs="Times New Roman"/>
                      <w:spacing w:val="2"/>
                      <w:sz w:val="18"/>
                      <w:szCs w:val="18"/>
                    </w:rPr>
                    <w:t>开发区智能创新产业园，项目</w:t>
                  </w:r>
                  <w:r>
                    <w:rPr>
                      <w:rFonts w:hint="default" w:ascii="Times New Roman" w:hAnsi="Times New Roman" w:cs="Times New Roman"/>
                      <w:spacing w:val="3"/>
                      <w:sz w:val="18"/>
                      <w:szCs w:val="18"/>
                    </w:rPr>
                    <w:t>为</w:t>
                  </w:r>
                  <w:r>
                    <w:rPr>
                      <w:rFonts w:hint="default" w:ascii="Times New Roman" w:hAnsi="Times New Roman" w:cs="Times New Roman"/>
                      <w:spacing w:val="3"/>
                      <w:sz w:val="18"/>
                      <w:szCs w:val="18"/>
                      <w:lang w:val="en-US" w:eastAsia="zh-CN"/>
                    </w:rPr>
                    <w:t>固体废物治理</w:t>
                  </w:r>
                  <w:r>
                    <w:rPr>
                      <w:rFonts w:hint="default" w:ascii="Times New Roman" w:hAnsi="Times New Roman" w:cs="Times New Roman"/>
                      <w:spacing w:val="7"/>
                      <w:sz w:val="18"/>
                      <w:szCs w:val="18"/>
                      <w:lang w:val="en-US" w:eastAsia="zh-CN"/>
                    </w:rPr>
                    <w:t>及生物质燃料加工</w:t>
                  </w:r>
                  <w:r>
                    <w:rPr>
                      <w:rFonts w:hint="default" w:ascii="Times New Roman" w:hAnsi="Times New Roman" w:cs="Times New Roman"/>
                      <w:spacing w:val="3"/>
                      <w:sz w:val="18"/>
                      <w:szCs w:val="18"/>
                    </w:rPr>
                    <w:t>项目，不</w:t>
                  </w:r>
                  <w:r>
                    <w:rPr>
                      <w:rFonts w:hint="default" w:ascii="Times New Roman" w:hAnsi="Times New Roman" w:cs="Times New Roman"/>
                      <w:spacing w:val="8"/>
                      <w:sz w:val="18"/>
                      <w:szCs w:val="18"/>
                    </w:rPr>
                    <w:t>涉及钢铁产能变化</w:t>
                  </w:r>
                </w:p>
              </w:tc>
              <w:tc>
                <w:tcPr>
                  <w:tcW w:w="680" w:type="dxa"/>
                  <w:vAlign w:val="center"/>
                </w:tcPr>
                <w:p w14:paraId="668BC14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5F6CE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2" w:hRule="atLeast"/>
              </w:trPr>
              <w:tc>
                <w:tcPr>
                  <w:tcW w:w="428" w:type="dxa"/>
                  <w:tcBorders>
                    <w:bottom w:val="nil"/>
                  </w:tcBorders>
                  <w:vAlign w:val="center"/>
                </w:tcPr>
                <w:p w14:paraId="22F91B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w:t>
                  </w:r>
                </w:p>
              </w:tc>
              <w:tc>
                <w:tcPr>
                  <w:tcW w:w="3562" w:type="dxa"/>
                  <w:tcBorders>
                    <w:bottom w:val="nil"/>
                  </w:tcBorders>
                  <w:vAlign w:val="center"/>
                </w:tcPr>
                <w:p w14:paraId="0F524A28">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加强环境基础设施建设。加快落实</w:t>
                  </w:r>
                  <w:r>
                    <w:rPr>
                      <w:rFonts w:hint="default" w:ascii="Times New Roman" w:hAnsi="Times New Roman" w:cs="Times New Roman"/>
                      <w:spacing w:val="8"/>
                      <w:sz w:val="18"/>
                      <w:szCs w:val="18"/>
                    </w:rPr>
                    <w:t>《报告书》提出的地表水厂、再生水</w:t>
                  </w:r>
                  <w:r>
                    <w:rPr>
                      <w:rFonts w:hint="default" w:ascii="Times New Roman" w:hAnsi="Times New Roman" w:cs="Times New Roman"/>
                      <w:spacing w:val="9"/>
                      <w:sz w:val="18"/>
                      <w:szCs w:val="18"/>
                    </w:rPr>
                    <w:t>供水设施、化工集中区污水处理设</w:t>
                  </w:r>
                  <w:r>
                    <w:rPr>
                      <w:rFonts w:hint="default" w:ascii="Times New Roman" w:hAnsi="Times New Roman" w:cs="Times New Roman"/>
                      <w:spacing w:val="8"/>
                      <w:sz w:val="18"/>
                      <w:szCs w:val="18"/>
                    </w:rPr>
                    <w:t>施、配套管网建设。根据供热需求，优化供热规划规模和形式，充分利用工业余热资源，禁止新建分散燃煤供</w:t>
                  </w:r>
                  <w:r>
                    <w:rPr>
                      <w:rFonts w:hint="default" w:ascii="Times New Roman" w:hAnsi="Times New Roman" w:cs="Times New Roman"/>
                      <w:spacing w:val="4"/>
                      <w:sz w:val="18"/>
                      <w:szCs w:val="18"/>
                    </w:rPr>
                    <w:t>热设施。</w:t>
                  </w:r>
                </w:p>
              </w:tc>
              <w:tc>
                <w:tcPr>
                  <w:tcW w:w="2861" w:type="dxa"/>
                  <w:vAlign w:val="center"/>
                </w:tcPr>
                <w:p w14:paraId="5FEDBB0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8"/>
                      <w:sz w:val="18"/>
                      <w:szCs w:val="18"/>
                    </w:rPr>
                    <w:t>项目用水由现有供水管网提</w:t>
                  </w:r>
                  <w:r>
                    <w:rPr>
                      <w:rFonts w:hint="default" w:ascii="Times New Roman" w:hAnsi="Times New Roman" w:cs="Times New Roman"/>
                      <w:sz w:val="18"/>
                      <w:szCs w:val="18"/>
                    </w:rPr>
                    <w:t>供</w:t>
                  </w:r>
                </w:p>
              </w:tc>
              <w:tc>
                <w:tcPr>
                  <w:tcW w:w="680" w:type="dxa"/>
                  <w:tcBorders>
                    <w:bottom w:val="nil"/>
                  </w:tcBorders>
                  <w:vAlign w:val="center"/>
                </w:tcPr>
                <w:p w14:paraId="67EAF6F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1B29A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2" w:hRule="atLeast"/>
              </w:trPr>
              <w:tc>
                <w:tcPr>
                  <w:tcW w:w="428" w:type="dxa"/>
                  <w:vAlign w:val="center"/>
                </w:tcPr>
                <w:p w14:paraId="22DD8D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w:t>
                  </w:r>
                </w:p>
              </w:tc>
              <w:tc>
                <w:tcPr>
                  <w:tcW w:w="3562" w:type="dxa"/>
                  <w:vAlign w:val="center"/>
                </w:tcPr>
                <w:p w14:paraId="0D36392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优化运输方式，落实应急运输响应方</w:t>
                  </w:r>
                  <w:r>
                    <w:rPr>
                      <w:rFonts w:hint="default" w:ascii="Times New Roman" w:hAnsi="Times New Roman" w:cs="Times New Roman"/>
                      <w:spacing w:val="8"/>
                      <w:sz w:val="18"/>
                      <w:szCs w:val="18"/>
                    </w:rPr>
                    <w:t>案。开发区应进一步提高廊道、铁路运输及清洁能源汽车比例，减轻运输产生的不利环境影响。结合秋冬行业</w:t>
                  </w:r>
                  <w:r>
                    <w:rPr>
                      <w:rFonts w:hint="default" w:ascii="Times New Roman" w:hAnsi="Times New Roman" w:cs="Times New Roman"/>
                      <w:spacing w:val="9"/>
                      <w:sz w:val="18"/>
                      <w:szCs w:val="18"/>
                    </w:rPr>
                    <w:t>错峰生产和重污染天气应急响应要</w:t>
                  </w:r>
                  <w:r>
                    <w:rPr>
                      <w:rFonts w:hint="default" w:ascii="Times New Roman" w:hAnsi="Times New Roman" w:cs="Times New Roman"/>
                      <w:spacing w:val="8"/>
                      <w:sz w:val="18"/>
                      <w:szCs w:val="18"/>
                    </w:rPr>
                    <w:t>求，在黄色及以上重污染天气预警期间，重点用车企业实施应急运输响</w:t>
                  </w:r>
                  <w:r>
                    <w:rPr>
                      <w:rFonts w:hint="default" w:ascii="Times New Roman" w:hAnsi="Times New Roman" w:cs="Times New Roman"/>
                      <w:sz w:val="18"/>
                      <w:szCs w:val="18"/>
                    </w:rPr>
                    <w:t>应。</w:t>
                  </w:r>
                </w:p>
              </w:tc>
              <w:tc>
                <w:tcPr>
                  <w:tcW w:w="2861" w:type="dxa"/>
                  <w:vAlign w:val="center"/>
                </w:tcPr>
                <w:p w14:paraId="665BFAB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2"/>
                      <w:sz w:val="18"/>
                      <w:szCs w:val="18"/>
                    </w:rPr>
                    <w:t>项目原料、成品运输全部采用</w:t>
                  </w:r>
                  <w:r>
                    <w:rPr>
                      <w:rFonts w:hint="default" w:ascii="Times New Roman" w:hAnsi="Times New Roman" w:cs="Times New Roman"/>
                      <w:spacing w:val="7"/>
                      <w:sz w:val="18"/>
                      <w:szCs w:val="18"/>
                    </w:rPr>
                    <w:t>新能源汽车</w:t>
                  </w:r>
                </w:p>
              </w:tc>
              <w:tc>
                <w:tcPr>
                  <w:tcW w:w="680" w:type="dxa"/>
                  <w:vAlign w:val="center"/>
                </w:tcPr>
                <w:p w14:paraId="1A4231D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4994E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6" w:hRule="atLeast"/>
              </w:trPr>
              <w:tc>
                <w:tcPr>
                  <w:tcW w:w="428" w:type="dxa"/>
                  <w:tcBorders>
                    <w:bottom w:val="single" w:color="000000" w:sz="6" w:space="0"/>
                  </w:tcBorders>
                  <w:vAlign w:val="center"/>
                </w:tcPr>
                <w:p w14:paraId="795CB4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8</w:t>
                  </w:r>
                </w:p>
              </w:tc>
              <w:tc>
                <w:tcPr>
                  <w:tcW w:w="3562" w:type="dxa"/>
                  <w:tcBorders>
                    <w:bottom w:val="single" w:color="000000" w:sz="6" w:space="0"/>
                  </w:tcBorders>
                  <w:vAlign w:val="center"/>
                </w:tcPr>
                <w:p w14:paraId="68E6D8A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健全完善环境监测体系，强化环境风险防范。健全完善包括环境空气、地</w:t>
                  </w:r>
                  <w:r>
                    <w:rPr>
                      <w:rFonts w:hint="default" w:ascii="Times New Roman" w:hAnsi="Times New Roman" w:cs="Times New Roman"/>
                      <w:spacing w:val="8"/>
                      <w:sz w:val="18"/>
                      <w:szCs w:val="18"/>
                    </w:rPr>
                    <w:t>表水、地下水、土壤、声等环境要素的监控体系；强化开发区风险防控体系的建立，健全应急响应联动机制</w:t>
                  </w:r>
                  <w:r>
                    <w:rPr>
                      <w:rFonts w:hint="default" w:ascii="Times New Roman" w:hAnsi="Times New Roman" w:cs="Times New Roman"/>
                      <w:spacing w:val="8"/>
                      <w:sz w:val="18"/>
                      <w:szCs w:val="18"/>
                      <w:lang w:eastAsia="zh-CN"/>
                    </w:rPr>
                    <w:t>。</w:t>
                  </w:r>
                  <w:r>
                    <w:rPr>
                      <w:rFonts w:hint="default" w:ascii="Times New Roman" w:hAnsi="Times New Roman" w:cs="Times New Roman"/>
                      <w:spacing w:val="8"/>
                      <w:sz w:val="18"/>
                      <w:szCs w:val="18"/>
                    </w:rPr>
                    <w:t>严格落实《报告书》提出的各项环境</w:t>
                  </w:r>
                  <w:r>
                    <w:rPr>
                      <w:rFonts w:hint="default" w:ascii="Times New Roman" w:hAnsi="Times New Roman" w:cs="Times New Roman"/>
                      <w:spacing w:val="9"/>
                      <w:sz w:val="18"/>
                      <w:szCs w:val="18"/>
                    </w:rPr>
                    <w:t>风险防控措施，提升环境风险防控和</w:t>
                  </w:r>
                  <w:r>
                    <w:rPr>
                      <w:rFonts w:hint="default" w:ascii="Times New Roman" w:hAnsi="Times New Roman" w:cs="Times New Roman"/>
                      <w:spacing w:val="8"/>
                      <w:sz w:val="18"/>
                      <w:szCs w:val="18"/>
                    </w:rPr>
                    <w:t>应急响应能力，保障区域环境安全。</w:t>
                  </w:r>
                </w:p>
              </w:tc>
              <w:tc>
                <w:tcPr>
                  <w:tcW w:w="2861" w:type="dxa"/>
                  <w:tcBorders>
                    <w:bottom w:val="single" w:color="000000" w:sz="6" w:space="0"/>
                  </w:tcBorders>
                  <w:vAlign w:val="center"/>
                </w:tcPr>
                <w:p w14:paraId="2AB2AA9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2"/>
                      <w:sz w:val="18"/>
                      <w:szCs w:val="18"/>
                    </w:rPr>
                    <w:t>公司定期进行废气、声等环境</w:t>
                  </w:r>
                  <w:r>
                    <w:rPr>
                      <w:rFonts w:hint="default" w:ascii="Times New Roman" w:hAnsi="Times New Roman" w:cs="Times New Roman"/>
                      <w:spacing w:val="3"/>
                      <w:sz w:val="18"/>
                      <w:szCs w:val="18"/>
                    </w:rPr>
                    <w:t>要素的监测，</w:t>
                  </w:r>
                  <w:r>
                    <w:rPr>
                      <w:rFonts w:hint="default" w:ascii="Times New Roman" w:hAnsi="Times New Roman" w:cs="Times New Roman"/>
                      <w:spacing w:val="3"/>
                      <w:sz w:val="18"/>
                      <w:szCs w:val="18"/>
                      <w:lang w:val="en-US" w:eastAsia="zh-CN"/>
                    </w:rPr>
                    <w:t>投产后按要求编制</w:t>
                  </w:r>
                  <w:r>
                    <w:rPr>
                      <w:rFonts w:hint="default" w:ascii="Times New Roman" w:hAnsi="Times New Roman" w:cs="Times New Roman"/>
                      <w:spacing w:val="3"/>
                      <w:sz w:val="18"/>
                      <w:szCs w:val="18"/>
                    </w:rPr>
                    <w:t>突发环境事件应</w:t>
                  </w:r>
                  <w:r>
                    <w:rPr>
                      <w:rFonts w:hint="default" w:ascii="Times New Roman" w:hAnsi="Times New Roman" w:cs="Times New Roman"/>
                      <w:spacing w:val="6"/>
                      <w:sz w:val="18"/>
                      <w:szCs w:val="18"/>
                    </w:rPr>
                    <w:t>急预案</w:t>
                  </w:r>
                  <w:r>
                    <w:rPr>
                      <w:rFonts w:hint="default" w:ascii="Times New Roman" w:hAnsi="Times New Roman" w:cs="Times New Roman"/>
                      <w:spacing w:val="3"/>
                      <w:sz w:val="18"/>
                      <w:szCs w:val="18"/>
                    </w:rPr>
                    <w:t>。项目建</w:t>
                  </w:r>
                  <w:r>
                    <w:rPr>
                      <w:rFonts w:hint="default" w:ascii="Times New Roman" w:hAnsi="Times New Roman" w:cs="Times New Roman"/>
                      <w:spacing w:val="8"/>
                      <w:sz w:val="18"/>
                      <w:szCs w:val="18"/>
                    </w:rPr>
                    <w:t>成后结合实际情况给出各风</w:t>
                  </w:r>
                  <w:r>
                    <w:rPr>
                      <w:rFonts w:hint="default" w:ascii="Times New Roman" w:hAnsi="Times New Roman" w:cs="Times New Roman"/>
                      <w:spacing w:val="2"/>
                      <w:sz w:val="18"/>
                      <w:szCs w:val="18"/>
                    </w:rPr>
                    <w:t>险源的防范措施，环境风险可防控，企业日常加强与园区的</w:t>
                  </w:r>
                  <w:r>
                    <w:rPr>
                      <w:rFonts w:hint="default" w:ascii="Times New Roman" w:hAnsi="Times New Roman" w:cs="Times New Roman"/>
                      <w:spacing w:val="7"/>
                      <w:sz w:val="18"/>
                      <w:szCs w:val="18"/>
                    </w:rPr>
                    <w:t>联防联控</w:t>
                  </w:r>
                </w:p>
              </w:tc>
              <w:tc>
                <w:tcPr>
                  <w:tcW w:w="680" w:type="dxa"/>
                  <w:tcBorders>
                    <w:bottom w:val="single" w:color="000000" w:sz="6" w:space="0"/>
                  </w:tcBorders>
                  <w:vAlign w:val="center"/>
                </w:tcPr>
                <w:p w14:paraId="67AE5E0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r w14:paraId="2FD46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1" w:hRule="atLeast"/>
              </w:trPr>
              <w:tc>
                <w:tcPr>
                  <w:tcW w:w="428" w:type="dxa"/>
                  <w:vAlign w:val="center"/>
                </w:tcPr>
                <w:p w14:paraId="471BC6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w:t>
                  </w:r>
                </w:p>
              </w:tc>
              <w:tc>
                <w:tcPr>
                  <w:tcW w:w="3562" w:type="dxa"/>
                  <w:vAlign w:val="center"/>
                </w:tcPr>
                <w:p w14:paraId="6B640F5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拟入区建设项目应加强与规划环评联动，做好建设项目环境影响评价工作。加强与规划环评的联动，严格项</w:t>
                  </w:r>
                  <w:r>
                    <w:rPr>
                      <w:rFonts w:hint="default" w:ascii="Times New Roman" w:hAnsi="Times New Roman" w:cs="Times New Roman"/>
                      <w:spacing w:val="8"/>
                      <w:sz w:val="18"/>
                      <w:szCs w:val="18"/>
                    </w:rPr>
                    <w:t>目生态环境准入条件，重点开展工程</w:t>
                  </w:r>
                  <w:r>
                    <w:rPr>
                      <w:rFonts w:hint="default" w:ascii="Times New Roman" w:hAnsi="Times New Roman" w:cs="Times New Roman"/>
                      <w:spacing w:val="9"/>
                      <w:sz w:val="18"/>
                      <w:szCs w:val="18"/>
                    </w:rPr>
                    <w:t>分析、污染物允许排放量测算和环保</w:t>
                  </w:r>
                  <w:r>
                    <w:rPr>
                      <w:rFonts w:hint="default" w:ascii="Times New Roman" w:hAnsi="Times New Roman" w:cs="Times New Roman"/>
                      <w:spacing w:val="8"/>
                      <w:sz w:val="18"/>
                      <w:szCs w:val="18"/>
                    </w:rPr>
                    <w:t>措施的可行性论证等工作，强化生态环境保护相关措施的落实。规划环评中协调性分析、环境现状、污染源调</w:t>
                  </w:r>
                  <w:r>
                    <w:rPr>
                      <w:rFonts w:hint="default" w:ascii="Times New Roman" w:hAnsi="Times New Roman" w:cs="Times New Roman"/>
                      <w:spacing w:val="16"/>
                      <w:sz w:val="18"/>
                      <w:szCs w:val="18"/>
                    </w:rPr>
                    <w:t>查等符合要求的资料可供建设项目</w:t>
                  </w:r>
                  <w:r>
                    <w:rPr>
                      <w:rFonts w:hint="default" w:ascii="Times New Roman" w:hAnsi="Times New Roman" w:cs="Times New Roman"/>
                      <w:spacing w:val="9"/>
                      <w:sz w:val="18"/>
                      <w:szCs w:val="18"/>
                    </w:rPr>
                    <w:t>环评共享，建设项目环评相应评价内</w:t>
                  </w:r>
                  <w:r>
                    <w:rPr>
                      <w:rFonts w:hint="default" w:ascii="Times New Roman" w:hAnsi="Times New Roman" w:cs="Times New Roman"/>
                      <w:spacing w:val="15"/>
                      <w:sz w:val="18"/>
                      <w:szCs w:val="18"/>
                    </w:rPr>
                    <w:t>容可结合实际情况予以适当简化。</w:t>
                  </w:r>
                </w:p>
              </w:tc>
              <w:tc>
                <w:tcPr>
                  <w:tcW w:w="2861" w:type="dxa"/>
                  <w:vAlign w:val="center"/>
                </w:tcPr>
                <w:p w14:paraId="3FD6290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9"/>
                      <w:sz w:val="18"/>
                      <w:szCs w:val="18"/>
                    </w:rPr>
                    <w:t>本项目符合开发区准入清单</w:t>
                  </w:r>
                  <w:r>
                    <w:rPr>
                      <w:rFonts w:hint="default" w:ascii="Times New Roman" w:hAnsi="Times New Roman" w:cs="Times New Roman"/>
                      <w:spacing w:val="2"/>
                      <w:sz w:val="18"/>
                      <w:szCs w:val="18"/>
                    </w:rPr>
                    <w:t>要求，本次评价重点开展工程分析、污染物排放量和环保措</w:t>
                  </w:r>
                  <w:r>
                    <w:rPr>
                      <w:rFonts w:hint="default" w:ascii="Times New Roman" w:hAnsi="Times New Roman" w:cs="Times New Roman"/>
                      <w:spacing w:val="9"/>
                      <w:sz w:val="18"/>
                      <w:szCs w:val="18"/>
                    </w:rPr>
                    <w:t>施可行性分析等工作</w:t>
                  </w:r>
                </w:p>
              </w:tc>
              <w:tc>
                <w:tcPr>
                  <w:tcW w:w="680" w:type="dxa"/>
                  <w:vAlign w:val="center"/>
                </w:tcPr>
                <w:p w14:paraId="7C02EA5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sz w:val="18"/>
                      <w:szCs w:val="18"/>
                    </w:rPr>
                  </w:pPr>
                  <w:r>
                    <w:rPr>
                      <w:rFonts w:hint="default" w:ascii="Times New Roman" w:hAnsi="Times New Roman" w:cs="Times New Roman"/>
                      <w:spacing w:val="3"/>
                      <w:sz w:val="18"/>
                      <w:szCs w:val="18"/>
                    </w:rPr>
                    <w:t>符合</w:t>
                  </w:r>
                </w:p>
              </w:tc>
            </w:tr>
          </w:tbl>
          <w:p w14:paraId="09E3A6F9">
            <w:pPr>
              <w:pStyle w:val="95"/>
              <w:keepNext w:val="0"/>
              <w:keepLines w:val="0"/>
              <w:suppressLineNumbers w:val="0"/>
              <w:spacing w:before="162" w:beforeAutospacing="0" w:after="0" w:afterAutospacing="0" w:line="375" w:lineRule="auto"/>
              <w:ind w:left="110" w:right="102" w:firstLine="420"/>
              <w:jc w:val="both"/>
              <w:rPr>
                <w:rFonts w:hint="default" w:ascii="Times New Roman" w:hAnsi="Times New Roman" w:cs="Times New Roman"/>
                <w:spacing w:val="9"/>
                <w:sz w:val="24"/>
                <w:szCs w:val="24"/>
              </w:rPr>
            </w:pPr>
            <w:r>
              <w:rPr>
                <w:rFonts w:hint="default" w:ascii="Times New Roman" w:hAnsi="Times New Roman" w:cs="Times New Roman"/>
                <w:spacing w:val="9"/>
                <w:sz w:val="24"/>
                <w:szCs w:val="24"/>
              </w:rPr>
              <w:t>通过上述分析，项目符合《关于</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河北迁安经济开发区总体规划</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2022</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2030年</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环境影响报告书</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的审查意见》</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冀环环评函[</w:t>
            </w:r>
            <w:r>
              <w:rPr>
                <w:rFonts w:hint="default" w:ascii="Times New Roman" w:hAnsi="Times New Roman" w:cs="Times New Roman"/>
                <w:spacing w:val="9"/>
                <w:sz w:val="24"/>
                <w:szCs w:val="24"/>
              </w:rPr>
              <w:fldChar w:fldCharType="begin"/>
            </w:r>
            <w:r>
              <w:rPr>
                <w:rFonts w:hint="default" w:ascii="Times New Roman" w:hAnsi="Times New Roman" w:cs="Times New Roman"/>
                <w:spacing w:val="9"/>
                <w:sz w:val="24"/>
                <w:szCs w:val="24"/>
              </w:rPr>
              <w:instrText xml:space="preserve"> HYPERLINK \l "bookmark11" </w:instrText>
            </w:r>
            <w:r>
              <w:rPr>
                <w:rFonts w:hint="default" w:ascii="Times New Roman" w:hAnsi="Times New Roman" w:cs="Times New Roman"/>
                <w:spacing w:val="9"/>
                <w:sz w:val="24"/>
                <w:szCs w:val="24"/>
              </w:rPr>
              <w:fldChar w:fldCharType="separate"/>
            </w:r>
            <w:r>
              <w:rPr>
                <w:rFonts w:hint="default" w:ascii="Times New Roman" w:hAnsi="Times New Roman" w:cs="Times New Roman"/>
                <w:spacing w:val="9"/>
                <w:sz w:val="24"/>
                <w:szCs w:val="24"/>
              </w:rPr>
              <w:t>2025</w:t>
            </w:r>
            <w:r>
              <w:rPr>
                <w:rFonts w:hint="default" w:ascii="Times New Roman" w:hAnsi="Times New Roman" w:cs="Times New Roman"/>
                <w:spacing w:val="9"/>
                <w:sz w:val="24"/>
                <w:szCs w:val="24"/>
              </w:rPr>
              <w:fldChar w:fldCharType="end"/>
            </w:r>
            <w:r>
              <w:rPr>
                <w:rFonts w:hint="default" w:ascii="Times New Roman" w:hAnsi="Times New Roman" w:cs="Times New Roman"/>
                <w:spacing w:val="9"/>
                <w:sz w:val="24"/>
                <w:szCs w:val="24"/>
              </w:rPr>
              <w:t>] 1283号</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相关要求。</w:t>
            </w:r>
          </w:p>
          <w:p w14:paraId="3CB380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000000" w:themeColor="text1"/>
                <w:spacing w:val="0"/>
                <w:highlight w:val="green"/>
                <w14:textFill>
                  <w14:solidFill>
                    <w14:schemeClr w14:val="tx1"/>
                  </w14:solidFill>
                </w14:textFill>
              </w:rPr>
            </w:pPr>
          </w:p>
        </w:tc>
      </w:tr>
      <w:tr w14:paraId="64921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7" w:type="dxa"/>
            <w:noWrap w:val="0"/>
            <w:vAlign w:val="center"/>
          </w:tcPr>
          <w:p w14:paraId="3C88AEE9">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kern w:val="0"/>
                <w:sz w:val="24"/>
                <w:szCs w:val="24"/>
                <w:highlight w:val="green"/>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其他符合性分析</w:t>
            </w:r>
          </w:p>
        </w:tc>
        <w:tc>
          <w:tcPr>
            <w:tcW w:w="7653" w:type="dxa"/>
            <w:gridSpan w:val="3"/>
            <w:noWrap w:val="0"/>
            <w:vAlign w:val="center"/>
          </w:tcPr>
          <w:p w14:paraId="6CC845DD">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96"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b/>
                <w:bCs/>
                <w:spacing w:val="4"/>
                <w:sz w:val="24"/>
                <w:szCs w:val="24"/>
              </w:rPr>
              <w:t>1</w:t>
            </w:r>
            <w:r>
              <w:rPr>
                <w:rFonts w:hint="default" w:ascii="Times New Roman" w:hAnsi="Times New Roman" w:cs="Times New Roman"/>
                <w:b/>
                <w:bCs/>
                <w:spacing w:val="4"/>
                <w:sz w:val="24"/>
                <w:szCs w:val="24"/>
              </w:rPr>
              <w:t>、产业政策符合性</w:t>
            </w:r>
          </w:p>
          <w:p w14:paraId="13459FD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16" w:firstLineChars="200"/>
              <w:jc w:val="both"/>
              <w:textAlignment w:val="auto"/>
              <w:rPr>
                <w:rFonts w:hint="default" w:ascii="Times New Roman" w:hAnsi="Times New Roman" w:cs="Times New Roman"/>
                <w:spacing w:val="9"/>
                <w:sz w:val="24"/>
                <w:szCs w:val="24"/>
              </w:rPr>
            </w:pPr>
            <w:r>
              <w:rPr>
                <w:rFonts w:hint="default" w:ascii="Times New Roman" w:hAnsi="Times New Roman" w:cs="Times New Roman"/>
                <w:spacing w:val="9"/>
                <w:sz w:val="24"/>
                <w:szCs w:val="24"/>
              </w:rPr>
              <w:t>项目为</w:t>
            </w:r>
            <w:r>
              <w:rPr>
                <w:rFonts w:hint="default" w:ascii="Times New Roman" w:hAnsi="Times New Roman" w:cs="Times New Roman"/>
                <w:spacing w:val="9"/>
                <w:sz w:val="24"/>
                <w:szCs w:val="24"/>
                <w:lang w:val="en-US" w:eastAsia="zh-CN"/>
              </w:rPr>
              <w:t>固体废物治理及</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生物质燃料加工</w:t>
            </w:r>
            <w:r>
              <w:rPr>
                <w:rFonts w:hint="default" w:ascii="Times New Roman" w:hAnsi="Times New Roman" w:cs="Times New Roman"/>
                <w:spacing w:val="9"/>
                <w:sz w:val="24"/>
                <w:szCs w:val="24"/>
              </w:rPr>
              <w:t>项目，根据《产业结构调整指导目录</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2024年本</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》，本项目属于“四十二、环境保护与资源节约综合利用”中的“8．废弃物循环利用</w:t>
            </w:r>
            <w:r>
              <w:rPr>
                <w:rFonts w:hint="default" w:ascii="Times New Roman" w:hAnsi="Times New Roman" w:cs="Times New Roman"/>
                <w:spacing w:val="9"/>
                <w:sz w:val="24"/>
                <w:szCs w:val="24"/>
                <w:lang w:eastAsia="zh-CN"/>
              </w:rPr>
              <w:t>……煤矸石、粉煤灰、尾矿（共伴生矿）、冶炼渣、工业副产石膏、赤泥、建筑垃圾等工业废弃物循环利用，农作物秸秆、畜禽粪污、农药包装等农林废弃物循环利用……</w:t>
            </w:r>
            <w:r>
              <w:rPr>
                <w:rFonts w:hint="default" w:ascii="Times New Roman" w:hAnsi="Times New Roman" w:cs="Times New Roman"/>
                <w:spacing w:val="9"/>
                <w:sz w:val="24"/>
                <w:szCs w:val="24"/>
              </w:rPr>
              <w:t>”，为鼓励类；不属于《市场准入负面清单</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2025年版</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》中禁止准入类项目。本项目已由河北迁安经济开发区管理委员会</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迁安高新技术产业开发区管理委员会</w:t>
            </w:r>
            <w:r>
              <w:rPr>
                <w:rFonts w:hint="default" w:ascii="Times New Roman" w:hAnsi="Times New Roman" w:cs="Times New Roman"/>
                <w:spacing w:val="9"/>
                <w:sz w:val="24"/>
                <w:szCs w:val="24"/>
                <w:lang w:eastAsia="zh-CN"/>
              </w:rPr>
              <w:t>）</w:t>
            </w:r>
            <w:r>
              <w:rPr>
                <w:rFonts w:hint="default" w:ascii="Times New Roman" w:hAnsi="Times New Roman" w:cs="Times New Roman"/>
                <w:spacing w:val="9"/>
                <w:sz w:val="24"/>
                <w:szCs w:val="24"/>
              </w:rPr>
              <w:t>出具了项目备案文件，文号：迁经开行审投资西备字[</w:t>
            </w:r>
            <w:r>
              <w:rPr>
                <w:rFonts w:hint="default" w:ascii="Times New Roman" w:hAnsi="Times New Roman" w:cs="Times New Roman"/>
                <w:spacing w:val="9"/>
                <w:sz w:val="24"/>
                <w:szCs w:val="24"/>
              </w:rPr>
              <w:fldChar w:fldCharType="begin"/>
            </w:r>
            <w:r>
              <w:rPr>
                <w:rFonts w:hint="default" w:ascii="Times New Roman" w:hAnsi="Times New Roman" w:cs="Times New Roman"/>
                <w:spacing w:val="9"/>
                <w:sz w:val="24"/>
                <w:szCs w:val="24"/>
              </w:rPr>
              <w:instrText xml:space="preserve"> HYPERLINK \l "bookmark12" </w:instrText>
            </w:r>
            <w:r>
              <w:rPr>
                <w:rFonts w:hint="default" w:ascii="Times New Roman" w:hAnsi="Times New Roman" w:cs="Times New Roman"/>
                <w:spacing w:val="9"/>
                <w:sz w:val="24"/>
                <w:szCs w:val="24"/>
              </w:rPr>
              <w:fldChar w:fldCharType="separate"/>
            </w:r>
            <w:r>
              <w:rPr>
                <w:rFonts w:hint="default" w:ascii="Times New Roman" w:hAnsi="Times New Roman" w:cs="Times New Roman"/>
                <w:spacing w:val="9"/>
                <w:sz w:val="24"/>
                <w:szCs w:val="24"/>
              </w:rPr>
              <w:t>2026</w:t>
            </w:r>
            <w:r>
              <w:rPr>
                <w:rFonts w:hint="default" w:ascii="Times New Roman" w:hAnsi="Times New Roman" w:cs="Times New Roman"/>
                <w:spacing w:val="9"/>
                <w:sz w:val="24"/>
                <w:szCs w:val="24"/>
              </w:rPr>
              <w:fldChar w:fldCharType="end"/>
            </w:r>
            <w:r>
              <w:rPr>
                <w:rFonts w:hint="default" w:ascii="Times New Roman" w:hAnsi="Times New Roman" w:cs="Times New Roman"/>
                <w:spacing w:val="9"/>
                <w:sz w:val="24"/>
                <w:szCs w:val="24"/>
              </w:rPr>
              <w:t>]</w:t>
            </w:r>
            <w:r>
              <w:rPr>
                <w:rFonts w:hint="default" w:ascii="Times New Roman" w:hAnsi="Times New Roman" w:cs="Times New Roman"/>
                <w:spacing w:val="9"/>
                <w:sz w:val="24"/>
                <w:szCs w:val="24"/>
                <w:lang w:val="en-US" w:eastAsia="zh-CN"/>
              </w:rPr>
              <w:t>61</w:t>
            </w:r>
            <w:r>
              <w:rPr>
                <w:rFonts w:hint="default" w:ascii="Times New Roman" w:hAnsi="Times New Roman" w:cs="Times New Roman"/>
                <w:spacing w:val="9"/>
                <w:sz w:val="24"/>
                <w:szCs w:val="24"/>
              </w:rPr>
              <w:t>号。</w:t>
            </w:r>
          </w:p>
          <w:p w14:paraId="0550611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16" w:firstLineChars="200"/>
              <w:jc w:val="both"/>
              <w:textAlignment w:val="auto"/>
              <w:rPr>
                <w:rFonts w:hint="default" w:ascii="Times New Roman" w:hAnsi="Times New Roman" w:cs="Times New Roman"/>
                <w:spacing w:val="9"/>
                <w:sz w:val="24"/>
                <w:szCs w:val="24"/>
              </w:rPr>
            </w:pPr>
            <w:r>
              <w:rPr>
                <w:rFonts w:hint="default" w:ascii="Times New Roman" w:hAnsi="Times New Roman" w:cs="Times New Roman"/>
                <w:spacing w:val="9"/>
                <w:sz w:val="24"/>
                <w:szCs w:val="24"/>
              </w:rPr>
              <w:t>因此，本项目的建设符合国家及地方产业政策。</w:t>
            </w:r>
          </w:p>
          <w:p w14:paraId="254502CA">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92" w:firstLineChars="200"/>
              <w:textAlignment w:val="auto"/>
              <w:rPr>
                <w:rFonts w:hint="default" w:ascii="Times New Roman" w:hAnsi="Times New Roman" w:cs="Times New Roman"/>
                <w:sz w:val="24"/>
                <w:szCs w:val="24"/>
              </w:rPr>
            </w:pPr>
            <w:r>
              <w:rPr>
                <w:rFonts w:hint="default" w:ascii="Times New Roman" w:hAnsi="Times New Roman" w:eastAsia="Times New Roman" w:cs="Times New Roman"/>
                <w:b/>
                <w:bCs/>
                <w:spacing w:val="3"/>
                <w:sz w:val="24"/>
                <w:szCs w:val="24"/>
              </w:rPr>
              <w:t>2</w:t>
            </w:r>
            <w:r>
              <w:rPr>
                <w:rFonts w:hint="default" w:ascii="Times New Roman" w:hAnsi="Times New Roman" w:eastAsia="Times New Roman" w:cs="Times New Roman"/>
                <w:b/>
                <w:bCs/>
                <w:spacing w:val="-24"/>
                <w:sz w:val="24"/>
                <w:szCs w:val="24"/>
              </w:rPr>
              <w:t xml:space="preserve"> </w:t>
            </w:r>
            <w:r>
              <w:rPr>
                <w:rFonts w:hint="default" w:ascii="Times New Roman" w:hAnsi="Times New Roman" w:cs="Times New Roman"/>
                <w:b/>
                <w:bCs/>
                <w:spacing w:val="3"/>
                <w:sz w:val="24"/>
                <w:szCs w:val="24"/>
              </w:rPr>
              <w:t>、选址合理性</w:t>
            </w:r>
          </w:p>
          <w:p w14:paraId="2D5041A8">
            <w:pPr>
              <w:pStyle w:val="95"/>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516" w:firstLineChars="200"/>
              <w:jc w:val="both"/>
              <w:textAlignment w:val="auto"/>
              <w:rPr>
                <w:rFonts w:hint="default" w:ascii="Times New Roman" w:hAnsi="Times New Roman" w:cs="Times New Roman"/>
                <w:sz w:val="24"/>
                <w:szCs w:val="24"/>
              </w:rPr>
            </w:pPr>
            <w:r>
              <w:rPr>
                <w:rFonts w:hint="default" w:ascii="Times New Roman" w:hAnsi="Times New Roman" w:cs="Times New Roman"/>
                <w:spacing w:val="9"/>
                <w:sz w:val="24"/>
                <w:szCs w:val="24"/>
              </w:rPr>
              <w:t>本项目位于河北迁安经济开发区，</w:t>
            </w:r>
            <w:r>
              <w:rPr>
                <w:rFonts w:hint="default" w:ascii="Times New Roman" w:hAnsi="Times New Roman" w:cs="Times New Roman"/>
                <w:spacing w:val="9"/>
                <w:sz w:val="24"/>
                <w:szCs w:val="24"/>
                <w:lang w:val="en-US" w:eastAsia="zh-CN"/>
              </w:rPr>
              <w:t>租赁仁通公司现有厂房</w:t>
            </w:r>
            <w:r>
              <w:rPr>
                <w:rFonts w:hint="default" w:ascii="Times New Roman" w:hAnsi="Times New Roman" w:cs="Times New Roman"/>
                <w:spacing w:val="9"/>
                <w:sz w:val="24"/>
                <w:szCs w:val="24"/>
              </w:rPr>
              <w:t>，不新增占地。</w:t>
            </w:r>
            <w:r>
              <w:rPr>
                <w:rFonts w:hint="default" w:ascii="Times New Roman" w:hAnsi="Times New Roman" w:cs="Times New Roman"/>
                <w:spacing w:val="9"/>
                <w:sz w:val="24"/>
                <w:szCs w:val="24"/>
                <w:lang w:val="en-US" w:eastAsia="zh-CN"/>
              </w:rPr>
              <w:t>项目位于钢铁产业区内，可以就近利用附近钢铁、焦化企业产生的一般固废；项目所在地周边交通路网发达，适合原料、产品运输；厂区周边五百米范围内无环境保护目标，</w:t>
            </w:r>
            <w:r>
              <w:rPr>
                <w:rFonts w:hint="default" w:ascii="Times New Roman" w:hAnsi="Times New Roman" w:cs="Times New Roman"/>
                <w:spacing w:val="9"/>
                <w:sz w:val="24"/>
                <w:szCs w:val="24"/>
              </w:rPr>
              <w:t>项目不占用自然保护区、风景名胜区、饮用水水源地、</w:t>
            </w:r>
            <w:r>
              <w:rPr>
                <w:rFonts w:hint="eastAsia" w:ascii="Times New Roman" w:hAnsi="Times New Roman" w:cs="Times New Roman"/>
                <w:spacing w:val="9"/>
                <w:sz w:val="24"/>
                <w:szCs w:val="24"/>
                <w:lang w:eastAsia="zh-CN"/>
              </w:rPr>
              <w:t>生态保护红线</w:t>
            </w:r>
            <w:r>
              <w:rPr>
                <w:rFonts w:hint="default" w:ascii="Times New Roman" w:hAnsi="Times New Roman" w:cs="Times New Roman"/>
                <w:spacing w:val="9"/>
                <w:sz w:val="24"/>
                <w:szCs w:val="24"/>
              </w:rPr>
              <w:t>等环境敏感区。河北迁安经济开发区管理委员会已出具关于本项目的规划意见，本项目符合园区总体规划要求。项目选址合理。</w:t>
            </w:r>
          </w:p>
          <w:p w14:paraId="2E2C7A20">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00" w:firstLineChars="200"/>
              <w:textAlignment w:val="auto"/>
              <w:rPr>
                <w:rFonts w:hint="default" w:ascii="Times New Roman" w:hAnsi="Times New Roman" w:eastAsia="Times New Roman" w:cs="Times New Roman"/>
                <w:b/>
                <w:bCs/>
                <w:spacing w:val="5"/>
                <w:sz w:val="24"/>
                <w:szCs w:val="24"/>
                <w:lang w:val="zh-TW" w:eastAsia="zh-TW"/>
              </w:rPr>
            </w:pPr>
            <w:r>
              <w:rPr>
                <w:rFonts w:hint="default" w:ascii="Times New Roman" w:hAnsi="Times New Roman" w:eastAsia="Times New Roman" w:cs="Times New Roman"/>
                <w:b/>
                <w:bCs/>
                <w:spacing w:val="5"/>
                <w:sz w:val="24"/>
                <w:szCs w:val="24"/>
              </w:rPr>
              <w:t>3 、</w:t>
            </w:r>
            <w:r>
              <w:rPr>
                <w:rFonts w:hint="default" w:ascii="Times New Roman" w:hAnsi="Times New Roman" w:eastAsia="Times New Roman" w:cs="Times New Roman"/>
                <w:b/>
                <w:bCs/>
                <w:spacing w:val="5"/>
                <w:sz w:val="24"/>
                <w:szCs w:val="24"/>
                <w:lang w:val="en-US" w:eastAsia="zh-CN"/>
              </w:rPr>
              <w:t>生态环境分区管控</w:t>
            </w:r>
            <w:r>
              <w:rPr>
                <w:rFonts w:hint="default" w:ascii="Times New Roman" w:hAnsi="Times New Roman" w:eastAsia="Times New Roman" w:cs="Times New Roman"/>
                <w:b/>
                <w:bCs/>
                <w:spacing w:val="5"/>
                <w:sz w:val="24"/>
                <w:szCs w:val="24"/>
              </w:rPr>
              <w:t>符合性分析</w:t>
            </w:r>
          </w:p>
          <w:p w14:paraId="75CACAB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00" w:firstLineChars="200"/>
              <w:textAlignment w:val="auto"/>
              <w:rPr>
                <w:rFonts w:hint="default" w:ascii="Times New Roman" w:hAnsi="Times New Roman" w:eastAsia="Times New Roman" w:cs="Times New Roman"/>
                <w:spacing w:val="5"/>
                <w:sz w:val="24"/>
                <w:szCs w:val="24"/>
                <w:lang w:val="zh-CN"/>
              </w:rPr>
            </w:pPr>
            <w:r>
              <w:rPr>
                <w:rFonts w:hint="default" w:ascii="Times New Roman" w:hAnsi="Times New Roman" w:eastAsia="Times New Roman" w:cs="Times New Roman"/>
                <w:spacing w:val="5"/>
                <w:sz w:val="24"/>
                <w:szCs w:val="24"/>
                <w:lang w:val="zh-CN"/>
              </w:rPr>
              <w:t>(</w:t>
            </w:r>
            <w:r>
              <w:rPr>
                <w:rFonts w:hint="default" w:ascii="Times New Roman" w:hAnsi="Times New Roman" w:eastAsia="Times New Roman" w:cs="Times New Roman"/>
                <w:spacing w:val="5"/>
                <w:sz w:val="24"/>
                <w:szCs w:val="24"/>
              </w:rPr>
              <w:t>1</w:t>
            </w:r>
            <w:r>
              <w:rPr>
                <w:rFonts w:hint="default" w:ascii="Times New Roman" w:hAnsi="Times New Roman" w:eastAsia="Times New Roman" w:cs="Times New Roman"/>
                <w:spacing w:val="5"/>
                <w:sz w:val="24"/>
                <w:szCs w:val="24"/>
                <w:lang w:val="zh-CN"/>
              </w:rPr>
              <w:t>)生态保护红线</w:t>
            </w:r>
          </w:p>
          <w:p w14:paraId="27BDACE0">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00" w:firstLineChars="200"/>
              <w:textAlignment w:val="auto"/>
              <w:rPr>
                <w:rFonts w:hint="default" w:ascii="Times New Roman" w:hAnsi="Times New Roman" w:eastAsia="Times New Roman" w:cs="Times New Roman"/>
                <w:spacing w:val="5"/>
                <w:sz w:val="24"/>
                <w:szCs w:val="24"/>
                <w:lang w:val="en-US"/>
              </w:rPr>
            </w:pPr>
            <w:r>
              <w:rPr>
                <w:rFonts w:hint="default" w:ascii="Times New Roman" w:hAnsi="Times New Roman" w:eastAsia="Times New Roman" w:cs="Times New Roman"/>
                <w:spacing w:val="5"/>
                <w:sz w:val="24"/>
                <w:szCs w:val="24"/>
                <w:lang w:val="en-US"/>
              </w:rPr>
              <w:t>根据《迁安市国土空间总体规划》</w:t>
            </w:r>
            <w:r>
              <w:rPr>
                <w:rFonts w:hint="default" w:ascii="Times New Roman" w:hAnsi="Times New Roman" w:eastAsia="Times New Roman" w:cs="Times New Roman"/>
                <w:spacing w:val="5"/>
                <w:sz w:val="24"/>
                <w:szCs w:val="24"/>
                <w:lang w:val="en-US" w:eastAsia="zh-CN"/>
              </w:rPr>
              <w:t>（</w:t>
            </w:r>
            <w:r>
              <w:rPr>
                <w:rFonts w:hint="default" w:ascii="Times New Roman" w:hAnsi="Times New Roman" w:eastAsia="Times New Roman" w:cs="Times New Roman"/>
                <w:spacing w:val="5"/>
                <w:sz w:val="24"/>
                <w:szCs w:val="24"/>
                <w:lang w:val="en-US"/>
              </w:rPr>
              <w:t>2021</w:t>
            </w:r>
            <w:r>
              <w:rPr>
                <w:rFonts w:hint="default" w:ascii="Times New Roman" w:hAnsi="Times New Roman" w:eastAsia="Times New Roman" w:cs="Times New Roman"/>
                <w:spacing w:val="5"/>
                <w:sz w:val="24"/>
                <w:szCs w:val="24"/>
                <w:lang w:val="en-US" w:eastAsia="zh-CN"/>
              </w:rPr>
              <w:t>—</w:t>
            </w:r>
            <w:r>
              <w:rPr>
                <w:rFonts w:hint="default" w:ascii="Times New Roman" w:hAnsi="Times New Roman" w:eastAsia="Times New Roman" w:cs="Times New Roman"/>
                <w:spacing w:val="5"/>
                <w:sz w:val="24"/>
                <w:szCs w:val="24"/>
                <w:lang w:val="en-US"/>
              </w:rPr>
              <w:t>2035年</w:t>
            </w:r>
            <w:r>
              <w:rPr>
                <w:rFonts w:hint="default" w:ascii="Times New Roman" w:hAnsi="Times New Roman" w:eastAsia="Times New Roman" w:cs="Times New Roman"/>
                <w:spacing w:val="5"/>
                <w:sz w:val="24"/>
                <w:szCs w:val="24"/>
                <w:lang w:val="en-US" w:eastAsia="zh-CN"/>
              </w:rPr>
              <w:t>）</w:t>
            </w:r>
            <w:r>
              <w:rPr>
                <w:rFonts w:hint="default" w:ascii="Times New Roman" w:hAnsi="Times New Roman" w:eastAsia="Times New Roman" w:cs="Times New Roman"/>
                <w:spacing w:val="5"/>
                <w:sz w:val="24"/>
                <w:szCs w:val="24"/>
                <w:lang w:val="en-US"/>
              </w:rPr>
              <w:t>，本项目不在生态保护红线区内，距离最近的生态保护红线为西侧4.8km的山叶口地质公园生态保护红线。</w:t>
            </w:r>
          </w:p>
          <w:p w14:paraId="1B2662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00" w:firstLineChars="200"/>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Times New Roman" w:cs="Times New Roman"/>
                <w:spacing w:val="5"/>
                <w:sz w:val="24"/>
                <w:szCs w:val="24"/>
              </w:rPr>
              <w:t>(2)</w:t>
            </w:r>
            <w:r>
              <w:rPr>
                <w:rFonts w:hint="default" w:ascii="Times New Roman" w:hAnsi="Times New Roman" w:cs="Times New Roman"/>
                <w:spacing w:val="7"/>
                <w:sz w:val="24"/>
                <w:szCs w:val="24"/>
                <w:highlight w:val="none"/>
              </w:rPr>
              <w:t>分区管控要求</w:t>
            </w:r>
          </w:p>
          <w:p w14:paraId="7A809E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《河北省人民政府关于加快实施“三线一单”生态环境分区管控的意见》</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冀政字[2020]71号</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符合性分析</w:t>
            </w:r>
          </w:p>
          <w:p w14:paraId="142F26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根据《河北省人民政府关于加快实施“三线一单”生态环境分区管控的意见》</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冀政字[2020]71号</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，环境管控单元包括优先保护、重点管控和一般管控单元三类：</w:t>
            </w:r>
          </w:p>
          <w:p w14:paraId="4CAF19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优先保护单元：主要包括生态保护红线，各类自然保护地、饮用水水源保护区、海洋红线区及其他重要生态功能区等一般生态空间。</w:t>
            </w:r>
          </w:p>
          <w:p w14:paraId="30D25A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重点管控单元：主要包括城市规划区、省级以上产业园区、港区和开发强度高、污染物排放强度大、环境问题较为突出的区域等。</w:t>
            </w:r>
          </w:p>
          <w:p w14:paraId="2320B0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一般管控单元：优先保护单元和重点管控单元之外的其他区域。</w:t>
            </w:r>
          </w:p>
          <w:p w14:paraId="02307C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项目位于</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河北迁安经济开发区</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，属于重点管控单元</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见</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附图</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w:t>
            </w:r>
          </w:p>
          <w:p w14:paraId="3013BB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bCs/>
                <w:color w:val="000000" w:themeColor="text1"/>
                <w:spacing w:val="0"/>
                <w:sz w:val="24"/>
                <w:highlight w:val="none"/>
                <w:lang w:val="zh-CN"/>
                <w14:textFill>
                  <w14:solidFill>
                    <w14:schemeClr w14:val="tx1"/>
                  </w14:solidFill>
                </w14:textFill>
              </w:rPr>
            </w:pPr>
            <w:r>
              <w:rPr>
                <w:rFonts w:hint="default" w:ascii="Times New Roman" w:hAnsi="Times New Roman" w:eastAsia="宋体" w:cs="Times New Roman"/>
                <w:b/>
                <w:bCs/>
                <w:color w:val="000000" w:themeColor="text1"/>
                <w:spacing w:val="0"/>
                <w:sz w:val="24"/>
                <w:highlight w:val="none"/>
                <w:lang w:val="zh-CN"/>
                <w14:textFill>
                  <w14:solidFill>
                    <w14:schemeClr w14:val="tx1"/>
                  </w14:solidFill>
                </w14:textFill>
              </w:rPr>
              <w:t>表</w:t>
            </w:r>
            <w:r>
              <w:rPr>
                <w:rFonts w:hint="default" w:ascii="Times New Roman" w:hAnsi="Times New Roman" w:eastAsia="宋体" w:cs="Times New Roman"/>
                <w:b/>
                <w:bCs/>
                <w:color w:val="000000" w:themeColor="text1"/>
                <w:spacing w:val="0"/>
                <w:sz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pacing w:val="0"/>
                <w:sz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pacing w:val="0"/>
                <w:sz w:val="24"/>
                <w:highlight w:val="none"/>
                <w14:textFill>
                  <w14:solidFill>
                    <w14:schemeClr w14:val="tx1"/>
                  </w14:solidFill>
                </w14:textFill>
              </w:rPr>
              <w:t xml:space="preserve">   </w:t>
            </w:r>
            <w:r>
              <w:rPr>
                <w:rFonts w:hint="default" w:ascii="Times New Roman" w:hAnsi="Times New Roman" w:eastAsia="宋体" w:cs="Times New Roman"/>
                <w:b/>
                <w:bCs/>
                <w:color w:val="000000" w:themeColor="text1"/>
                <w:spacing w:val="0"/>
                <w:sz w:val="24"/>
                <w:highlight w:val="none"/>
                <w:lang w:val="zh-CN"/>
                <w14:textFill>
                  <w14:solidFill>
                    <w14:schemeClr w14:val="tx1"/>
                  </w14:solidFill>
                </w14:textFill>
              </w:rPr>
              <w:t xml:space="preserve"> 河北省“三线一单”分类管控要求符合性</w:t>
            </w:r>
          </w:p>
          <w:tbl>
            <w:tblPr>
              <w:tblStyle w:val="3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
              <w:gridCol w:w="437"/>
              <w:gridCol w:w="5046"/>
              <w:gridCol w:w="1295"/>
              <w:gridCol w:w="463"/>
            </w:tblGrid>
            <w:tr w14:paraId="441F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840" w:type="pct"/>
                  <w:gridSpan w:val="3"/>
                  <w:vAlign w:val="center"/>
                </w:tcPr>
                <w:p w14:paraId="58389DE3">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相关内容</w:t>
                  </w:r>
                </w:p>
              </w:tc>
              <w:tc>
                <w:tcPr>
                  <w:tcW w:w="854" w:type="pct"/>
                  <w:vAlign w:val="center"/>
                </w:tcPr>
                <w:p w14:paraId="1552EA97">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本项目实际</w:t>
                  </w:r>
                </w:p>
              </w:tc>
              <w:tc>
                <w:tcPr>
                  <w:tcW w:w="305" w:type="pct"/>
                  <w:vAlign w:val="center"/>
                </w:tcPr>
                <w:p w14:paraId="4C4C03A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结论</w:t>
                  </w:r>
                </w:p>
              </w:tc>
            </w:tr>
            <w:tr w14:paraId="0E40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restart"/>
                  <w:vAlign w:val="center"/>
                </w:tcPr>
                <w:p w14:paraId="30719BCB">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主要目标</w:t>
                  </w:r>
                </w:p>
              </w:tc>
              <w:tc>
                <w:tcPr>
                  <w:tcW w:w="3615" w:type="pct"/>
                  <w:gridSpan w:val="2"/>
                  <w:vAlign w:val="center"/>
                </w:tcPr>
                <w:p w14:paraId="09FE7AF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left"/>
                    <w:textAlignment w:val="auto"/>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到2025年，建立健全以“三线一单”为核心的生态环境分区管控体系</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，资源高效利用，环境质量明显改善，人居环境安全得到有效保障，</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环境</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治理体系和治理能力现代化取得重大提升，打造山水林田湖草海一体化生态系统格局。到2035年，广泛形成绿色生产生活方式，生态环境根本好转，建成蓝天、碧水、净土的美丽河北。</w:t>
                  </w:r>
                </w:p>
              </w:tc>
              <w:tc>
                <w:tcPr>
                  <w:tcW w:w="854" w:type="pct"/>
                  <w:vMerge w:val="restart"/>
                  <w:vAlign w:val="center"/>
                </w:tcPr>
                <w:p w14:paraId="291D0318">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项目按要求进行防腐防渗，减少下渗对土壤的影响，企业严格在“三线一单”框架要求下</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实施。</w:t>
                  </w:r>
                </w:p>
              </w:tc>
              <w:tc>
                <w:tcPr>
                  <w:tcW w:w="305" w:type="pct"/>
                  <w:vMerge w:val="restart"/>
                  <w:vAlign w:val="center"/>
                </w:tcPr>
                <w:p w14:paraId="5E9F49B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符合</w:t>
                  </w:r>
                </w:p>
              </w:tc>
            </w:tr>
            <w:tr w14:paraId="156C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continue"/>
                  <w:vAlign w:val="center"/>
                </w:tcPr>
                <w:p w14:paraId="4146CC38">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p>
              </w:tc>
              <w:tc>
                <w:tcPr>
                  <w:tcW w:w="288" w:type="pct"/>
                  <w:vAlign w:val="center"/>
                </w:tcPr>
                <w:p w14:paraId="24FF50AF">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生态保护红线</w:t>
                  </w:r>
                </w:p>
              </w:tc>
              <w:tc>
                <w:tcPr>
                  <w:tcW w:w="3326" w:type="pct"/>
                  <w:vAlign w:val="center"/>
                </w:tcPr>
                <w:p w14:paraId="758072A1">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重要生态功能区域生态功能不降低、面积不减少、性质不改变</w:t>
                  </w:r>
                </w:p>
              </w:tc>
              <w:tc>
                <w:tcPr>
                  <w:tcW w:w="854" w:type="pct"/>
                  <w:vMerge w:val="continue"/>
                  <w:vAlign w:val="center"/>
                </w:tcPr>
                <w:p w14:paraId="42D6981E">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c>
                <w:tcPr>
                  <w:tcW w:w="305" w:type="pct"/>
                  <w:vMerge w:val="continue"/>
                  <w:vAlign w:val="center"/>
                </w:tcPr>
                <w:p w14:paraId="54997CCD">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r>
            <w:tr w14:paraId="1381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continue"/>
                  <w:vAlign w:val="center"/>
                </w:tcPr>
                <w:p w14:paraId="22393E7A">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p>
              </w:tc>
              <w:tc>
                <w:tcPr>
                  <w:tcW w:w="288" w:type="pct"/>
                  <w:vAlign w:val="center"/>
                </w:tcPr>
                <w:p w14:paraId="625B69D2">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环境质量底线</w:t>
                  </w:r>
                </w:p>
              </w:tc>
              <w:tc>
                <w:tcPr>
                  <w:tcW w:w="3326" w:type="pct"/>
                  <w:vAlign w:val="center"/>
                </w:tcPr>
                <w:p w14:paraId="2D09301A">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到2025年，地表水国考断面优良</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Ⅲ类以上</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比例、近岸海域优良海水比例逐步提升</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PM</w:t>
                  </w:r>
                  <w:r>
                    <w:rPr>
                      <w:rFonts w:hint="default" w:ascii="Times New Roman" w:hAnsi="Times New Roman" w:eastAsia="宋体" w:cs="Times New Roman"/>
                      <w:b w:val="0"/>
                      <w:bCs/>
                      <w:color w:val="000000" w:themeColor="text1"/>
                      <w:spacing w:val="0"/>
                      <w:sz w:val="18"/>
                      <w:szCs w:val="18"/>
                      <w:highlight w:val="none"/>
                      <w:vertAlign w:val="sub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pacing w:val="0"/>
                      <w:sz w:val="18"/>
                      <w:szCs w:val="18"/>
                      <w:highlight w:val="none"/>
                      <w:vertAlign w:val="subscript"/>
                      <w14:textFill>
                        <w14:solidFill>
                          <w14:schemeClr w14:val="tx1"/>
                        </w14:solidFill>
                      </w14:textFill>
                    </w:rPr>
                    <w:t>5</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年均浓度持续降低、优良天数比例稳步提升</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土壤受污染耕地安全利用率、污染地块安全利用率进一步提升。</w:t>
                  </w:r>
                </w:p>
              </w:tc>
              <w:tc>
                <w:tcPr>
                  <w:tcW w:w="854" w:type="pct"/>
                  <w:vMerge w:val="continue"/>
                  <w:vAlign w:val="center"/>
                </w:tcPr>
                <w:p w14:paraId="40BEDF59">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c>
                <w:tcPr>
                  <w:tcW w:w="305" w:type="pct"/>
                  <w:vMerge w:val="continue"/>
                  <w:vAlign w:val="center"/>
                </w:tcPr>
                <w:p w14:paraId="2E7E436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r>
            <w:tr w14:paraId="2F0A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continue"/>
                  <w:vAlign w:val="center"/>
                </w:tcPr>
                <w:p w14:paraId="40ACE00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p>
              </w:tc>
              <w:tc>
                <w:tcPr>
                  <w:tcW w:w="288" w:type="pct"/>
                  <w:vAlign w:val="center"/>
                </w:tcPr>
                <w:p w14:paraId="10619CB6">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资源利用上限</w:t>
                  </w:r>
                </w:p>
              </w:tc>
              <w:tc>
                <w:tcPr>
                  <w:tcW w:w="3326" w:type="pct"/>
                  <w:vAlign w:val="center"/>
                </w:tcPr>
                <w:p w14:paraId="178A6D76">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以保障生态安全、改善环境质量为核心，合理确定全省资源利用上线目标，实现水资源与水环境、能源与大气环境、岸线与海洋环境的协同管控。</w:t>
                  </w:r>
                </w:p>
              </w:tc>
              <w:tc>
                <w:tcPr>
                  <w:tcW w:w="854" w:type="pct"/>
                  <w:vMerge w:val="continue"/>
                  <w:vAlign w:val="center"/>
                </w:tcPr>
                <w:p w14:paraId="5B24610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c>
                <w:tcPr>
                  <w:tcW w:w="305" w:type="pct"/>
                  <w:vMerge w:val="continue"/>
                  <w:vAlign w:val="center"/>
                </w:tcPr>
                <w:p w14:paraId="02B71F3B">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r>
            <w:tr w14:paraId="67A9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Align w:val="center"/>
                </w:tcPr>
                <w:p w14:paraId="46CBB9D8">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总体管控要求</w:t>
                  </w:r>
                </w:p>
              </w:tc>
              <w:tc>
                <w:tcPr>
                  <w:tcW w:w="3615" w:type="pct"/>
                  <w:gridSpan w:val="2"/>
                  <w:vAlign w:val="center"/>
                </w:tcPr>
                <w:p w14:paraId="2973B203">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360" w:firstLineChars="200"/>
                    <w:jc w:val="left"/>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突出区域发展与生态环境保护战略要求，强化生态系统保护和环境污染治理，加强生态空间分区管控。严格坝上高原生态防护区、燕山--太行山生态涵养区等生态保护</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统筹水生态、水环境、水资源系统化管控，有序推进重点流域和海域水污染整治</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加大产业结构、能源结构和交通运输结构调整力度，加强挥发性有机物与氮氧化物协同控制</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实施农用地分类管理和污染地块分用途管理，加强土壤、地下水污染风险管控</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强化岸线开发管控，加强岸线生态修复。</w:t>
                  </w:r>
                </w:p>
                <w:p w14:paraId="62060ED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360" w:firstLineChars="200"/>
                    <w:jc w:val="left"/>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突出区域特征、发展定位，统筹推进分区差异管控。冀西北生态涵养区，以建设首都水源涵养功能区和生态环境支撑区为主导，突出生态系统整体性保护；环京津核心功能区，对接京津生态环境保护要求，加强环境污染治理与人居环境安全保障，加快推动生态环境根本好转</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冀中南功能拓展区，以突出生态环境问题为抓手，加大生态修复和环境治理力度，促进环境质量持续改善</w:t>
                  </w:r>
                  <w:r>
                    <w:rPr>
                      <w:rFonts w:hint="eastAsia"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沿海率先发展区，以产业发展转型和布局优化为导向，实施区域协调、海陆统筹的生态环境分区管控。</w:t>
                  </w:r>
                </w:p>
              </w:tc>
              <w:tc>
                <w:tcPr>
                  <w:tcW w:w="854" w:type="pct"/>
                  <w:vMerge w:val="continue"/>
                  <w:vAlign w:val="center"/>
                </w:tcPr>
                <w:p w14:paraId="260D2C8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c>
                <w:tcPr>
                  <w:tcW w:w="305" w:type="pct"/>
                  <w:vMerge w:val="continue"/>
                  <w:vAlign w:val="center"/>
                </w:tcPr>
                <w:p w14:paraId="06AB3BE2">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r>
            <w:tr w14:paraId="5C0C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restart"/>
                  <w:vAlign w:val="center"/>
                </w:tcPr>
                <w:p w14:paraId="238D4F6B">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分类管控要求</w:t>
                  </w:r>
                </w:p>
              </w:tc>
              <w:tc>
                <w:tcPr>
                  <w:tcW w:w="288" w:type="pct"/>
                  <w:vAlign w:val="center"/>
                </w:tcPr>
                <w:p w14:paraId="093FBE0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优先保护单元</w:t>
                  </w:r>
                </w:p>
              </w:tc>
              <w:tc>
                <w:tcPr>
                  <w:tcW w:w="3326" w:type="pct"/>
                  <w:vAlign w:val="center"/>
                </w:tcPr>
                <w:p w14:paraId="2713E81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严格落实生态保护红线管理要求，除有限人为活动外，依法依规禁止其他城镇和建设活动。一般生态空间突出生态保护，严禁不符合主体功能定位的各类开发活动，严禁任意改变用途。重大引水工程、白洋淀入淀河流两侧范围严格执行引调水工程等相关法律规定。</w:t>
                  </w:r>
                </w:p>
              </w:tc>
              <w:tc>
                <w:tcPr>
                  <w:tcW w:w="854" w:type="pct"/>
                  <w:vMerge w:val="restart"/>
                  <w:vAlign w:val="center"/>
                </w:tcPr>
                <w:p w14:paraId="1D0816FB">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本项目</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位于</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重点管控单元。不属于高污染、高排放项目；</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项目完成后按要求编制应急预案并备案；项目符合产业准入，不涉及新增总量，项目取得批复后按要求填报排污许可</w:t>
                  </w:r>
                </w:p>
              </w:tc>
              <w:tc>
                <w:tcPr>
                  <w:tcW w:w="305" w:type="pct"/>
                  <w:vMerge w:val="restart"/>
                  <w:vAlign w:val="center"/>
                </w:tcPr>
                <w:p w14:paraId="32074A23">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符合</w:t>
                  </w:r>
                </w:p>
              </w:tc>
            </w:tr>
            <w:tr w14:paraId="0B94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continue"/>
                  <w:vAlign w:val="center"/>
                </w:tcPr>
                <w:p w14:paraId="29206908">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lang w:val="en-US" w:eastAsia="zh-CN"/>
                      <w14:textFill>
                        <w14:solidFill>
                          <w14:schemeClr w14:val="tx1"/>
                        </w14:solidFill>
                      </w14:textFill>
                    </w:rPr>
                  </w:pPr>
                </w:p>
              </w:tc>
              <w:tc>
                <w:tcPr>
                  <w:tcW w:w="288" w:type="pct"/>
                  <w:vAlign w:val="center"/>
                </w:tcPr>
                <w:p w14:paraId="7F38543B">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重点管控单元</w:t>
                  </w:r>
                </w:p>
              </w:tc>
              <w:tc>
                <w:tcPr>
                  <w:tcW w:w="3326" w:type="pct"/>
                  <w:vAlign w:val="center"/>
                </w:tcPr>
                <w:p w14:paraId="014F27D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城镇重点管控单元。优化工业布局，有序实施高污染、高排放工业企业整改或搬迁退出</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强化交通污染源管控</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完善污水治理设施</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加快城镇河流水系环境整治</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加强工业污染场地环境风险防控和开发再利用监管。省级以上产业园区重点管控单元。严格产业准入，完善园区设施建设，推动设施提标改造</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实施污染物总量控制，落实排污许可证制度</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强化资源利用效率和地下水开采管控。农业农村重点管控单元。优化规模化畜禽养殖布局，加快农村生态环境综合整治，逐步推进农村污水和生活垃圾治理</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减少化肥农药施用量，优化农业种植结构，推动秸秆综合利用</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控化肥农药施用量，优化农业种植结构，推动秸秆综合利用</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控近岸海域重点管控单元。优化石化、钢铁等重化行业布局</w:t>
                  </w:r>
                  <w:r>
                    <w:rPr>
                      <w:rFonts w:hint="eastAsia"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严格海洋岸线开发</w:t>
                  </w:r>
                  <w:r>
                    <w:rPr>
                      <w:rFonts w:hint="eastAsia"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强化船舶、港区污染物控制</w:t>
                  </w:r>
                  <w:r>
                    <w:rPr>
                      <w:rFonts w:hint="default" w:ascii="Times New Roman" w:hAnsi="Times New Roman" w:eastAsia="宋体" w:cs="Times New Roman"/>
                      <w:b w:val="0"/>
                      <w:bCs/>
                      <w:color w:val="000000" w:themeColor="text1"/>
                      <w:spacing w:val="0"/>
                      <w:sz w:val="18"/>
                      <w:szCs w:val="18"/>
                      <w:highlight w:val="none"/>
                      <w:vertAlign w:val="baseli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加强近岸海域及港口码头环境污染风险防控。</w:t>
                  </w:r>
                </w:p>
              </w:tc>
              <w:tc>
                <w:tcPr>
                  <w:tcW w:w="854" w:type="pct"/>
                  <w:vMerge w:val="continue"/>
                  <w:vAlign w:val="center"/>
                </w:tcPr>
                <w:p w14:paraId="298325E9">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c>
                <w:tcPr>
                  <w:tcW w:w="305" w:type="pct"/>
                  <w:vMerge w:val="continue"/>
                  <w:vAlign w:val="center"/>
                </w:tcPr>
                <w:p w14:paraId="6240F9D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r>
            <w:tr w14:paraId="79E4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5" w:type="pct"/>
                  <w:vMerge w:val="continue"/>
                  <w:vAlign w:val="center"/>
                </w:tcPr>
                <w:p w14:paraId="13E5A981">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lang w:val="en-US" w:eastAsia="zh-CN"/>
                      <w14:textFill>
                        <w14:solidFill>
                          <w14:schemeClr w14:val="tx1"/>
                        </w14:solidFill>
                      </w14:textFill>
                    </w:rPr>
                  </w:pPr>
                </w:p>
              </w:tc>
              <w:tc>
                <w:tcPr>
                  <w:tcW w:w="288" w:type="pct"/>
                  <w:vAlign w:val="center"/>
                </w:tcPr>
                <w:p w14:paraId="37C7443A">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一般管控单元</w:t>
                  </w:r>
                </w:p>
              </w:tc>
              <w:tc>
                <w:tcPr>
                  <w:tcW w:w="3326" w:type="pct"/>
                  <w:vAlign w:val="center"/>
                </w:tcPr>
                <w:p w14:paraId="773CBADC">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14:textFill>
                        <w14:solidFill>
                          <w14:schemeClr w14:val="tx1"/>
                        </w14:solidFill>
                      </w14:textFill>
                    </w:rPr>
                    <w:t>严格执行国家和省关于产业准入、总量控制和污染物排放标准等管控要求。</w:t>
                  </w:r>
                </w:p>
              </w:tc>
              <w:tc>
                <w:tcPr>
                  <w:tcW w:w="854" w:type="pct"/>
                  <w:vMerge w:val="continue"/>
                  <w:vAlign w:val="center"/>
                </w:tcPr>
                <w:p w14:paraId="71C764F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c>
                <w:tcPr>
                  <w:tcW w:w="305" w:type="pct"/>
                  <w:vMerge w:val="continue"/>
                  <w:vAlign w:val="center"/>
                </w:tcPr>
                <w:p w14:paraId="36057DC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green"/>
                      <w:vertAlign w:val="baseline"/>
                      <w14:textFill>
                        <w14:solidFill>
                          <w14:schemeClr w14:val="tx1"/>
                        </w14:solidFill>
                      </w14:textFill>
                    </w:rPr>
                  </w:pPr>
                </w:p>
              </w:tc>
            </w:tr>
          </w:tbl>
          <w:p w14:paraId="661272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highlight w:val="none"/>
                <w:lang w:val="zh-CN" w:eastAsia="zh-CN"/>
                <w14:textFill>
                  <w14:solidFill>
                    <w14:schemeClr w14:val="tx1"/>
                  </w14:solidFill>
                </w14:textFill>
              </w:rPr>
            </w:pPr>
            <w:r>
              <w:rPr>
                <w:rFonts w:hint="default" w:ascii="Times New Roman" w:hAnsi="Times New Roman" w:eastAsia="宋体" w:cs="Times New Roman"/>
                <w:color w:val="000000" w:themeColor="text1"/>
                <w:spacing w:val="0"/>
                <w:sz w:val="24"/>
                <w:highlight w:val="none"/>
                <w14:textFill>
                  <w14:solidFill>
                    <w14:schemeClr w14:val="tx1"/>
                  </w14:solidFill>
                </w14:textFill>
              </w:rPr>
              <w:t>项目</w:t>
            </w:r>
            <w:r>
              <w:rPr>
                <w:rFonts w:hint="default" w:ascii="Times New Roman" w:hAnsi="Times New Roman" w:eastAsia="宋体" w:cs="Times New Roman"/>
                <w:color w:val="000000" w:themeColor="text1"/>
                <w:spacing w:val="0"/>
                <w:sz w:val="24"/>
                <w:highlight w:val="none"/>
                <w:lang w:val="en-US" w:eastAsia="zh-CN"/>
                <w14:textFill>
                  <w14:solidFill>
                    <w14:schemeClr w14:val="tx1"/>
                  </w14:solidFill>
                </w14:textFill>
              </w:rPr>
              <w:t>符合</w:t>
            </w:r>
            <w:r>
              <w:rPr>
                <w:rFonts w:hint="default" w:ascii="Times New Roman" w:hAnsi="Times New Roman" w:eastAsia="宋体" w:cs="Times New Roman"/>
                <w:color w:val="000000" w:themeColor="text1"/>
                <w:spacing w:val="0"/>
                <w:sz w:val="24"/>
                <w:highlight w:val="none"/>
                <w14:textFill>
                  <w14:solidFill>
                    <w14:schemeClr w14:val="tx1"/>
                  </w14:solidFill>
                </w14:textFill>
              </w:rPr>
              <w:t>《河北省人民政府关于加快实施“三线一单”生态环境分区管控的意见》</w:t>
            </w:r>
            <w:r>
              <w:rPr>
                <w:rFonts w:hint="default" w:ascii="Times New Roman" w:hAnsi="Times New Roman" w:cs="Times New Roman"/>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highlight w:val="none"/>
                <w14:textFill>
                  <w14:solidFill>
                    <w14:schemeClr w14:val="tx1"/>
                  </w14:solidFill>
                </w14:textFill>
              </w:rPr>
              <w:t>冀政字</w:t>
            </w:r>
            <w:r>
              <w:rPr>
                <w:rFonts w:hint="default" w:ascii="Times New Roman" w:hAnsi="Times New Roman" w:eastAsia="宋体" w:cs="Times New Roman"/>
                <w:color w:val="000000" w:themeColor="text1"/>
                <w:spacing w:val="0"/>
                <w:sz w:val="24"/>
                <w:highlight w:val="none"/>
                <w:lang w:eastAsia="zh-CN"/>
                <w14:textFill>
                  <w14:solidFill>
                    <w14:schemeClr w14:val="tx1"/>
                  </w14:solidFill>
                </w14:textFill>
              </w:rPr>
              <w:t>〔2020〕71号</w:t>
            </w:r>
            <w:r>
              <w:rPr>
                <w:rFonts w:hint="default" w:ascii="Times New Roman" w:hAnsi="Times New Roman" w:cs="Times New Roman"/>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highlight w:val="none"/>
                <w:lang w:val="en-US" w:eastAsia="zh-CN"/>
                <w14:textFill>
                  <w14:solidFill>
                    <w14:schemeClr w14:val="tx1"/>
                  </w14:solidFill>
                </w14:textFill>
              </w:rPr>
              <w:t>要求</w:t>
            </w:r>
            <w:r>
              <w:rPr>
                <w:rFonts w:hint="default" w:ascii="Times New Roman" w:hAnsi="Times New Roman" w:eastAsia="宋体" w:cs="Times New Roman"/>
                <w:color w:val="000000" w:themeColor="text1"/>
                <w:spacing w:val="0"/>
                <w:sz w:val="24"/>
                <w:highlight w:val="none"/>
                <w:lang w:eastAsia="zh-CN"/>
                <w14:textFill>
                  <w14:solidFill>
                    <w14:schemeClr w14:val="tx1"/>
                  </w14:solidFill>
                </w14:textFill>
              </w:rPr>
              <w:t>。</w:t>
            </w:r>
          </w:p>
          <w:p w14:paraId="0A87A6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③</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《唐山市人民政府关于实施“三线一单”生态环境分区管控的意见》</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唐政字</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〔2021〕48号</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及</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《唐山市生态环境准入清单》</w:t>
            </w:r>
            <w:r>
              <w:rPr>
                <w:rFonts w:hint="default" w:ascii="Times New Roman" w:hAnsi="Times New Roman"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2023版</w:t>
            </w:r>
            <w:r>
              <w:rPr>
                <w:rFonts w:hint="default" w:ascii="Times New Roman" w:hAnsi="Times New Roman"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符合性分析</w:t>
            </w:r>
          </w:p>
          <w:p w14:paraId="0A0BCF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环境管控单元包括优先保护、重点管控和一般管控单元三类：</w:t>
            </w:r>
          </w:p>
          <w:p w14:paraId="159598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优先保护单元：主要包括以生态环境保护为主的区域，主要包括陆域生态保护红线，自然保护区、森林公园等各级各类保护地和其他重要生态功能区等陆域一般生态空间。</w:t>
            </w:r>
          </w:p>
          <w:p w14:paraId="31B990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重点管控单元：指涉及水、大气、土壤、海洋、自然资源等资源环境要素重点管控的区域，主要包括城镇规划区和工业园区</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工业集聚区</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等开发强度高、污染物排放强度大以及环境问题相对集中的区域，近岸海域重点管控区，主要包括工业与城镇用海、港口及特殊利用区域。</w:t>
            </w:r>
          </w:p>
          <w:p w14:paraId="59F7AE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一般管控单元：除优先保护单元和重点管控单元之外的其他区域。</w:t>
            </w:r>
          </w:p>
          <w:p w14:paraId="6157D6F4">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bookmarkStart w:id="2" w:name="_Hlk80429296"/>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项目位于</w:t>
            </w:r>
            <w:r>
              <w:rPr>
                <w:rFonts w:hint="default" w:ascii="Times New Roman" w:hAnsi="Times New Roman" w:eastAsia="宋体" w:cs="Times New Roman"/>
                <w:color w:val="000000" w:themeColor="text1"/>
                <w:spacing w:val="0"/>
                <w:kern w:val="0"/>
                <w:sz w:val="24"/>
                <w:szCs w:val="24"/>
                <w:highlight w:val="none"/>
                <w:lang w:val="en-US" w:eastAsia="zh-CN"/>
                <w14:textFill>
                  <w14:solidFill>
                    <w14:schemeClr w14:val="tx1"/>
                  </w14:solidFill>
                </w14:textFill>
              </w:rPr>
              <w:t>河北迁安经济开发区</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w:t>
            </w:r>
            <w:bookmarkEnd w:id="2"/>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具体符合性情况如下。</w:t>
            </w:r>
          </w:p>
          <w:p w14:paraId="7BAEB737">
            <w:pPr>
              <w:keepNext w:val="0"/>
              <w:keepLines w:val="0"/>
              <w:pageBreakBefore w:val="0"/>
              <w:suppressLineNumbers w:val="0"/>
              <w:wordWrap/>
              <w:bidi w:val="0"/>
              <w:adjustRightInd w:val="0"/>
              <w:snapToGrid w:val="0"/>
              <w:spacing w:before="0" w:beforeAutospacing="0" w:after="0" w:afterAutospacing="0"/>
              <w:ind w:left="0" w:right="0"/>
              <w:rPr>
                <w:rFonts w:hint="default" w:ascii="Times New Roman" w:hAnsi="Times New Roman" w:eastAsia="宋体" w:cs="Times New Roman"/>
                <w:color w:val="000000" w:themeColor="text1"/>
                <w:spacing w:val="0"/>
                <w:sz w:val="24"/>
                <w:szCs w:val="24"/>
                <w:highlight w:val="green"/>
                <w:lang w:val="en-US" w:eastAsia="zh-CN"/>
                <w14:textFill>
                  <w14:solidFill>
                    <w14:schemeClr w14:val="tx1"/>
                  </w14:solidFill>
                </w14:textFill>
              </w:rPr>
            </w:pPr>
          </w:p>
        </w:tc>
      </w:tr>
    </w:tbl>
    <w:p w14:paraId="26757828">
      <w:pPr>
        <w:pageBreakBefore w:val="0"/>
        <w:wordWrap/>
        <w:bidi w:val="0"/>
        <w:adjustRightInd w:val="0"/>
        <w:snapToGrid w:val="0"/>
        <w:rPr>
          <w:rFonts w:hint="default" w:ascii="Times New Roman" w:hAnsi="Times New Roman" w:cs="Times New Roman"/>
          <w:color w:val="000000" w:themeColor="text1"/>
          <w:spacing w:val="0"/>
          <w:sz w:val="24"/>
          <w:highlight w:val="green"/>
          <w14:textFill>
            <w14:solidFill>
              <w14:schemeClr w14:val="tx1"/>
            </w14:solidFill>
          </w14:textFill>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tbl>
      <w:tblPr>
        <w:tblStyle w:val="3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13159"/>
      </w:tblGrid>
      <w:tr w14:paraId="59D418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8" w:hRule="atLeast"/>
          <w:jc w:val="center"/>
        </w:trPr>
        <w:tc>
          <w:tcPr>
            <w:tcW w:w="179" w:type="pct"/>
            <w:noWrap w:val="0"/>
            <w:vAlign w:val="center"/>
          </w:tcPr>
          <w:p w14:paraId="68390035">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kern w:val="0"/>
                <w:sz w:val="24"/>
                <w:szCs w:val="24"/>
                <w:highlight w:val="green"/>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其他符合性分析</w:t>
            </w:r>
          </w:p>
        </w:tc>
        <w:tc>
          <w:tcPr>
            <w:tcW w:w="4820" w:type="pct"/>
            <w:noWrap w:val="0"/>
            <w:vAlign w:val="center"/>
          </w:tcPr>
          <w:p w14:paraId="4419FA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cs="Times New Roman"/>
                <w:b/>
                <w:snapToGrid w:val="0"/>
                <w:color w:val="000000" w:themeColor="text1"/>
                <w:spacing w:val="0"/>
                <w:kern w:val="0"/>
                <w:sz w:val="24"/>
                <w:highlight w:val="none"/>
                <w14:textFill>
                  <w14:solidFill>
                    <w14:schemeClr w14:val="tx1"/>
                  </w14:solidFill>
                </w14:textFill>
              </w:rPr>
            </w:pPr>
            <w:r>
              <w:rPr>
                <w:rFonts w:hint="default" w:ascii="Times New Roman" w:hAnsi="Times New Roman" w:cs="Times New Roman"/>
                <w:b/>
                <w:snapToGrid w:val="0"/>
                <w:color w:val="000000" w:themeColor="text1"/>
                <w:spacing w:val="0"/>
                <w:kern w:val="0"/>
                <w:sz w:val="24"/>
                <w:highlight w:val="none"/>
                <w14:textFill>
                  <w14:solidFill>
                    <w14:schemeClr w14:val="tx1"/>
                  </w14:solidFill>
                </w14:textFill>
              </w:rPr>
              <w:t>表1-</w:t>
            </w:r>
            <w:r>
              <w:rPr>
                <w:rFonts w:hint="default" w:ascii="Times New Roman" w:hAnsi="Times New Roman" w:cs="Times New Roman"/>
                <w:b/>
                <w:snapToGrid w:val="0"/>
                <w:color w:val="000000" w:themeColor="text1"/>
                <w:spacing w:val="0"/>
                <w:kern w:val="0"/>
                <w:sz w:val="24"/>
                <w:highlight w:val="none"/>
                <w:lang w:val="en-US" w:eastAsia="zh-CN"/>
                <w14:textFill>
                  <w14:solidFill>
                    <w14:schemeClr w14:val="tx1"/>
                  </w14:solidFill>
                </w14:textFill>
              </w:rPr>
              <w:t xml:space="preserve">4   </w:t>
            </w:r>
            <w:r>
              <w:rPr>
                <w:rFonts w:hint="default" w:ascii="Times New Roman" w:hAnsi="Times New Roman" w:cs="Times New Roman"/>
                <w:b/>
                <w:snapToGrid w:val="0"/>
                <w:color w:val="000000" w:themeColor="text1"/>
                <w:spacing w:val="0"/>
                <w:kern w:val="0"/>
                <w:sz w:val="24"/>
                <w:highlight w:val="none"/>
                <w14:textFill>
                  <w14:solidFill>
                    <w14:schemeClr w14:val="tx1"/>
                  </w14:solidFill>
                </w14:textFill>
              </w:rPr>
              <w:t xml:space="preserve"> 唐山市生态环境准入清单——全市总体准入要求</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09"/>
              <w:gridCol w:w="662"/>
              <w:gridCol w:w="8541"/>
              <w:gridCol w:w="1999"/>
              <w:gridCol w:w="634"/>
            </w:tblGrid>
            <w:tr w14:paraId="602D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shd w:val="clear" w:color="auto" w:fill="auto"/>
                  <w:noWrap w:val="0"/>
                  <w:vAlign w:val="center"/>
                </w:tcPr>
                <w:p w14:paraId="0526C9D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jc w:val="center"/>
                    <w:textAlignment w:val="auto"/>
                    <w:rPr>
                      <w:rFonts w:hint="default" w:ascii="Times New Roman" w:hAnsi="Times New Roman" w:eastAsia="宋体" w:cs="Times New Roman"/>
                      <w:color w:val="000000" w:themeColor="text1"/>
                      <w:spacing w:val="0"/>
                      <w:kern w:val="0"/>
                      <w:sz w:val="18"/>
                      <w:szCs w:val="18"/>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t>要素属性</w:t>
                  </w:r>
                </w:p>
              </w:tc>
              <w:tc>
                <w:tcPr>
                  <w:tcW w:w="414" w:type="pct"/>
                  <w:gridSpan w:val="2"/>
                  <w:shd w:val="clear" w:color="auto" w:fill="auto"/>
                  <w:noWrap w:val="0"/>
                  <w:vAlign w:val="center"/>
                </w:tcPr>
                <w:p w14:paraId="739F78CE">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jc w:val="center"/>
                    <w:textAlignment w:val="auto"/>
                    <w:rPr>
                      <w:rFonts w:hint="default" w:ascii="Times New Roman" w:hAnsi="Times New Roman" w:eastAsia="宋体" w:cs="Times New Roman"/>
                      <w:color w:val="000000" w:themeColor="text1"/>
                      <w:spacing w:val="0"/>
                      <w:kern w:val="0"/>
                      <w:sz w:val="18"/>
                      <w:szCs w:val="18"/>
                      <w:highlight w:val="none"/>
                      <w:lang w:val="en-US" w:eastAsia="en-US" w:bidi="ar-SA"/>
                      <w14:textFill>
                        <w14:solidFill>
                          <w14:schemeClr w14:val="tx1"/>
                        </w14:solidFill>
                      </w14:textFill>
                    </w:rPr>
                  </w:pPr>
                  <w:r>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t>管控类别</w:t>
                  </w:r>
                </w:p>
              </w:tc>
              <w:tc>
                <w:tcPr>
                  <w:tcW w:w="3302" w:type="pct"/>
                  <w:noWrap w:val="0"/>
                  <w:vAlign w:val="center"/>
                </w:tcPr>
                <w:p w14:paraId="1AAE1FB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要求</w:t>
                  </w:r>
                </w:p>
              </w:tc>
              <w:tc>
                <w:tcPr>
                  <w:tcW w:w="773" w:type="pct"/>
                  <w:noWrap w:val="0"/>
                  <w:vAlign w:val="center"/>
                </w:tcPr>
                <w:p w14:paraId="3066293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项目情况</w:t>
                  </w:r>
                </w:p>
              </w:tc>
              <w:tc>
                <w:tcPr>
                  <w:tcW w:w="245" w:type="pct"/>
                  <w:noWrap w:val="0"/>
                  <w:vAlign w:val="center"/>
                </w:tcPr>
                <w:p w14:paraId="11E9E0AB">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符合性</w:t>
                  </w:r>
                </w:p>
              </w:tc>
            </w:tr>
            <w:tr w14:paraId="11D4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2657B7DE">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生态保护红线区</w:t>
                  </w:r>
                </w:p>
              </w:tc>
              <w:tc>
                <w:tcPr>
                  <w:tcW w:w="158" w:type="pct"/>
                  <w:vMerge w:val="restart"/>
                  <w:shd w:val="clear" w:color="auto" w:fill="auto"/>
                  <w:noWrap w:val="0"/>
                  <w:vAlign w:val="center"/>
                </w:tcPr>
                <w:p w14:paraId="1D2CB133">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7B5EC28B">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753CDE5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生态保护红线原则上按禁止开发区域的要求进行管理。严禁不符合主体功能定位的各类开发活动，严禁任意改变用途。生态保护红线一经划定，未经批准，严禁擅自调整。根据资源环境承载能力监测、生态保护重要性评价和国土空间规划实施“五年一评估”情况，可由省级人民政府编制生态保护红线局部调整方案，纳入国土空间规划修改方案报国务院批准，并抄送生态环境部。自然保护地边界发生调整的，省级自然资源主管部门依据批准文件，对生态保护红线作相应调整，更新国土空间规划“一张图”。已依法设立的油气探矿权拟转采矿权的，按有关规定由省级自然资源主管部门会同相关部门明确开采拟占用地表或海域范围，并对生态保护红线作相应调整，更新国土空间规划“一张图”。更新后的国土空间规划“一张图”，与省级生态环境部门信息共享。</w:t>
                  </w:r>
                </w:p>
              </w:tc>
              <w:tc>
                <w:tcPr>
                  <w:tcW w:w="773" w:type="pct"/>
                  <w:vMerge w:val="restart"/>
                  <w:noWrap w:val="0"/>
                  <w:vAlign w:val="center"/>
                </w:tcPr>
                <w:p w14:paraId="0C3E301A">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本项目不涉及占用生态保护红线。</w:t>
                  </w:r>
                </w:p>
              </w:tc>
              <w:tc>
                <w:tcPr>
                  <w:tcW w:w="245" w:type="pct"/>
                  <w:noWrap w:val="0"/>
                  <w:vAlign w:val="center"/>
                </w:tcPr>
                <w:p w14:paraId="563CEFA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6468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0DC8BF9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4EFAA10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66A28DAA">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3EF34080">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both"/>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生态保护红线内自然保护地核心保护区外，禁止开发性、生产性建设活动，在符合法律法规的前提下，仅允许以下</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10</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类对生态功能不造成破坏的有限人为活动。生态保护红线内自然保护区、风景名胜区、饮用水水源保护区等区域，依照法律法规执行。</w:t>
                  </w:r>
                </w:p>
                <w:p w14:paraId="67A4054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管护巡护、保护执法、科学研究、调查监测、测绘导航、防灾减灾救灾、军事国防、疫情防控等活动及相关的必要设施修筑。</w:t>
                  </w:r>
                </w:p>
                <w:p w14:paraId="08241BB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原住居民和其他合法权益主体，允许在不扩大现有建设用地、用海用岛、耕地、水产养殖规模和放牧强度</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符合草畜平衡管理规定</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的前提下，开展种植、放牧、捕捞、养殖</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不包括投礁型海洋牧场、围海养殖</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等活动，修筑生产生活设施。</w:t>
                  </w:r>
                </w:p>
                <w:p w14:paraId="2006FED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经依法批准的考古调查发掘、古生物化石调查发掘、标本采集和文物保护活动。</w:t>
                  </w:r>
                </w:p>
                <w:p w14:paraId="4D786688">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按规定对人工商品林进行抚育采伐，或以提升森林质量、优化栖息地、建设生物防火隔离带等为目的的树种更新，依法开展的竹林采伐经营。</w:t>
                  </w:r>
                </w:p>
                <w:p w14:paraId="76C0EBCB">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5</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不破坏生态功能的适度参观旅游、科普宣教及符合相关规划的配套性服务设施和相关的必要公共设施建设及维护。</w:t>
                  </w:r>
                </w:p>
                <w:p w14:paraId="7F625DCA">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6</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必须且无法避让、符合县级以上国土空间规划的线性基础设施、通讯和防洪、供水设施建设和船舶航行、航道疏浚清淤等活动；已有的合法水利、交通运输等设施运行维护改造。</w:t>
                  </w:r>
                </w:p>
                <w:p w14:paraId="6B9C699A">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7</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地质调查与矿产资源勘查开采。</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具体开采活动，详见《自然资源部</w:t>
                  </w:r>
                  <w:r>
                    <w:rPr>
                      <w:rFonts w:hint="eastAsia"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生态环境部</w:t>
                  </w:r>
                  <w:r>
                    <w:rPr>
                      <w:rFonts w:hint="eastAsia"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国家林业和草原局关于加强生态保护红线管理的通知</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试行</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自然资发〔</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2022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142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号</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。上述勘查开采活动，应落实减缓生态环境影响措施，严格执行绿色勘查、开采及矿山环境生态修复相关要求。</w:t>
                  </w:r>
                </w:p>
                <w:p w14:paraId="63FB506B">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8</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依据县级以上国土空间规划和生态保护修复专项规划开展的生态修复。</w:t>
                  </w:r>
                </w:p>
                <w:p w14:paraId="6326EF98">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9</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根据我国相关法律法规和与邻国签署的国界管理制度协定</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条约</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开展的边界边境通视道清理以及界务工程的修建、维护和拆除工作。</w:t>
                  </w:r>
                </w:p>
                <w:p w14:paraId="564EFC7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10</w:t>
                  </w:r>
                  <w:r>
                    <w:rPr>
                      <w:rFonts w:hint="default" w:ascii="Times New Roman" w:hAnsi="Times New Roman" w:eastAsia="宋体"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法律法规规定允许的其他人为活动。</w:t>
                  </w:r>
                </w:p>
                <w:p w14:paraId="301707E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开展上述活动时禁止新增填海造地和新增围海。上述活动涉及利用无居民海岛的，原则上仅允许按照相关规定对海岛自然岸线、表面积、岛体、植被改变轻微的低影响利用方式。上述允许的有限人为活动之外，确需占用生态保护红线的国家重大项目，按照《自然资源部生态环境部国家林业和草原局关于加强生态保护红线管理的通知</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试行</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自然资发〔</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2022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142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号</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规定办理用地用海用岛审批。</w:t>
                  </w:r>
                </w:p>
              </w:tc>
              <w:tc>
                <w:tcPr>
                  <w:tcW w:w="773" w:type="pct"/>
                  <w:vMerge w:val="continue"/>
                  <w:noWrap w:val="0"/>
                  <w:vAlign w:val="center"/>
                </w:tcPr>
                <w:p w14:paraId="2676B932">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123C004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7FD3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16C2D65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自然保护区</w:t>
                  </w:r>
                </w:p>
              </w:tc>
              <w:tc>
                <w:tcPr>
                  <w:tcW w:w="158" w:type="pct"/>
                  <w:vMerge w:val="restart"/>
                  <w:shd w:val="clear" w:color="auto" w:fill="auto"/>
                  <w:noWrap w:val="0"/>
                  <w:vAlign w:val="center"/>
                </w:tcPr>
                <w:p w14:paraId="4821D2C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7B43BEC2">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66F13B4C">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、禁止在自然保护区内进行砍伐、放牧、狩猎、捕捞、采药、开垦、烧荒、开矿、采石、挖沙等活动；但是，法律、行政法规另有规定的除外。</w:t>
                  </w:r>
                </w:p>
                <w:p w14:paraId="788EC38E">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、禁止任何人进入自然保护区的核心区。因科学研究的需要，必须进入核心区从事科学研</w:t>
                  </w:r>
                </w:p>
                <w:p w14:paraId="0187891B">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both"/>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究观测、调查活动的，应当事先向自然保护区管理机构提交申请和活动计划，并经自然保护区管理机构批准；其中，进入国家级自然保护区核心区的，应当经省、自治区、直辖市人民政府有关自然保护区行政主管部门批准。</w:t>
                  </w:r>
                </w:p>
                <w:p w14:paraId="12958B0E">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w:t>
                  </w:r>
                </w:p>
                <w:p w14:paraId="3FBFEEB5">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、在自然保护区的核心区和缓冲区内，不得建设任何生产设施。</w:t>
                  </w:r>
                </w:p>
              </w:tc>
              <w:tc>
                <w:tcPr>
                  <w:tcW w:w="773" w:type="pct"/>
                  <w:vMerge w:val="restart"/>
                  <w:noWrap w:val="0"/>
                  <w:vAlign w:val="center"/>
                </w:tcPr>
                <w:p w14:paraId="5DD7DAF5">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项目不涉及自然保护区</w:t>
                  </w:r>
                </w:p>
              </w:tc>
              <w:tc>
                <w:tcPr>
                  <w:tcW w:w="245" w:type="pct"/>
                  <w:noWrap w:val="0"/>
                  <w:vAlign w:val="center"/>
                </w:tcPr>
                <w:p w14:paraId="4831D850">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1292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2A2D38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7B69338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3C6157D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125634E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自然保护区的实验区内，不得建设污染环境、破坏资源或者景观的生产设施；建设其他项目，其污染物排放不得超过国家和地方规定的污染物排放标准。在自然保护区的实验区内已经建成的设施，其污染物排放超过国家和地方规定的排放标准的，应当限期治理；造成损害的，必须采取补救措施。</w:t>
                  </w:r>
                </w:p>
                <w:p w14:paraId="4A371005">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、在自然保护区的外围保护地带建设的项目，不得损害自然保护区内的环境质量；已造成损害的，应当限期治理。</w:t>
                  </w:r>
                </w:p>
              </w:tc>
              <w:tc>
                <w:tcPr>
                  <w:tcW w:w="773" w:type="pct"/>
                  <w:vMerge w:val="continue"/>
                  <w:noWrap w:val="0"/>
                  <w:vAlign w:val="center"/>
                </w:tcPr>
                <w:p w14:paraId="10B212F2">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181F6C8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6B04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58D025C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风景名胜区</w:t>
                  </w:r>
                </w:p>
              </w:tc>
              <w:tc>
                <w:tcPr>
                  <w:tcW w:w="158" w:type="pct"/>
                  <w:vMerge w:val="restart"/>
                  <w:shd w:val="clear" w:color="auto" w:fill="auto"/>
                  <w:noWrap w:val="0"/>
                  <w:vAlign w:val="center"/>
                </w:tcPr>
                <w:p w14:paraId="3B3640C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7967EA90">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6BE4653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、在风景名胜区内禁止进行下列活动：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一</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开山、采石、开矿、开荒、修坟立碑等破坏景观、植被和地形地貌的活动；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二</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修建储存爆炸性、易燃性、放射性、毒害性、腐蚀性物品的设施；</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在景物或者设施上刻划、涂污；</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四</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乱扔垃圾；</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五</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排放、倾倒污染环境的废水、废气和废渣；</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采伐、毁坏古树名木。</w:t>
                  </w:r>
                </w:p>
                <w:p w14:paraId="54EFAD94">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、禁止违反风景名胜区规划，在风景名胜区内设立各类开发区和在核心景区内建设宾馆、招待所、培训中心、疗养院以及与风景名</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胜区</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资源保护无关的其他建筑物；已经建设的，应当按照风景名胜区规划，逐步迁出。</w:t>
                  </w:r>
                </w:p>
                <w:p w14:paraId="39633FEC">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、禁止在风景名胜区内建设畜禽养殖场、养殖小区。</w:t>
                  </w:r>
                </w:p>
              </w:tc>
              <w:tc>
                <w:tcPr>
                  <w:tcW w:w="773" w:type="pct"/>
                  <w:vMerge w:val="restart"/>
                  <w:noWrap w:val="0"/>
                  <w:vAlign w:val="center"/>
                </w:tcPr>
                <w:p w14:paraId="38E617CA">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项目不涉及风景名胜区</w:t>
                  </w:r>
                </w:p>
              </w:tc>
              <w:tc>
                <w:tcPr>
                  <w:tcW w:w="245" w:type="pct"/>
                  <w:noWrap w:val="0"/>
                  <w:vAlign w:val="center"/>
                </w:tcPr>
                <w:p w14:paraId="3B29223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4246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6909F43E">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1EEB7EC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1BD4D943">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16A5FC52">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、在风景名胜区内从事《风景名胜区条例》第二十六条、第二十七条禁止范围以外的建设活动，应当经风景名胜区管理机构审核后，依照有关</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法律法规</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的规定办理审批手续；在国家级风景名胜区内修建缆车、索道等重大建设工程，项目的选址方案应当报省、自治区人民政府建设主管部门和直辖市人民政府风景名胜区主管部门核准。</w:t>
                  </w:r>
                </w:p>
                <w:p w14:paraId="111970E6">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、在风景名胜区内新建居民住宅，应当在规划确定的居住用地范围内依法建设。规划确定需要拆除的居民住宅，不得翻建、改建、扩建。</w:t>
                  </w:r>
                </w:p>
              </w:tc>
              <w:tc>
                <w:tcPr>
                  <w:tcW w:w="773" w:type="pct"/>
                  <w:vMerge w:val="continue"/>
                  <w:noWrap w:val="0"/>
                  <w:vAlign w:val="center"/>
                </w:tcPr>
                <w:p w14:paraId="489B03A6">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0755C83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7812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09DEC6E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森林公园</w:t>
                  </w:r>
                </w:p>
              </w:tc>
              <w:tc>
                <w:tcPr>
                  <w:tcW w:w="158" w:type="pct"/>
                  <w:vMerge w:val="restart"/>
                  <w:shd w:val="clear" w:color="auto" w:fill="auto"/>
                  <w:noWrap w:val="0"/>
                  <w:vAlign w:val="center"/>
                </w:tcPr>
                <w:p w14:paraId="5373507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4C1BDF7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689DCC82">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、在国家级森林公园内开展相关活动和设施建设，不得擅自改变其自然状态和历史风貌。</w:t>
                  </w:r>
                </w:p>
                <w:p w14:paraId="0642C695">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、禁止擅自在国家级森林公园内从事采矿、房地产、开发区、高尔夫球场、风力光伏电场等不符合管控要求的开发活动。</w:t>
                  </w:r>
                </w:p>
                <w:p w14:paraId="1988548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、禁止违规侵占国家级森林公园，排放不符合水污染物排放标准的工业废水、生活污水及其</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他</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废水、污水，倾倒、堆放、丢弃、遗撒固体废物等污染生态环境的行为。</w:t>
                  </w:r>
                </w:p>
                <w:p w14:paraId="3E1DFE9B">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、除必要的保护设施和附属设施外，禁止从事与资源保护无关的任何生产建设活动。</w:t>
                  </w:r>
                </w:p>
                <w:p w14:paraId="699A34D2">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5</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、在森林公园内以及可能对森林公园造成影响的周边地区，禁止进行毁林开荒、采石、取土、开矿、放牧以及非抚育和更新性采伐等活动。</w:t>
                  </w:r>
                </w:p>
              </w:tc>
              <w:tc>
                <w:tcPr>
                  <w:tcW w:w="773" w:type="pct"/>
                  <w:vMerge w:val="restart"/>
                  <w:noWrap w:val="0"/>
                  <w:vAlign w:val="center"/>
                </w:tcPr>
                <w:p w14:paraId="3FE288BE">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项目不涉及森林公园</w:t>
                  </w:r>
                </w:p>
              </w:tc>
              <w:tc>
                <w:tcPr>
                  <w:tcW w:w="245" w:type="pct"/>
                  <w:noWrap w:val="0"/>
                  <w:vAlign w:val="center"/>
                </w:tcPr>
                <w:p w14:paraId="7598788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6834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shd w:val="clear" w:color="auto" w:fill="auto"/>
                  <w:noWrap w:val="0"/>
                  <w:vAlign w:val="center"/>
                </w:tcPr>
                <w:p w14:paraId="5B7C655A">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0"/>
                      <w:sz w:val="18"/>
                      <w:szCs w:val="18"/>
                      <w:highlight w:val="none"/>
                      <w:lang w:val="en-US" w:eastAsia="zh-CN" w:bidi="ar-SA"/>
                      <w14:textFill>
                        <w14:solidFill>
                          <w14:schemeClr w14:val="tx1"/>
                        </w14:solidFill>
                      </w14:textFill>
                    </w:rPr>
                  </w:pPr>
                </w:p>
              </w:tc>
              <w:tc>
                <w:tcPr>
                  <w:tcW w:w="158" w:type="pct"/>
                  <w:vMerge w:val="continue"/>
                  <w:shd w:val="clear" w:color="auto" w:fill="auto"/>
                  <w:noWrap w:val="0"/>
                  <w:vAlign w:val="center"/>
                </w:tcPr>
                <w:p w14:paraId="4DAECC4C">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0"/>
                      <w:sz w:val="18"/>
                      <w:szCs w:val="18"/>
                      <w:highlight w:val="none"/>
                      <w:lang w:val="en-US" w:eastAsia="zh-CN" w:bidi="ar-SA"/>
                      <w14:textFill>
                        <w14:solidFill>
                          <w14:schemeClr w14:val="tx1"/>
                        </w14:solidFill>
                      </w14:textFill>
                    </w:rPr>
                  </w:pPr>
                </w:p>
              </w:tc>
              <w:tc>
                <w:tcPr>
                  <w:tcW w:w="255" w:type="pct"/>
                  <w:shd w:val="clear" w:color="auto" w:fill="auto"/>
                  <w:noWrap w:val="0"/>
                  <w:vAlign w:val="center"/>
                </w:tcPr>
                <w:p w14:paraId="1F587AAE">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12A4D1EB">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国家级森林公园范围内除国家重大项目外，仅允许对生态功能不造成破坏的有限人为活动：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一</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自然公园内居民和其他合法权益主体依法依规开展的生产生活及设施建设。</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二</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符合自然公园保护管理要求的文化、体育活动和必要的配套设施建设。</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符合生态保护红线管控要求的其他活动和设施建设。</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四</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法律法规和国家政策允许在自然公园内开展的其他活动。国家级自然公园内开展上述规定的活动和设施建设，应当征求国家级自然公园管理单位的意见。其中，国家重大项目建设还应当征求省级以上林业和草原主管部门意见；开展</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四</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项的设施建设，自然公园规划确定的索道、滑雪场、游乐场等对生态和景观影响较大的项目建设，以及考古发掘、古生物化石发掘、航道疏浚清淤、矿产资源勘查等活动，应当征求省级林业和草原主管部门意见。</w:t>
                  </w:r>
                </w:p>
              </w:tc>
              <w:tc>
                <w:tcPr>
                  <w:tcW w:w="773" w:type="pct"/>
                  <w:vMerge w:val="continue"/>
                  <w:noWrap w:val="0"/>
                  <w:vAlign w:val="center"/>
                </w:tcPr>
                <w:p w14:paraId="0D7FB7DA">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706A3FA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1905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1B5CB26C">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湿地公园</w:t>
                  </w:r>
                </w:p>
              </w:tc>
              <w:tc>
                <w:tcPr>
                  <w:tcW w:w="158" w:type="pct"/>
                  <w:vMerge w:val="restart"/>
                  <w:shd w:val="clear" w:color="auto" w:fill="auto"/>
                  <w:noWrap w:val="0"/>
                  <w:vAlign w:val="center"/>
                </w:tcPr>
                <w:p w14:paraId="4C888AF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6635D71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7385D19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both"/>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、禁止下列破坏湿地及其生态功能的行为：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一</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开</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围</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垦、排干自然湿地，永久性截断自然湿地水源；</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二</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擅自填埋自然湿地，擅自采砂、采矿、取土；</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排放不符合水污染物排放标准的工业废水、生活污水及其他污染湿地的废水、污水，倾倒、堆放、丢弃、遗撒固体废物；</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四</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过度放牧或者滥采野生植物，过度捕捞或者灭绝式捕捞，过度施肥、投药、投放饵料等污染湿地的种植养殖行为；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五</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破坏野生动物栖息地和迁徙通道、水生动物洄游通道，捕猎野生动物；</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破坏或移动湿地界标、围栏、围网等保护设施；</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七</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其他破坏湿地及其生态功能的行为。</w:t>
                  </w:r>
                </w:p>
                <w:p w14:paraId="7D5A8918">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both"/>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任何单位和个人不得破坏鸟类和水生生物的生存环境。禁止在以水鸟为保护对象的自然保护地及其他重要栖息地从事捕鱼、挖捕底栖生物、捡拾鸟蛋、破坏鸟巢等危及水鸟生存、繁衍的活动；禁止向湿地引进和放生外来物种，确需引进的应当进行科学评估，并依法取得批准。</w:t>
                  </w:r>
                </w:p>
                <w:p w14:paraId="4953F41F">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w:t>
                  </w:r>
                  <w:r>
                    <w:rPr>
                      <w:rFonts w:hint="default" w:ascii="Times New Roman" w:hAnsi="Times New Roman" w:eastAsia="新宋体" w:cs="Times New Roman"/>
                      <w:b w:val="0"/>
                      <w:bCs w:val="0"/>
                      <w:color w:val="000000" w:themeColor="text1"/>
                      <w:spacing w:val="0"/>
                      <w:sz w:val="18"/>
                      <w:szCs w:val="18"/>
                      <w:highlight w:val="none"/>
                      <w14:textFill>
                        <w14:solidFill>
                          <w14:schemeClr w14:val="tx1"/>
                        </w14:solidFill>
                      </w14:textFill>
                    </w:rPr>
                    <w:t>除国家另有规定外，国家湿地公园内</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禁止从事房地产、度假村、高尔夫球场、风力发电、光伏发电等任何不符合主体功能定位的建设项目和开发活动。</w:t>
                  </w:r>
                </w:p>
                <w:p w14:paraId="7927C684">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、国家湿地公园应划定保育区。保育区除开展保护、监测、科学研究等必需的保护管理活动外，不得进行任何与湿地生态系统保护和管理无关的其他活动。</w:t>
                  </w:r>
                </w:p>
                <w:p w14:paraId="464CD0FE">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5</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、禁止擅自征收、占用国家湿地公园的土地。</w:t>
                  </w:r>
                </w:p>
              </w:tc>
              <w:tc>
                <w:tcPr>
                  <w:tcW w:w="773" w:type="pct"/>
                  <w:vMerge w:val="restart"/>
                  <w:noWrap w:val="0"/>
                  <w:vAlign w:val="center"/>
                </w:tcPr>
                <w:p w14:paraId="44FCB6ED">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项目不涉及湿地公园</w:t>
                  </w:r>
                </w:p>
              </w:tc>
              <w:tc>
                <w:tcPr>
                  <w:tcW w:w="245" w:type="pct"/>
                  <w:noWrap w:val="0"/>
                  <w:vAlign w:val="center"/>
                </w:tcPr>
                <w:p w14:paraId="15118D2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35E9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shd w:val="clear" w:color="auto" w:fill="auto"/>
                  <w:noWrap w:val="0"/>
                  <w:vAlign w:val="center"/>
                </w:tcPr>
                <w:p w14:paraId="0A5EC0F1">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0"/>
                      <w:sz w:val="18"/>
                      <w:szCs w:val="18"/>
                      <w:highlight w:val="none"/>
                      <w:lang w:val="en-US" w:eastAsia="zh-CN" w:bidi="ar-SA"/>
                      <w14:textFill>
                        <w14:solidFill>
                          <w14:schemeClr w14:val="tx1"/>
                        </w14:solidFill>
                      </w14:textFill>
                    </w:rPr>
                  </w:pPr>
                </w:p>
              </w:tc>
              <w:tc>
                <w:tcPr>
                  <w:tcW w:w="158" w:type="pct"/>
                  <w:vMerge w:val="continue"/>
                  <w:shd w:val="clear" w:color="auto" w:fill="auto"/>
                  <w:noWrap w:val="0"/>
                  <w:vAlign w:val="center"/>
                </w:tcPr>
                <w:p w14:paraId="25E1C075">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0"/>
                      <w:sz w:val="18"/>
                      <w:szCs w:val="18"/>
                      <w:highlight w:val="none"/>
                      <w:lang w:val="en-US" w:eastAsia="zh-CN" w:bidi="ar-SA"/>
                      <w14:textFill>
                        <w14:solidFill>
                          <w14:schemeClr w14:val="tx1"/>
                        </w14:solidFill>
                      </w14:textFill>
                    </w:rPr>
                  </w:pPr>
                </w:p>
              </w:tc>
              <w:tc>
                <w:tcPr>
                  <w:tcW w:w="255" w:type="pct"/>
                  <w:shd w:val="clear" w:color="auto" w:fill="auto"/>
                  <w:noWrap w:val="0"/>
                  <w:vAlign w:val="center"/>
                </w:tcPr>
                <w:p w14:paraId="3A8C51A3">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69C36CA2">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、确需征收、占用国家湿地公园的土地的，用地单位应当征求省级林业主管部门的意见后，方可依法办理相关手续。由省级林业主管部门报</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国家林业和草原局</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备案。</w:t>
                  </w:r>
                </w:p>
                <w:p w14:paraId="257F3401">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、建设项目应当不占或者少占湿地，经批准确需征收、占用湿地并转为其他用途的，用地单位应当按照“先补后占、占补平衡”的原则，依法办理相关手续。临时占用湿地的期限不得超过</w:t>
                  </w: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年；临时占用期限届满，占用单位应当对所占湿地限期进行生态修复。</w:t>
                  </w:r>
                </w:p>
                <w:p w14:paraId="1D83EC87">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、应当加强对滨海湿地的管理和保护，严格管控围填滨海湿地。经依法批准的项目，应当同步实施生态保护修复，减轻对滨海湿地生态功能的不利影响。</w:t>
                  </w:r>
                </w:p>
              </w:tc>
              <w:tc>
                <w:tcPr>
                  <w:tcW w:w="773" w:type="pct"/>
                  <w:vMerge w:val="continue"/>
                  <w:noWrap w:val="0"/>
                  <w:vAlign w:val="center"/>
                </w:tcPr>
                <w:p w14:paraId="66AE7E07">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1ACCA6D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75AD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44503C5C">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地质公园</w:t>
                  </w:r>
                </w:p>
              </w:tc>
              <w:tc>
                <w:tcPr>
                  <w:tcW w:w="158" w:type="pct"/>
                  <w:vMerge w:val="restart"/>
                  <w:shd w:val="clear" w:color="auto" w:fill="auto"/>
                  <w:noWrap w:val="0"/>
                  <w:vAlign w:val="center"/>
                </w:tcPr>
                <w:p w14:paraId="09E15CA8">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1D0A49B1">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2E456670">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、任何单位和个人不得在保护区内及可能对地质遗迹造成影响的一定范围内进行采石、取土、开矿、放牧、砍伐以及</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其他对</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保护对象有损害的活动。未经管理机构批准，不得在保护区范围内采集标本和化石。</w:t>
                  </w:r>
                </w:p>
                <w:p w14:paraId="0DB40008">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、不得在保护区内修建与地质遗迹保护无关的厂房或其他建筑设施；对已建成并可能对地质遗迹造成污染或破坏的设施，应限期治理或停业外迁。</w:t>
                  </w:r>
                </w:p>
                <w:p w14:paraId="3FE05216">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、除必要的保护设施和附属设施外，禁止其他生产建设活动。</w:t>
                  </w:r>
                </w:p>
              </w:tc>
              <w:tc>
                <w:tcPr>
                  <w:tcW w:w="773" w:type="pct"/>
                  <w:vMerge w:val="restart"/>
                  <w:noWrap w:val="0"/>
                  <w:vAlign w:val="center"/>
                </w:tcPr>
                <w:p w14:paraId="188320FE">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项目不涉及地质公园</w:t>
                  </w:r>
                </w:p>
              </w:tc>
              <w:tc>
                <w:tcPr>
                  <w:tcW w:w="245" w:type="pct"/>
                  <w:noWrap w:val="0"/>
                  <w:vAlign w:val="center"/>
                </w:tcPr>
                <w:p w14:paraId="57852AE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2035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1F8F084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6A1AEB0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vMerge w:val="restart"/>
                  <w:shd w:val="clear" w:color="auto" w:fill="auto"/>
                  <w:noWrap w:val="0"/>
                  <w:vAlign w:val="center"/>
                </w:tcPr>
                <w:p w14:paraId="251F3E3D">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center"/>
                    <w:textAlignment w:val="auto"/>
                    <w:rPr>
                      <w:rFonts w:hint="default" w:ascii="Times New Roman" w:hAnsi="Times New Roman" w:cs="Times New Roman"/>
                      <w:b w:val="0"/>
                      <w:bCs w:val="0"/>
                      <w:color w:val="000000" w:themeColor="text1"/>
                      <w:spacing w:val="0"/>
                      <w:sz w:val="18"/>
                      <w:szCs w:val="18"/>
                      <w:highlight w:val="none"/>
                      <w:lang w:val="en-US" w:eastAsia="en-US"/>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0ADF6938">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1、管理机构可根据地质遗迹的保护程度，批准单位或个人在保护区范围内从事科研、教学及旅游活动。</w:t>
                  </w:r>
                </w:p>
              </w:tc>
              <w:tc>
                <w:tcPr>
                  <w:tcW w:w="773" w:type="pct"/>
                  <w:vMerge w:val="continue"/>
                  <w:noWrap w:val="0"/>
                  <w:vAlign w:val="center"/>
                </w:tcPr>
                <w:p w14:paraId="2DF27F56">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vMerge w:val="restart"/>
                  <w:noWrap w:val="0"/>
                  <w:vAlign w:val="center"/>
                </w:tcPr>
                <w:p w14:paraId="03B8787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01C8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4EEE777E">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1C3E4E6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vMerge w:val="continue"/>
                  <w:noWrap w:val="0"/>
                  <w:vAlign w:val="center"/>
                </w:tcPr>
                <w:p w14:paraId="6FDE5C22">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center"/>
                    <w:textAlignment w:val="auto"/>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pPr>
                </w:p>
              </w:tc>
              <w:tc>
                <w:tcPr>
                  <w:tcW w:w="3302" w:type="pct"/>
                  <w:shd w:val="clear" w:color="auto" w:fill="auto"/>
                  <w:noWrap w:val="0"/>
                  <w:vAlign w:val="top"/>
                </w:tcPr>
                <w:p w14:paraId="26068DB9">
                  <w:pPr>
                    <w:pStyle w:val="9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14:textFill>
                        <w14:solidFill>
                          <w14:schemeClr w14:val="tx1"/>
                        </w14:solidFill>
                      </w14:textFill>
                    </w:rPr>
                    <w:t>2、在可能对地质遗迹造成影响的范围内，限制建设石油加工、化学原料及化学品制造、水泥、黑色及有色金属冶炼、非金属矿物制品等大气污染严重的项目。</w:t>
                  </w:r>
                </w:p>
              </w:tc>
              <w:tc>
                <w:tcPr>
                  <w:tcW w:w="773" w:type="pct"/>
                  <w:vMerge w:val="continue"/>
                  <w:noWrap w:val="0"/>
                  <w:vAlign w:val="center"/>
                </w:tcPr>
                <w:p w14:paraId="7062E21A">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vMerge w:val="continue"/>
                  <w:noWrap w:val="0"/>
                  <w:vAlign w:val="center"/>
                </w:tcPr>
                <w:p w14:paraId="3704BC2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r>
            <w:tr w14:paraId="48EF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4ACCFA0A">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水产种质资源保护区</w:t>
                  </w:r>
                </w:p>
              </w:tc>
              <w:tc>
                <w:tcPr>
                  <w:tcW w:w="158" w:type="pct"/>
                  <w:vMerge w:val="restart"/>
                  <w:shd w:val="clear" w:color="auto" w:fill="auto"/>
                  <w:noWrap w:val="0"/>
                  <w:vAlign w:val="center"/>
                </w:tcPr>
                <w:p w14:paraId="716D172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0C9B3DD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19C28FE3">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应当分别针对国家级和省级水产种质资源保护区主要保护对象的繁殖期、幼体生长期等生长繁育关键阶段设定特别保护期。特别保护期内不得从事捕捞、爆破作业以及其他可能对保护区生物资源和生态环境造成损害的活动。</w:t>
                  </w:r>
                </w:p>
                <w:p w14:paraId="555B2D2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2、禁止在水产种质资源保护区内从事围湖造田、围海造地或围填海工程。</w:t>
                  </w:r>
                </w:p>
                <w:p w14:paraId="34EF5E02">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3、禁止在水产种质资源保护区内新建排污口；在水产种质资源保护区附近新建、改建、扩建排污口，应当保证保护区水体不受污染。</w:t>
                  </w:r>
                </w:p>
              </w:tc>
              <w:tc>
                <w:tcPr>
                  <w:tcW w:w="773" w:type="pct"/>
                  <w:vMerge w:val="restart"/>
                  <w:noWrap w:val="0"/>
                  <w:vAlign w:val="center"/>
                </w:tcPr>
                <w:p w14:paraId="3BC279C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t>项目不涉及</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水产种质资源保护区</w:t>
                  </w:r>
                </w:p>
              </w:tc>
              <w:tc>
                <w:tcPr>
                  <w:tcW w:w="245" w:type="pct"/>
                  <w:noWrap w:val="0"/>
                  <w:vAlign w:val="center"/>
                </w:tcPr>
                <w:p w14:paraId="63D3BBB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3D85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51992E4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0439DBEC">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79AF73D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579F2EA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1、国家级和省级水产种质资源保护区特别保护期外从事捕捞活动的，应当按照《</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中华人民共和国渔业法</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》及有关法律法规规定执行。</w:t>
                  </w:r>
                </w:p>
                <w:p w14:paraId="2292A1E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在水产种质资源保护区内从事修建水利工程、疏浚航道、建闸筑坝、勘探和开采矿产资源、港口建设等工程建设的，或者在水产种质资源保护区外从事可能损害保护区功能的工程建设活动的，应当按照国家有关规定编制建设项目对水产种质资源保护区的影响专题论证报告，并将其纳入环境影响评价报告书。</w:t>
                  </w:r>
                </w:p>
                <w:p w14:paraId="65BBD59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3、未经国务院渔业行政主管部门批准，任何单位或者个人不得在水产种质资源保护区内从事捕捞活动。</w:t>
                  </w:r>
                </w:p>
              </w:tc>
              <w:tc>
                <w:tcPr>
                  <w:tcW w:w="773" w:type="pct"/>
                  <w:vMerge w:val="continue"/>
                  <w:noWrap w:val="0"/>
                  <w:vAlign w:val="center"/>
                </w:tcPr>
                <w:p w14:paraId="668BC858">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19A8AC1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13A2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566B8B5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自然文化遗产</w:t>
                  </w:r>
                </w:p>
              </w:tc>
              <w:tc>
                <w:tcPr>
                  <w:tcW w:w="158" w:type="pct"/>
                  <w:vMerge w:val="restart"/>
                  <w:shd w:val="clear" w:color="auto" w:fill="auto"/>
                  <w:noWrap w:val="0"/>
                  <w:vAlign w:val="center"/>
                </w:tcPr>
                <w:p w14:paraId="6DE1504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3CD12A2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05C5727C">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在建设控制地带内，不得建设有污染的工厂和高层建筑物或者构筑物；修建建筑物或者构筑物时，其形式、高度、色调等应当与文物保护单位周围环境气氛相协调，不得破坏文物保护单位的环境风貌。</w:t>
                  </w:r>
                </w:p>
              </w:tc>
              <w:tc>
                <w:tcPr>
                  <w:tcW w:w="773" w:type="pct"/>
                  <w:vMerge w:val="restart"/>
                  <w:noWrap w:val="0"/>
                  <w:vAlign w:val="center"/>
                </w:tcPr>
                <w:p w14:paraId="384B0138">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项目不涉及自然文化遗产</w:t>
                  </w:r>
                </w:p>
              </w:tc>
              <w:tc>
                <w:tcPr>
                  <w:tcW w:w="245" w:type="pct"/>
                  <w:noWrap w:val="0"/>
                  <w:vAlign w:val="center"/>
                </w:tcPr>
                <w:p w14:paraId="33032EB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79D9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5BF02268">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58266344">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123ED18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6FF3CC38">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文物保护单位的保护范围内不得进行其他建设工程或者爆破、钻探、挖掘等作业。因特殊情况需要在文物保护单位的保护范围内进行其他建设工程或者爆破、钻探、挖掘等作业的，必须保证文物保护单位的安全，并经核定公布该文物保护单位的人民政府批准，在批准前应当征得上一级人民政府文物行政部门同意。</w:t>
                  </w:r>
                </w:p>
              </w:tc>
              <w:tc>
                <w:tcPr>
                  <w:tcW w:w="773" w:type="pct"/>
                  <w:vMerge w:val="continue"/>
                  <w:noWrap w:val="0"/>
                  <w:vAlign w:val="center"/>
                </w:tcPr>
                <w:p w14:paraId="56DBEE65">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5F9BA77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2E6E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1F68B21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firstLine="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湿地空间</w:t>
                  </w:r>
                </w:p>
              </w:tc>
              <w:tc>
                <w:tcPr>
                  <w:tcW w:w="158" w:type="pct"/>
                  <w:vMerge w:val="restart"/>
                  <w:shd w:val="clear" w:color="auto" w:fill="auto"/>
                  <w:noWrap w:val="0"/>
                  <w:vAlign w:val="center"/>
                </w:tcPr>
                <w:p w14:paraId="751B9B9D">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4B9E43D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4EA0BB5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1、禁止下列破坏湿地及其生态功能的行为：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一</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开</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围</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垦、排干自然湿地，永久性截断自然湿地水源；</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二</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擅自填埋自然湿地，擅自采砂、采矿、取土；</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排放不符合水污染物排放标准的工业废水、生活污水及其他污染湿地的废水、污水，倾倒、堆放、丢弃、遗撒固体废物；</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四</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过度放牧或者滥采野生植物，过度捕捞或者灭绝式捕捞，过度施肥、投药、投放饵料等污染湿地的种植养殖行为；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五</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破坏野生动物栖息地和迁徙通道、水生动物洄游通道，捕猎野生动物；</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破坏或移动湿地界标、围栏、围网等保护设施；</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七</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其他破坏湿地及其生态功能的行为。</w:t>
                  </w:r>
                </w:p>
                <w:p w14:paraId="3CAEF07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任何单位和个人不得破坏鸟类和水生生物的生存环境。禁止在以水鸟为保护对象的自然保护地及其他重要栖息地从事捕鱼、挖捕底栖生物、捡拾鸟蛋、破坏鸟巢等危及水鸟生存、繁衍的活动；禁止向湿地引进和放生外来物种，确需引进的应当进行科学评估，并依法取得批准。</w:t>
                  </w:r>
                </w:p>
              </w:tc>
              <w:tc>
                <w:tcPr>
                  <w:tcW w:w="773" w:type="pct"/>
                  <w:vMerge w:val="restart"/>
                  <w:noWrap w:val="0"/>
                  <w:vAlign w:val="center"/>
                </w:tcPr>
                <w:p w14:paraId="55ED17D5">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项目不涉及湿地空间</w:t>
                  </w:r>
                </w:p>
              </w:tc>
              <w:tc>
                <w:tcPr>
                  <w:tcW w:w="245" w:type="pct"/>
                  <w:noWrap w:val="0"/>
                  <w:vAlign w:val="center"/>
                </w:tcPr>
                <w:p w14:paraId="64ADAB0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6751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003EFF21">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743A8B0F">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5C5E9C8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17AFCF08">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任何单位和个人不得擅自占用湿地或者改变湿地用途。确需占用或者征收湿地的，应当按照有关</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法律法规</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的规定办理相应手续。</w:t>
                  </w:r>
                </w:p>
              </w:tc>
              <w:tc>
                <w:tcPr>
                  <w:tcW w:w="773" w:type="pct"/>
                  <w:vMerge w:val="continue"/>
                  <w:noWrap w:val="0"/>
                  <w:vAlign w:val="center"/>
                </w:tcPr>
                <w:p w14:paraId="3E272614">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05FC5C1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1EDF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633DB95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地表水饮用水水源保护区</w:t>
                  </w:r>
                </w:p>
              </w:tc>
              <w:tc>
                <w:tcPr>
                  <w:tcW w:w="158" w:type="pct"/>
                  <w:vMerge w:val="restart"/>
                  <w:shd w:val="clear" w:color="auto" w:fill="auto"/>
                  <w:noWrap w:val="0"/>
                  <w:vAlign w:val="center"/>
                </w:tcPr>
                <w:p w14:paraId="61947708">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3E5312A0">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4BDB65C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1、准保护区内，应遵守下列规定：</w:t>
                  </w:r>
                </w:p>
                <w:p w14:paraId="7A9B379A">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禁止新建、扩建对水体污染严重的建设项目；改建建设项目不得增加排污量；</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禁止直接或者间接排入不符合国家和地方规定标准的废水、污水；</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禁止使用剧毒、高毒、高残留农药；</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禁止设置易溶性、有毒有害废弃物和危险废物的暂存和转运场所，禁止设置生活垃圾和工业固体废物的处置场所，生活垃圾转运站和工业固体废物暂存场所应当设置防护设施。</w:t>
                  </w:r>
                </w:p>
                <w:p w14:paraId="4236756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2、二级保护区内，除应遵守准保护区规定外，还应遵守下列规定：</w:t>
                  </w:r>
                </w:p>
                <w:p w14:paraId="5540B95E">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禁止设置排污口；</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禁止新建、改建、扩建排放污染物的建设项目，已建成的由县级以上人民政府责令拆除或者关闭；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禁止从事网箱养殖等可能污染饮用水水体的活动；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禁止建设规模化畜禽养殖场、养殖小区；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5</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禁止从事经营性取土和采石、采砂等活动；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6</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禁止建设工业固体废物、危险废物集中贮存、利用、处置的设施、场所以及生活垃圾填埋场；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7</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禁止铺设输送有毒有害物品的管道，铺设生活污水、油类输送管道及贮存设施应当采取防护措施；</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8</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严禁使用农药，禁止丢弃农药、农药包装物或者在河道内清洗施药器械；</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9</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法律法规</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规定的其他禁止行为。</w:t>
                  </w:r>
                </w:p>
                <w:p w14:paraId="4D2DE03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3、一级保护区内，除应遵守二级保护区和准保护区规定外，还应遵守下列规定：</w:t>
                  </w:r>
                </w:p>
                <w:p w14:paraId="7D101BE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禁止组织旅游、野炊、露营、非法捕捞、游泳、垂钓或者其他可能污染水体的活动；</w:t>
                  </w:r>
                </w:p>
                <w:p w14:paraId="0836A3A3">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禁止造田、养殖、放牧；</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禁止在水体清洗机动车辆；</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禁止在水库库区倾倒垃圾或者排放含油污水、生活污水；</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5</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禁止与供水设施和保护水源无关的车辆、船舶行驶、停靠、</w:t>
                  </w:r>
                </w:p>
                <w:p w14:paraId="24A28612">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装卸。</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6</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禁止新建、改建、扩建与供水设施和保护水源无关的建设项目，已建成的由县级以上人民政府责令拆除或者关闭；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7</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禁止铺设输送污水的管道及输油管道；</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8</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禁止其他可能污染饮用水水体的行为。</w:t>
                  </w:r>
                </w:p>
              </w:tc>
              <w:tc>
                <w:tcPr>
                  <w:tcW w:w="773" w:type="pct"/>
                  <w:vMerge w:val="restart"/>
                  <w:noWrap w:val="0"/>
                  <w:vAlign w:val="center"/>
                </w:tcPr>
                <w:p w14:paraId="7D9848A5">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t>项目不涉及占用</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地表水饮用水水源保护区</w:t>
                  </w:r>
                </w:p>
              </w:tc>
              <w:tc>
                <w:tcPr>
                  <w:tcW w:w="245" w:type="pct"/>
                  <w:noWrap w:val="0"/>
                  <w:vAlign w:val="center"/>
                </w:tcPr>
                <w:p w14:paraId="050E4270">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6E69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DB9D1BC">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579C2A9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4274839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586B05F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1、准保护区</w:t>
                  </w:r>
                </w:p>
                <w:p w14:paraId="304D8123">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排放总量不能保证准保护区内水质符合规定的标准时，所在地人民政府应当组织排污单位削减排污总量。</w:t>
                  </w:r>
                </w:p>
                <w:p w14:paraId="7C3D57E4">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2、二级保护区</w:t>
                  </w:r>
                </w:p>
                <w:p w14:paraId="0C41D20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在二级保护区内从事旅游等活动的，应当按照规定采取措施，防止污染水体。</w:t>
                  </w:r>
                </w:p>
                <w:p w14:paraId="4A78439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3、一级保护区</w:t>
                  </w:r>
                </w:p>
                <w:p w14:paraId="38C75B4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对一级保护区内的居民，市、县级人民政府应当根据集中式饮用水水源地保护需要，有计划地实施搬迁，妥善安置，并依法给予补偿。保护区划定前已有的农业种植和经济林，应当严格控制化肥、农药等非点源污染，并逐步退出。</w:t>
                  </w:r>
                </w:p>
              </w:tc>
              <w:tc>
                <w:tcPr>
                  <w:tcW w:w="773" w:type="pct"/>
                  <w:vMerge w:val="continue"/>
                  <w:noWrap w:val="0"/>
                  <w:vAlign w:val="center"/>
                </w:tcPr>
                <w:p w14:paraId="23975EE4">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75D49BD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0A34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shd w:val="clear" w:color="auto" w:fill="auto"/>
                  <w:noWrap w:val="0"/>
                  <w:vAlign w:val="center"/>
                </w:tcPr>
                <w:p w14:paraId="49A072B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地下水饮用水水源保护区</w:t>
                  </w:r>
                </w:p>
              </w:tc>
              <w:tc>
                <w:tcPr>
                  <w:tcW w:w="158" w:type="pct"/>
                  <w:vMerge w:val="restart"/>
                  <w:shd w:val="clear" w:color="auto" w:fill="auto"/>
                  <w:noWrap w:val="0"/>
                  <w:vAlign w:val="center"/>
                </w:tcPr>
                <w:p w14:paraId="251DDBDA">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空间布局约束</w:t>
                  </w:r>
                </w:p>
              </w:tc>
              <w:tc>
                <w:tcPr>
                  <w:tcW w:w="255" w:type="pct"/>
                  <w:shd w:val="clear" w:color="auto" w:fill="auto"/>
                  <w:noWrap w:val="0"/>
                  <w:vAlign w:val="center"/>
                </w:tcPr>
                <w:p w14:paraId="7A8E3274">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禁止类管控要求</w:t>
                  </w:r>
                </w:p>
              </w:tc>
              <w:tc>
                <w:tcPr>
                  <w:tcW w:w="3302" w:type="pct"/>
                  <w:shd w:val="clear" w:color="auto" w:fill="auto"/>
                  <w:noWrap w:val="0"/>
                  <w:vAlign w:val="top"/>
                </w:tcPr>
                <w:p w14:paraId="28ED4B43">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1、饮用水地下水源各级保护区及准保护区内均必须遵守下列规定：</w:t>
                  </w:r>
                </w:p>
                <w:p w14:paraId="153F7B83">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禁止利用渗坑、渗井、裂隙等排放污水和</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其他有害</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废弃物；</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禁止利用渗坑、渗井、裂隙及废弃矿坑储存石油、天然气、放射性物质、有毒有害化工原料、农药等；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禁止使用不符合农田灌溉水质标准的水进行灌溉；</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实行人工回灌地下水时不得污染地下水源。</w:t>
                  </w:r>
                </w:p>
                <w:p w14:paraId="36D1DF9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2、准保护区内，应遵守下列规定：</w:t>
                  </w:r>
                </w:p>
                <w:p w14:paraId="401A07B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禁止新建、扩建对水体污染严重的建设项目；改建建设项目，不得增加排污量；</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禁止直接或者间接排入不符合国家和地方规定标准的废水、污水；</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禁止使用剧毒、高毒、高残留农药；</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禁止设置易溶性、有毒有害废弃物和危险废物的暂存和转运场所，禁止设置生活垃圾和工业固体废物的处置场所，生活垃圾转运站和工业固体废物暂存场所应当设置防护设施。</w:t>
                  </w:r>
                </w:p>
                <w:p w14:paraId="5778A84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3、二级保护区内，除应遵守准保护区规定外，还应遵守下列规定：</w:t>
                  </w:r>
                </w:p>
                <w:p w14:paraId="67774A9D">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禁止设置排污口；</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禁止新建、改建、扩建排放污染物的建设项目，已建成的由县级以上人民政府责令拆除或者关闭；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禁止从事网箱养殖等可能污染饮用水水体的活动；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禁止建设规模化畜禽养殖场、养殖小区；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5</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禁止从事经营性取土和采石、采砂等活动；</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6</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禁止建设工业固体废物、危险废物集中贮存、利用、处置的设施、场所以及生活垃圾填埋场；</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7</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禁止铺设输送有毒有害物品的管道，铺设生活污水、油类输送管道及贮存设施应当采取防护措施；</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8</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严禁使用农药，禁止丢弃农药、农药包装物或者在河道内清洗施药器械；</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9</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eastAsia" w:ascii="Times New Roman" w:hAnsi="Times New Roman" w:cs="Times New Roman"/>
                      <w:b w:val="0"/>
                      <w:bCs w:val="0"/>
                      <w:color w:val="000000" w:themeColor="text1"/>
                      <w:spacing w:val="0"/>
                      <w:sz w:val="18"/>
                      <w:szCs w:val="18"/>
                      <w:highlight w:val="none"/>
                      <w:lang w:eastAsia="zh-CN"/>
                      <w14:textFill>
                        <w14:solidFill>
                          <w14:schemeClr w14:val="tx1"/>
                        </w14:solidFill>
                      </w14:textFill>
                    </w:rPr>
                    <w:t>法律法规</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规定的其他禁止行为。</w:t>
                  </w:r>
                </w:p>
                <w:p w14:paraId="05EE5270">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4、一级保护区内，除应遵守二级保护区和准保护区规定外，还应遵守下列规定：</w:t>
                  </w:r>
                </w:p>
                <w:p w14:paraId="43180DE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禁止新建、改建、扩建与供水设施和保护水源无关的建设项目，已建成的由县级以上人民政府责令拆除或者关闭；</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禁止铺设输送污水的管道及输油管道；</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禁止其他可能污染饮用水水体的行为。</w:t>
                  </w:r>
                </w:p>
              </w:tc>
              <w:tc>
                <w:tcPr>
                  <w:tcW w:w="773" w:type="pct"/>
                  <w:vMerge w:val="restart"/>
                  <w:noWrap w:val="0"/>
                  <w:vAlign w:val="center"/>
                </w:tcPr>
                <w:p w14:paraId="5961B365">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lang w:val="en-US"/>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val="en-US" w:eastAsia="zh-CN"/>
                      <w14:textFill>
                        <w14:solidFill>
                          <w14:schemeClr w14:val="tx1"/>
                        </w14:solidFill>
                      </w14:textFill>
                    </w:rPr>
                    <w:t>项目不涉及占用</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地</w:t>
                  </w:r>
                  <w:r>
                    <w:rPr>
                      <w:rFonts w:hint="default" w:ascii="Times New Roman" w:hAnsi="Times New Roman" w:eastAsia="宋体" w:cs="Times New Roman"/>
                      <w:b w:val="0"/>
                      <w:bCs w:val="0"/>
                      <w:color w:val="000000" w:themeColor="text1"/>
                      <w:spacing w:val="0"/>
                      <w:sz w:val="18"/>
                      <w:szCs w:val="18"/>
                      <w:highlight w:val="none"/>
                      <w:lang w:val="en-US" w:eastAsia="zh-CN"/>
                      <w14:textFill>
                        <w14:solidFill>
                          <w14:schemeClr w14:val="tx1"/>
                        </w14:solidFill>
                      </w14:textFill>
                    </w:rPr>
                    <w:t>下</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水饮用水水源保护区</w:t>
                  </w:r>
                </w:p>
              </w:tc>
              <w:tc>
                <w:tcPr>
                  <w:tcW w:w="245" w:type="pct"/>
                  <w:noWrap w:val="0"/>
                  <w:vAlign w:val="center"/>
                </w:tcPr>
                <w:p w14:paraId="3F29770B">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46A2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D701AC7">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068E2E0E">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p>
              </w:tc>
              <w:tc>
                <w:tcPr>
                  <w:tcW w:w="255" w:type="pct"/>
                  <w:shd w:val="clear" w:color="auto" w:fill="auto"/>
                  <w:noWrap w:val="0"/>
                  <w:vAlign w:val="center"/>
                </w:tcPr>
                <w:p w14:paraId="4A9EF748">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限制类管控要求</w:t>
                  </w:r>
                </w:p>
              </w:tc>
              <w:tc>
                <w:tcPr>
                  <w:tcW w:w="3302" w:type="pct"/>
                  <w:shd w:val="clear" w:color="auto" w:fill="auto"/>
                  <w:noWrap w:val="0"/>
                  <w:vAlign w:val="top"/>
                </w:tcPr>
                <w:p w14:paraId="697D13ED">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1、准保护区</w:t>
                  </w:r>
                </w:p>
                <w:p w14:paraId="3EB91C1E">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1</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排放总量不能保证准保护区内水质符合规定的标准时，所在地人民政府应当组织排污单位削减排污总量。</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w:t>
                  </w:r>
                  <w:r>
                    <w:rPr>
                      <w:rFonts w:hint="default" w:ascii="Times New Roman" w:hAnsi="Times New Roman" w:cs="Times New Roman"/>
                      <w:b w:val="0"/>
                      <w:bCs w:val="0"/>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在地下水饮用水水源准保护区内从事地下勘探、兴建地下工程设施等活动的，应当采取防护性措施，防止破坏和污染地下水。</w:t>
                  </w:r>
                </w:p>
                <w:p w14:paraId="12B6AF53">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2、二级保护区</w:t>
                  </w:r>
                </w:p>
                <w:p w14:paraId="5C7188A8">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在二级保护区内从事旅游等活动的，应当按照规定采取措施，防止污染水体。</w:t>
                  </w:r>
                </w:p>
                <w:p w14:paraId="7916CB6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textAlignment w:val="auto"/>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3、一级保护区</w:t>
                  </w:r>
                </w:p>
                <w:p w14:paraId="4F41D15A">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eastAsia="宋体" w:cs="Times New Roman"/>
                      <w:b w:val="0"/>
                      <w:bCs w:val="0"/>
                      <w:color w:val="000000" w:themeColor="text1"/>
                      <w:spacing w:val="0"/>
                      <w:kern w:val="2"/>
                      <w:sz w:val="18"/>
                      <w:szCs w:val="18"/>
                      <w:highlight w:val="none"/>
                      <w:lang w:val="en-US" w:eastAsia="en-US" w:bidi="ar-SA"/>
                      <w14:textFill>
                        <w14:solidFill>
                          <w14:schemeClr w14:val="tx1"/>
                        </w14:solidFill>
                      </w14:textFill>
                    </w:rPr>
                  </w:pPr>
                  <w:r>
                    <w:rPr>
                      <w:rFonts w:hint="default" w:ascii="Times New Roman" w:hAnsi="Times New Roman" w:eastAsia="宋体" w:cs="Times New Roman"/>
                      <w:b w:val="0"/>
                      <w:bCs w:val="0"/>
                      <w:color w:val="000000" w:themeColor="text1"/>
                      <w:spacing w:val="0"/>
                      <w:sz w:val="18"/>
                      <w:szCs w:val="18"/>
                      <w:highlight w:val="none"/>
                      <w14:textFill>
                        <w14:solidFill>
                          <w14:schemeClr w14:val="tx1"/>
                        </w14:solidFill>
                      </w14:textFill>
                    </w:rPr>
                    <w:t>对一级保护区内的居民，市、县级人民政府应当根据集中式饮用水水源地保护需要，有计划地实施搬迁，妥善安置，并依法给予补偿。保护区划定前已有的农业种植和经济林，应当严格控制化肥、农药等非点源污染，并逐步退出。</w:t>
                  </w:r>
                </w:p>
              </w:tc>
              <w:tc>
                <w:tcPr>
                  <w:tcW w:w="773" w:type="pct"/>
                  <w:vMerge w:val="continue"/>
                  <w:noWrap w:val="0"/>
                  <w:vAlign w:val="center"/>
                </w:tcPr>
                <w:p w14:paraId="5FF9F430">
                  <w:pPr>
                    <w:pStyle w:val="56"/>
                    <w:keepNext w:val="0"/>
                    <w:keepLines w:val="0"/>
                    <w:pageBreakBefore w:val="0"/>
                    <w:numPr>
                      <w:ilvl w:val="0"/>
                      <w:numId w:val="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noWrap w:val="0"/>
                  <w:vAlign w:val="center"/>
                </w:tcPr>
                <w:p w14:paraId="6DD8B4AE">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符合</w:t>
                  </w:r>
                </w:p>
              </w:tc>
            </w:tr>
            <w:tr w14:paraId="7EEF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shd w:val="clear" w:color="auto" w:fill="auto"/>
                  <w:noWrap w:val="0"/>
                  <w:vAlign w:val="center"/>
                </w:tcPr>
                <w:p w14:paraId="6D59AC1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一般生态空间</w:t>
                  </w:r>
                </w:p>
              </w:tc>
              <w:tc>
                <w:tcPr>
                  <w:tcW w:w="158" w:type="pct"/>
                  <w:shd w:val="clear" w:color="auto" w:fill="auto"/>
                  <w:noWrap w:val="0"/>
                  <w:vAlign w:val="center"/>
                </w:tcPr>
                <w:p w14:paraId="4C9E890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总体要求</w:t>
                  </w:r>
                </w:p>
              </w:tc>
              <w:tc>
                <w:tcPr>
                  <w:tcW w:w="255" w:type="pct"/>
                  <w:shd w:val="clear" w:color="auto" w:fill="auto"/>
                  <w:noWrap w:val="0"/>
                  <w:vAlign w:val="center"/>
                </w:tcPr>
                <w:p w14:paraId="429890C4">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空间布局约束</w:t>
                  </w:r>
                </w:p>
              </w:tc>
              <w:tc>
                <w:tcPr>
                  <w:tcW w:w="3302" w:type="pct"/>
                  <w:shd w:val="clear" w:color="auto" w:fill="auto"/>
                  <w:noWrap w:val="0"/>
                  <w:vAlign w:val="top"/>
                </w:tcPr>
                <w:p w14:paraId="7C68BAB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根据生态功能保护区的资源禀赋、环境容量，合理确定区域产业发展方向，限制高污染、高能耗、高物耗产业的发展。要依法淘汰严重污染环境、严重破坏区域生态、严重浪费资源能源的产业，要依法关闭破坏资源、污染环境和损害生态系统功能的企业。</w:t>
                  </w:r>
                </w:p>
                <w:p w14:paraId="3FC3A3B3">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应当按照限制性开发区域管理，限制进行大规模高强度工业化城镇化开发，以保持并提高生态产品供给能力。形成点状开发、面上保护的空间结构。开发强度得到有效控制，保有大片开敞生态空间，水面、湿地、林地、草地等绿色生态空间扩大，人类活动水平的空间控制在目前水平。</w:t>
                  </w:r>
                </w:p>
                <w:p w14:paraId="7F5FAB43">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、区域内要严格开发区管理，原则上不再新建各类开发区和扩大现有工业开发区的面积，已有的工业开发区要逐步改造成低消耗、可循环、少排放、“零污染”的生态型工业区。</w:t>
                  </w:r>
                </w:p>
                <w:p w14:paraId="7BA7B604">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、严格控制矿产资源开发。禁止在生态保护红线内、永久基本农田、城镇开发边界内、自然保护区、风景名胜区、饮用水水源保护区、地质遗迹保护区、文物保护单位的保护范围内和铁路</w:t>
                  </w:r>
                  <w:r>
                    <w:rPr>
                      <w:rFonts w:hint="eastAsia" w:ascii="Times New Roman" w:hAnsi="Times New Roman" w:cs="Times New Roman"/>
                      <w:color w:val="000000" w:themeColor="text1"/>
                      <w:spacing w:val="0"/>
                      <w:sz w:val="18"/>
                      <w:szCs w:val="18"/>
                      <w:highlight w:val="none"/>
                      <w:lang w:eastAsia="zh-CN"/>
                      <w14:textFill>
                        <w14:solidFill>
                          <w14:schemeClr w14:val="tx1"/>
                        </w14:solidFill>
                      </w14:textFill>
                    </w:rPr>
                    <w:t>、高速公路、国道</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两侧各</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米范围内新批固体矿产资源开发项目，严格控制新批液体、气体矿产资源开发项目。</w:t>
                  </w:r>
                </w:p>
                <w:p w14:paraId="71744C47">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、新建非煤矿山，应当按照绿色矿山建设规范建设。已有非煤矿山，应当按照绿色矿山建设规范升级改造，逐步达到绿色矿山建设标准。</w:t>
                  </w:r>
                </w:p>
                <w:p w14:paraId="7CAABD7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控制新增建设占用生态保护红线外的生态空间。符合区域准入条件的建设项目，涉及占用生态空间中的林地、草原等，按有关法律法规规定办理；涉及占用生态空间中其他未作明确规定的用地，应当加强论证和管理。</w:t>
                  </w:r>
                </w:p>
                <w:p w14:paraId="70DCA2C0">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leftChars="0" w:right="0" w:rightChars="0"/>
                    <w:textAlignment w:val="auto"/>
                    <w:rPr>
                      <w:rFonts w:hint="default" w:ascii="Times New Roman" w:hAnsi="Times New Roman" w:eastAsia="宋体" w:cs="Times New Roman"/>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7</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限制农业开发占用生态保护红线外的生态空间，符合条件的农业开发项目，须依法由市县级及以上地方人民政府统筹安排。生态保护红线外的耕地，除符合国家生态退耕条件，并纳入国家生态退耕总体安排，或因国家重大生态工程建设需要外，不得随意转用。</w:t>
                  </w:r>
                </w:p>
              </w:tc>
              <w:tc>
                <w:tcPr>
                  <w:tcW w:w="773" w:type="pct"/>
                  <w:shd w:val="clear" w:color="auto" w:fill="auto"/>
                  <w:noWrap w:val="0"/>
                  <w:vAlign w:val="center"/>
                </w:tcPr>
                <w:p w14:paraId="748A0AC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1、项目不属于高污染高耗能、高物耗企业；</w:t>
                  </w:r>
                </w:p>
                <w:p w14:paraId="60B7585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2、3、本项目位于</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河北迁安经济开发区</w:t>
                  </w:r>
                  <w:r>
                    <w:rPr>
                      <w:rFonts w:hint="default" w:ascii="Times New Roman" w:hAnsi="Times New Roman" w:cs="Times New Roman"/>
                      <w:color w:val="000000" w:themeColor="text1"/>
                      <w:spacing w:val="0"/>
                      <w:sz w:val="18"/>
                      <w:szCs w:val="18"/>
                      <w:highlight w:val="none"/>
                      <w14:textFill>
                        <w14:solidFill>
                          <w14:schemeClr w14:val="tx1"/>
                        </w14:solidFill>
                      </w14:textFill>
                    </w:rPr>
                    <w:t>，不涉及高强度工业化城镇开发；</w:t>
                  </w:r>
                </w:p>
                <w:p w14:paraId="5BCFDA8A">
                  <w:pPr>
                    <w:pStyle w:val="56"/>
                    <w:keepNext w:val="0"/>
                    <w:keepLines w:val="0"/>
                    <w:pageBreakBefore w:val="0"/>
                    <w:numPr>
                      <w:ilvl w:val="0"/>
                      <w:numId w:val="10"/>
                    </w:numPr>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本项目不涉及矿产资源开发；</w:t>
                  </w:r>
                </w:p>
                <w:p w14:paraId="3532D956">
                  <w:pPr>
                    <w:keepNext w:val="0"/>
                    <w:keepLines w:val="0"/>
                    <w:pageBreakBefore w:val="0"/>
                    <w:numPr>
                      <w:ilvl w:val="0"/>
                      <w:numId w:val="10"/>
                    </w:numPr>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本项目不涉及非煤矿山；</w:t>
                  </w:r>
                </w:p>
                <w:p w14:paraId="2C71F739">
                  <w:pPr>
                    <w:pStyle w:val="56"/>
                    <w:keepNext w:val="0"/>
                    <w:keepLines w:val="0"/>
                    <w:pageBreakBefore w:val="0"/>
                    <w:numPr>
                      <w:ilvl w:val="0"/>
                      <w:numId w:val="10"/>
                    </w:numPr>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eastAsia" w:ascii="Times New Roman" w:cs="Times New Roman"/>
                      <w:color w:val="000000" w:themeColor="text1"/>
                      <w:spacing w:val="0"/>
                      <w:sz w:val="18"/>
                      <w:szCs w:val="18"/>
                      <w:highlight w:val="none"/>
                      <w:vertAlign w:val="baseline"/>
                      <w:lang w:val="en-US" w:eastAsia="zh-CN"/>
                      <w14:textFill>
                        <w14:solidFill>
                          <w14:schemeClr w14:val="tx1"/>
                        </w14:solidFill>
                      </w14:textFill>
                    </w:rPr>
                    <w:t>项目</w:t>
                  </w:r>
                  <w:r>
                    <w:rPr>
                      <w:rFonts w:hint="default" w:ascii="Times New Roman" w:hAnsi="Times New Roman" w:cs="Times New Roman"/>
                      <w:color w:val="000000" w:themeColor="text1"/>
                      <w:spacing w:val="0"/>
                      <w:sz w:val="18"/>
                      <w:szCs w:val="18"/>
                      <w:highlight w:val="none"/>
                      <w:vertAlign w:val="baseline"/>
                      <w:lang w:val="en-US" w:eastAsia="zh-CN"/>
                      <w14:textFill>
                        <w14:solidFill>
                          <w14:schemeClr w14:val="tx1"/>
                        </w14:solidFill>
                      </w14:textFill>
                    </w:rPr>
                    <w:t>不涉及占用生态空间</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w:t>
                  </w:r>
                </w:p>
                <w:p w14:paraId="76C70D24">
                  <w:pPr>
                    <w:pStyle w:val="56"/>
                    <w:keepNext w:val="0"/>
                    <w:keepLines w:val="0"/>
                    <w:pageBreakBefore w:val="0"/>
                    <w:numPr>
                      <w:ilvl w:val="0"/>
                      <w:numId w:val="10"/>
                    </w:numPr>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firstLine="0" w:firstLineChars="0"/>
                    <w:jc w:val="both"/>
                    <w:textAlignment w:val="auto"/>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本项目不涉及农业开发</w:t>
                  </w:r>
                </w:p>
              </w:tc>
              <w:tc>
                <w:tcPr>
                  <w:tcW w:w="245" w:type="pct"/>
                  <w:shd w:val="clear" w:color="auto" w:fill="auto"/>
                  <w:noWrap w:val="0"/>
                  <w:vAlign w:val="center"/>
                </w:tcPr>
                <w:p w14:paraId="66F5D18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leftChars="0" w:right="0" w:rightChars="0" w:firstLine="0" w:firstLineChars="0"/>
                    <w:textAlignment w:val="auto"/>
                    <w:rPr>
                      <w:rFonts w:hint="default" w:ascii="Times New Roman" w:hAnsi="Times New Roman" w:eastAsia="宋体" w:cs="Times New Roman"/>
                      <w:color w:val="000000" w:themeColor="text1"/>
                      <w:spacing w:val="0"/>
                      <w:kern w:val="0"/>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64AB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noWrap w:val="0"/>
                  <w:vAlign w:val="center"/>
                </w:tcPr>
                <w:p w14:paraId="545916A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大气环境</w:t>
                  </w:r>
                </w:p>
              </w:tc>
              <w:tc>
                <w:tcPr>
                  <w:tcW w:w="414" w:type="pct"/>
                  <w:gridSpan w:val="2"/>
                  <w:noWrap w:val="0"/>
                  <w:vAlign w:val="center"/>
                </w:tcPr>
                <w:p w14:paraId="0EDB548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污染防控目标</w:t>
                  </w:r>
                </w:p>
              </w:tc>
              <w:tc>
                <w:tcPr>
                  <w:tcW w:w="3302" w:type="pct"/>
                  <w:noWrap w:val="0"/>
                  <w:vAlign w:val="center"/>
                </w:tcPr>
                <w:p w14:paraId="67DB1A4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2025</w:t>
                  </w:r>
                  <w:r>
                    <w:rPr>
                      <w:rFonts w:hint="default" w:ascii="Times New Roman" w:hAnsi="Times New Roman" w:cs="Times New Roman"/>
                      <w:color w:val="000000" w:themeColor="text1"/>
                      <w:spacing w:val="0"/>
                      <w:sz w:val="18"/>
                      <w:szCs w:val="18"/>
                      <w:highlight w:val="none"/>
                      <w14:textFill>
                        <w14:solidFill>
                          <w14:schemeClr w14:val="tx1"/>
                        </w14:solidFill>
                      </w14:textFill>
                    </w:rPr>
                    <w:t>年，全市细颗粒物</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PM</w:t>
                  </w:r>
                  <w:r>
                    <w:rPr>
                      <w:rFonts w:hint="default" w:ascii="Times New Roman" w:hAnsi="Times New Roman" w:eastAsia="Times New Roman" w:cs="Times New Roman"/>
                      <w:color w:val="000000" w:themeColor="text1"/>
                      <w:spacing w:val="0"/>
                      <w:sz w:val="18"/>
                      <w:szCs w:val="18"/>
                      <w:highlight w:val="none"/>
                      <w:vertAlign w:val="subscript"/>
                      <w14:textFill>
                        <w14:solidFill>
                          <w14:schemeClr w14:val="tx1"/>
                        </w14:solidFill>
                      </w14:textFill>
                    </w:rPr>
                    <w:t>2.5</w:t>
                  </w:r>
                  <w:r>
                    <w:rPr>
                      <w:rFonts w:hint="default" w:ascii="Times New Roman" w:hAnsi="Times New Roman" w:eastAsia="宋体" w:cs="Times New Roman"/>
                      <w:color w:val="000000" w:themeColor="text1"/>
                      <w:spacing w:val="0"/>
                      <w:sz w:val="18"/>
                      <w:szCs w:val="18"/>
                      <w:highlight w:val="none"/>
                      <w:vertAlign w:val="subscript"/>
                      <w:lang w:eastAsia="zh-CN"/>
                      <w14:textFill>
                        <w14:solidFill>
                          <w14:schemeClr w14:val="tx1"/>
                        </w14:solidFill>
                      </w14:textFill>
                    </w:rPr>
                    <w:t>）</w:t>
                  </w:r>
                  <w:r>
                    <w:rPr>
                      <w:rFonts w:hint="default" w:ascii="Times New Roman" w:hAnsi="Times New Roman" w:cs="Times New Roman"/>
                      <w:color w:val="000000" w:themeColor="text1"/>
                      <w:spacing w:val="0"/>
                      <w:sz w:val="18"/>
                      <w:szCs w:val="18"/>
                      <w:highlight w:val="none"/>
                      <w14:textFill>
                        <w14:solidFill>
                          <w14:schemeClr w14:val="tx1"/>
                        </w14:solidFill>
                      </w14:textFill>
                    </w:rPr>
                    <w:t>平均浓度达到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40</w:t>
                  </w:r>
                  <w:r>
                    <w:rPr>
                      <w:rFonts w:hint="default" w:ascii="Times New Roman" w:hAnsi="Times New Roman" w:cs="Times New Roman"/>
                      <w:color w:val="000000" w:themeColor="text1"/>
                      <w:spacing w:val="0"/>
                      <w:sz w:val="18"/>
                      <w:szCs w:val="18"/>
                      <w:highlight w:val="none"/>
                      <w14:textFill>
                        <w14:solidFill>
                          <w14:schemeClr w14:val="tx1"/>
                        </w14:solidFill>
                      </w14:textFill>
                    </w:rPr>
                    <w:t>微克</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w:t>
                  </w:r>
                  <w:r>
                    <w:rPr>
                      <w:rFonts w:hint="default" w:ascii="Times New Roman" w:hAnsi="Times New Roman" w:cs="Times New Roman"/>
                      <w:color w:val="000000" w:themeColor="text1"/>
                      <w:spacing w:val="0"/>
                      <w:sz w:val="18"/>
                      <w:szCs w:val="18"/>
                      <w:highlight w:val="none"/>
                      <w14:textFill>
                        <w14:solidFill>
                          <w14:schemeClr w14:val="tx1"/>
                        </w14:solidFill>
                      </w14:textFill>
                    </w:rPr>
                    <w:t>立方米左右，空气质量优良天数比率达到7</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0%</w:t>
                  </w:r>
                  <w:r>
                    <w:rPr>
                      <w:rFonts w:hint="default" w:ascii="Times New Roman" w:hAnsi="Times New Roman" w:cs="Times New Roman"/>
                      <w:color w:val="000000" w:themeColor="text1"/>
                      <w:spacing w:val="0"/>
                      <w:sz w:val="18"/>
                      <w:szCs w:val="18"/>
                      <w:highlight w:val="none"/>
                      <w14:textFill>
                        <w14:solidFill>
                          <w14:schemeClr w14:val="tx1"/>
                        </w14:solidFill>
                      </w14:textFill>
                    </w:rPr>
                    <w:t>以上，单位地区生产总值二氧化碳排放下降比例达河北省要求。</w:t>
                  </w:r>
                </w:p>
              </w:tc>
              <w:tc>
                <w:tcPr>
                  <w:tcW w:w="773" w:type="pct"/>
                  <w:noWrap w:val="0"/>
                  <w:vAlign w:val="center"/>
                </w:tcPr>
                <w:p w14:paraId="1403B9B4">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cs="Times New Roman"/>
                      <w:color w:val="000000"/>
                      <w:sz w:val="18"/>
                      <w:szCs w:val="18"/>
                      <w:highlight w:val="none"/>
                    </w:rPr>
                    <w:t>本项目废气经过相关处理措施处理后达标排放，并按要求实施重污染天气预警</w:t>
                  </w:r>
                </w:p>
              </w:tc>
              <w:tc>
                <w:tcPr>
                  <w:tcW w:w="245" w:type="pct"/>
                  <w:noWrap w:val="0"/>
                  <w:vAlign w:val="center"/>
                </w:tcPr>
                <w:p w14:paraId="04DB360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433C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5F0446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6E374A9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空间布局约束</w:t>
                  </w:r>
                </w:p>
              </w:tc>
              <w:tc>
                <w:tcPr>
                  <w:tcW w:w="3302" w:type="pct"/>
                  <w:noWrap w:val="0"/>
                  <w:vAlign w:val="top"/>
                </w:tcPr>
                <w:p w14:paraId="1DBAD4F6">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、全面推进沿海、迁安、滦州、迁西（遵化）</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大片区规划建设，加快推进钢铁企业整合搬迁项目建设，推进“公转铁”“公转水”和物料集中输送管廊项目建设，形成“沿海临港、铁路沿线”产业新布局。</w:t>
                  </w:r>
                </w:p>
                <w:p w14:paraId="7D95D13F">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、严禁违规新增钢铁、焦化、水泥、平板玻璃等产能，依法推动独立焦化、独立石灰、独立球团逐步退出。</w:t>
                  </w:r>
                </w:p>
                <w:p w14:paraId="413FA0A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、新（改、扩）建项目严格执行产能置换、煤炭替代和污染物倍量削减替代制度，当地有相关园区规划的，原则上要进入园区并配套建设高效环保治理设施，符合园区规划环评、建设项目环评要求。</w:t>
                  </w:r>
                </w:p>
                <w:p w14:paraId="6335C28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、基本取缔燃煤热风炉和钢铁行业燃煤供热锅炉，基本淘汰热电联产供热管网覆盖范围内的燃煤加热、烘干炉（窑）。</w:t>
                  </w:r>
                </w:p>
                <w:p w14:paraId="0A92BDFF">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、企业事业单位和其他生产经营者应当在规定期限内，淘汰列入河北省淘汰落后生产工艺、设备和产品名录的生产工艺、设备和产品。</w:t>
                  </w:r>
                </w:p>
                <w:p w14:paraId="2416918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、全面取缔</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蒸吨及以下燃煤锅炉，发现一台，拆除一台，确保实现动态“清零”；严禁新增</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蒸吨及以下燃煤锅炉。路南区、路北区、高新区、开平区、古冶区、丰润区、丰南区、曹妃甸区全面取缔燃生物质燃料、燃油（醇基燃料）锅炉，建成区范围内改为电锅炉，其他区域改为燃气锅炉或电锅炉。其他县（市）、开发区（管理区）全面取缔燃用生物质燃料非专用锅炉，改为燃气锅炉或电锅炉。</w:t>
                  </w:r>
                </w:p>
              </w:tc>
              <w:tc>
                <w:tcPr>
                  <w:tcW w:w="773" w:type="pct"/>
                  <w:noWrap w:val="0"/>
                  <w:vAlign w:val="center"/>
                </w:tcPr>
                <w:p w14:paraId="4E059AA6">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本项目不属于钢铁企业；</w:t>
                  </w:r>
                </w:p>
                <w:p w14:paraId="68C91500">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2、本项目不属于</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钢铁、焦化、平板玻璃、水泥、陶瓷产能</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等行业；</w:t>
                  </w:r>
                </w:p>
                <w:p w14:paraId="46D3F064">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3、项目</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不涉及</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w:t>
                  </w:r>
                </w:p>
                <w:p w14:paraId="621F4640">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left"/>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4、</w:t>
                  </w:r>
                  <w:r>
                    <w:rPr>
                      <w:rFonts w:hint="default" w:ascii="Times New Roman" w:hAnsi="Times New Roman" w:cs="Times New Roman"/>
                      <w:b w:val="0"/>
                      <w:bCs/>
                      <w:color w:val="000000" w:themeColor="text1"/>
                      <w:spacing w:val="0"/>
                      <w:sz w:val="18"/>
                      <w:szCs w:val="18"/>
                      <w:highlight w:val="none"/>
                      <w:vertAlign w:val="baseline"/>
                      <w:lang w:val="en-US" w:eastAsia="zh-CN"/>
                      <w14:textFill>
                        <w14:solidFill>
                          <w14:schemeClr w14:val="tx1"/>
                        </w14:solidFill>
                      </w14:textFill>
                    </w:rPr>
                    <w:t>本项目不涉及</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w:t>
                  </w:r>
                </w:p>
                <w:p w14:paraId="24EE8871">
                  <w:pPr>
                    <w:pStyle w:val="6"/>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5、本项目不涉及河北省淘汰落后生产工艺、设备和产品名录的生产工艺、设备和产品</w:t>
                  </w:r>
                </w:p>
                <w:p w14:paraId="3F8A84EE">
                  <w:pPr>
                    <w:pStyle w:val="6"/>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6、本项目</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无</w:t>
                  </w:r>
                  <w:r>
                    <w:rPr>
                      <w:rFonts w:hint="default" w:ascii="Times New Roman" w:hAnsi="Times New Roman" w:cs="Times New Roman"/>
                      <w:color w:val="000000" w:themeColor="text1"/>
                      <w:spacing w:val="0"/>
                      <w:sz w:val="18"/>
                      <w:szCs w:val="18"/>
                      <w:highlight w:val="none"/>
                      <w14:textFill>
                        <w14:solidFill>
                          <w14:schemeClr w14:val="tx1"/>
                        </w14:solidFill>
                      </w14:textFill>
                    </w:rPr>
                    <w:t>锅炉</w:t>
                  </w:r>
                </w:p>
              </w:tc>
              <w:tc>
                <w:tcPr>
                  <w:tcW w:w="245" w:type="pct"/>
                  <w:noWrap w:val="0"/>
                  <w:vAlign w:val="center"/>
                </w:tcPr>
                <w:p w14:paraId="0294F93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1AA9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30715D7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5D19214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污染物排放管控</w:t>
                  </w:r>
                </w:p>
              </w:tc>
              <w:tc>
                <w:tcPr>
                  <w:tcW w:w="3302" w:type="pct"/>
                  <w:noWrap w:val="0"/>
                  <w:vAlign w:val="top"/>
                </w:tcPr>
                <w:p w14:paraId="66106619">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、细颗粒物（</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PM</w:t>
                  </w:r>
                  <w:r>
                    <w:rPr>
                      <w:rFonts w:hint="default" w:ascii="Times New Roman" w:hAnsi="Times New Roman" w:eastAsia="Times New Roman" w:cs="Times New Roman"/>
                      <w:color w:val="000000" w:themeColor="text1"/>
                      <w:spacing w:val="0"/>
                      <w:sz w:val="18"/>
                      <w:szCs w:val="18"/>
                      <w:highlight w:val="none"/>
                      <w:vertAlign w:val="subscript"/>
                      <w:lang w:eastAsia="zh-CN"/>
                      <w14:textFill>
                        <w14:solidFill>
                          <w14:schemeClr w14:val="tx1"/>
                        </w14:solidFill>
                      </w14:textFill>
                    </w:rPr>
                    <w:t>2.5）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年平均浓度不达标的城市，二氧化硫、氮氧化物、烟粉尘、挥发性有机物四项污染物均需进行</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倍削减替代（燃煤发电机组大气污染物排放浓度基本达到燃气轮机组排放限值的除外）。</w:t>
                  </w:r>
                </w:p>
                <w:p w14:paraId="7D6BC41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蒸吨以上燃煤锅炉、燃油（醇基燃料）锅炉、燃用生物质专用锅炉各污染物排放浓度达到《河北省锅炉大气污染物排放标准（</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DB13/5161）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》要求；燃煤气、天然气锅炉各污染物排放浓度达到《唐山市锅炉治理专项实施方案》（唐气领办〔</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2019</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号）要求。</w:t>
                  </w:r>
                </w:p>
                <w:p w14:paraId="38CEC0D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加强农村燃煤污染治理：（一）推广使用民用清洁燃烧炉具，加快淘汰低效直燃式高污染炉具，严禁生产、销售、使用不符合环保要求的炉具；（二）加强洁净型煤、优质煤炭的推广使用，实现农村地区洁净型煤配送网点建设全覆盖，严禁使用高硫分和劣质煤炭；（三）推广太阳能、电能、燃气、沼气、地热等使用，加强农作物秸秆能源化，推进农村清洁能源的替代和开发利用。</w:t>
                  </w:r>
                </w:p>
                <w:p w14:paraId="72676FC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对保留的工业炉窑开展环保提标改造，配套建设高效脱硫脱硝除尘设施，确保稳定达标排放。加快推进钢铁行业超低排放改造，积极推进平板玻璃行业和水泥行业污染治理升级改造。鼓励具备条件的陶瓷企业陶瓷窑、喷雾干燥塔开展超低排放改造。平板玻璃、建筑陶瓷企业逐步取消脱硫脱硝烟气旁路或设置备用脱硫脱硝等设施，鼓励水泥企业实施全流程污染深度治理。推进具备条件的焦化企业实施干熄焦改造。在保证生产安全前提下，钢铁烧结（球团）、高炉、转炉、轧钢工序实施车间封闭生产。对标行业先进，持续推动污染物排放总量降低。</w:t>
                  </w:r>
                </w:p>
                <w:p w14:paraId="441D16B2">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推广新能源机动车，建设相应的充电站（桩）、加气站等基础设施，新建居民住宅小区停车位应当建设相应的充电设施；鼓励和支持公共交通、出租车、环境卫生、邮政、快递等行业用车和公务用车率先使用新能源机动车。加强城市步行和自行车交通系统建设，引导公众绿色、低碳出行。船舶靠港后应当优先使用岸电。新建码头应当规划、设计和建设岸基供电设施；已建成的码头应当逐步实施岸基供电设施改造。</w:t>
                  </w:r>
                </w:p>
                <w:p w14:paraId="293A76A4">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、加快油品质量升级。停止销售低于国</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Ⅵ</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标准的汽柴油，实现车用柴油、普通柴油、部分船舶用油“三油并轨”。</w:t>
                  </w:r>
                </w:p>
                <w:p w14:paraId="05BDEF4E">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7</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、推进矿山综合整治。按照“能关则关、应合尽合、能转则转”的原则，对违反法律法规、列入关闭计划、整改不达标、乱采滥挖的矿山，依法依规坚决关闭取缔。</w:t>
                  </w:r>
                </w:p>
                <w:p w14:paraId="2A1A5A8E">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8</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强化建筑施工扬尘污染防治，严格落实《河北省扬尘污染防治办法》，对城市建成区、县城建筑施工工地实施全面监管。强化道路扬尘综合治理，按照《河北省城市精细化管理标准》有关要求，全面巩固洁净城市创建成果。</w:t>
                  </w:r>
                </w:p>
                <w:p w14:paraId="1269CEC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9</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、深化重点行业深度治理。巩固钢铁、焦化、煤电、水泥、平板玻璃等重点行业超低排放改造成效，实施工艺全流程深度治理，推进全过程无组织排放管控。</w:t>
                  </w:r>
                </w:p>
                <w:p w14:paraId="47222E2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加强重污染天气应急联动。加强污染气象条件和空气污染监测、预报预警和评估能力建设，建成全市区域传输监控预警系统，提高重污染天气预报预警的准确度。加大秋冬季工业企业生产调控力度，按照基本抵消新增污染物排放量的原则，对钢铁、建材、焦化、铸造、化工等高排放行业实行强化管控。</w:t>
                  </w:r>
                </w:p>
                <w:p w14:paraId="2E09E46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、强化柴油货车污染防治。加快柴油货车治理，推动货运经营整合升级、提质增效，加快规模化发展、连锁化经营。实施清洁柴油车、清洁运输和清洁油品行动，降低污染排放总量。</w:t>
                  </w:r>
                </w:p>
                <w:p w14:paraId="56F6F967">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、禁止露天焚烧秸秆、落叶、枯草等产生烟尘污染的物质，以及电子废弃物、油毡、橡胶、塑料、皮革、沥青、垃圾等产生有毒有害、恶臭或者强烈异味气体的物质。</w:t>
                  </w:r>
                </w:p>
                <w:p w14:paraId="0F25C54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、以化工、工业涂装、包装印刷、油品储运销等行业领域为重点，安全高效推进挥发性有机物综合治理，无组织排放和末端深度治理等提升改造工程。</w:t>
                  </w:r>
                </w:p>
                <w:p w14:paraId="527B98D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、推动大气氨排放控制。加强烟气脱硝和氨法脱硫氨逃逸控制。推进种植业、养殖业大气氨减排，加强源头防控，优化肥料、饲料结构。</w:t>
                  </w:r>
                </w:p>
                <w:p w14:paraId="13B30339">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、严格控制二氧化碳排放强度。加强甲烷等非二氧化碳温室气体管控。</w:t>
                  </w:r>
                </w:p>
              </w:tc>
              <w:tc>
                <w:tcPr>
                  <w:tcW w:w="773" w:type="pct"/>
                  <w:noWrap w:val="0"/>
                  <w:vAlign w:val="center"/>
                </w:tcPr>
                <w:p w14:paraId="72AE4987">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1、项目</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不涉及</w:t>
                  </w:r>
                </w:p>
                <w:p w14:paraId="06D12A7E">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本项目不涉及燃煤、燃油、燃生物质锅炉，项目使用搅拌式滚筒干燥机对部分固废进行烘干，干燥机燃用替代燃烧颗粒进行加热，燃烧烟气与烘干物料间接接触，因此干燥机燃烧烟气参照执行《锅炉大气污染物排放标准》（DB13/5161-2020）</w:t>
                  </w:r>
                </w:p>
                <w:p w14:paraId="55E27D07">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3、不涉及</w:t>
                  </w:r>
                </w:p>
                <w:p w14:paraId="56AE7265">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4、不涉及</w:t>
                  </w:r>
                </w:p>
                <w:p w14:paraId="2F0E887E">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不涉及</w:t>
                  </w:r>
                </w:p>
                <w:p w14:paraId="2E305AD2">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6、不涉及</w:t>
                  </w:r>
                </w:p>
                <w:p w14:paraId="2D069232">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7、不涉及</w:t>
                  </w:r>
                </w:p>
                <w:p w14:paraId="2EF33497">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项目施工期严格按照《河北省扬尘污染防治办法》等措施执行</w:t>
                  </w:r>
                </w:p>
                <w:p w14:paraId="6D8EC7A6">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9、本项目不属于</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钢铁、建材、火电、焦化、铸造</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等行业，严格管理无组织排放管控措施</w:t>
                  </w:r>
                </w:p>
                <w:p w14:paraId="3E6FFFEE">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加强重污染天气联动，按要求进行停限产</w:t>
                  </w:r>
                </w:p>
                <w:p w14:paraId="38C6DDD5">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11、项目使用符合相关标准要求的运输车辆</w:t>
                  </w:r>
                </w:p>
                <w:p w14:paraId="4046DE66">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12、不涉及</w:t>
                  </w:r>
                </w:p>
                <w:p w14:paraId="41783EDB">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13、不涉及</w:t>
                  </w:r>
                </w:p>
                <w:p w14:paraId="39905082">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14、</w:t>
                  </w:r>
                  <w:r>
                    <w:rPr>
                      <w:rFonts w:hint="default" w:ascii="Times New Roman" w:hAnsi="Times New Roman" w:cs="Times New Roman"/>
                      <w:color w:val="000000"/>
                      <w:sz w:val="18"/>
                      <w:szCs w:val="18"/>
                      <w:highlight w:val="none"/>
                    </w:rPr>
                    <w:t>不涉及</w:t>
                  </w:r>
                </w:p>
                <w:p w14:paraId="6A1790A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15、</w:t>
                  </w:r>
                  <w:r>
                    <w:rPr>
                      <w:rFonts w:hint="default" w:ascii="Times New Roman" w:hAnsi="Times New Roman" w:cs="Times New Roman"/>
                      <w:color w:val="000000"/>
                      <w:sz w:val="18"/>
                      <w:szCs w:val="18"/>
                      <w:highlight w:val="none"/>
                    </w:rPr>
                    <w:t>不涉及</w:t>
                  </w:r>
                </w:p>
              </w:tc>
              <w:tc>
                <w:tcPr>
                  <w:tcW w:w="245" w:type="pct"/>
                  <w:noWrap w:val="0"/>
                  <w:vAlign w:val="center"/>
                </w:tcPr>
                <w:p w14:paraId="4C4016A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2466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28A342A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30B76CC2">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kern w:val="0"/>
                      <w:sz w:val="18"/>
                      <w:szCs w:val="18"/>
                      <w:highlight w:val="none"/>
                      <w14:textFill>
                        <w14:solidFill>
                          <w14:schemeClr w14:val="tx1"/>
                        </w14:solidFill>
                      </w14:textFill>
                    </w:rPr>
                  </w:pPr>
                  <w:r>
                    <w:rPr>
                      <w:rFonts w:hint="default" w:ascii="Times New Roman" w:hAnsi="Times New Roman" w:cs="Times New Roman"/>
                      <w:color w:val="000000" w:themeColor="text1"/>
                      <w:spacing w:val="0"/>
                      <w:kern w:val="0"/>
                      <w:sz w:val="18"/>
                      <w:szCs w:val="18"/>
                      <w:highlight w:val="none"/>
                      <w14:textFill>
                        <w14:solidFill>
                          <w14:schemeClr w14:val="tx1"/>
                        </w14:solidFill>
                      </w14:textFill>
                    </w:rPr>
                    <w:t>环境风险防控</w:t>
                  </w:r>
                </w:p>
              </w:tc>
              <w:tc>
                <w:tcPr>
                  <w:tcW w:w="3302" w:type="pct"/>
                  <w:noWrap w:val="0"/>
                  <w:vAlign w:val="center"/>
                </w:tcPr>
                <w:p w14:paraId="318E1E88">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kern w:val="0"/>
                      <w:sz w:val="18"/>
                      <w:szCs w:val="18"/>
                      <w:highlight w:val="none"/>
                      <w14:textFill>
                        <w14:solidFill>
                          <w14:schemeClr w14:val="tx1"/>
                        </w14:solidFill>
                      </w14:textFill>
                    </w:rPr>
                  </w:pPr>
                  <w:r>
                    <w:rPr>
                      <w:rFonts w:hint="default" w:ascii="Times New Roman" w:hAnsi="Times New Roman" w:cs="Times New Roman"/>
                      <w:color w:val="000000" w:themeColor="text1"/>
                      <w:spacing w:val="0"/>
                      <w:kern w:val="0"/>
                      <w:sz w:val="18"/>
                      <w:szCs w:val="18"/>
                      <w:highlight w:val="none"/>
                      <w14:textFill>
                        <w14:solidFill>
                          <w14:schemeClr w14:val="tx1"/>
                        </w14:solidFill>
                      </w14:textFill>
                    </w:rPr>
                    <w:t>完善市、县、乡、村网格化环境监管体系，建立信息全面、要素齐全、处置高效、决策科学的市级大气环境监管大数据平台，实现对各级网格和各类污染源的集中在线监测、全程监控和监管指挥。</w:t>
                  </w:r>
                </w:p>
              </w:tc>
              <w:tc>
                <w:tcPr>
                  <w:tcW w:w="773" w:type="pct"/>
                  <w:noWrap w:val="0"/>
                  <w:vAlign w:val="center"/>
                </w:tcPr>
                <w:p w14:paraId="544960C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w:t>
                  </w:r>
                </w:p>
              </w:tc>
              <w:tc>
                <w:tcPr>
                  <w:tcW w:w="245" w:type="pct"/>
                  <w:noWrap w:val="0"/>
                  <w:vAlign w:val="center"/>
                </w:tcPr>
                <w:p w14:paraId="2446401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571B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CF3BC9B">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5DBB4CE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资源开发利用</w:t>
                  </w:r>
                </w:p>
              </w:tc>
              <w:tc>
                <w:tcPr>
                  <w:tcW w:w="3302" w:type="pct"/>
                  <w:noWrap w:val="0"/>
                  <w:vAlign w:val="top"/>
                </w:tcPr>
                <w:p w14:paraId="3FBB7102">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、国家大气污染防治重点区域内新建、改建、扩建用煤项目的，应当实行煤炭的等量或者减量替代。</w:t>
                  </w:r>
                </w:p>
                <w:p w14:paraId="0F69E81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、实施能源消耗总量和强度双控行动。健全节能标准体系，大力开发、推广节能高效技术和产品，实现重点用能行业、设备节能标准全覆盖。</w:t>
                  </w:r>
                </w:p>
                <w:p w14:paraId="5159023B">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新（改、扩）建项目能耗达到《河北省主要产品能耗限额和设备能效限定值》准入值要求，鼓励达到先进值。对能效不达标的企业限期进行节能提升改造，现有企业单位产品能耗达到《河北省主要产品能耗限额和设备能效限定值》限定值要求，鼓励已达标企业通过节能改造达到先进值。国家或省对重点行业单位产品能源消耗限额进行修订的，行业限定值、准入值、先进值按新标准执行。</w:t>
                  </w:r>
                </w:p>
              </w:tc>
              <w:tc>
                <w:tcPr>
                  <w:tcW w:w="773" w:type="pct"/>
                  <w:noWrap w:val="0"/>
                  <w:vAlign w:val="center"/>
                </w:tcPr>
                <w:p w14:paraId="10072CA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1、项目不使用煤炭</w:t>
                  </w:r>
                </w:p>
                <w:p w14:paraId="13C83269">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2、项目电气设备均采用节能电机，设备均采用节能设备</w:t>
                  </w:r>
                </w:p>
                <w:p w14:paraId="2F56D05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lang w:val="en-US"/>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3、</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项目</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不涉及</w:t>
                  </w:r>
                  <w:r>
                    <w:rPr>
                      <w:rFonts w:hint="default" w:ascii="Times New Roman" w:hAnsi="Times New Roman" w:cs="Times New Roman"/>
                      <w:b w:val="0"/>
                      <w:bCs/>
                      <w:color w:val="000000" w:themeColor="text1"/>
                      <w:spacing w:val="0"/>
                      <w:sz w:val="18"/>
                      <w:szCs w:val="18"/>
                      <w:highlight w:val="none"/>
                      <w:vertAlign w:val="baseline"/>
                      <w:lang w:val="en-US" w:eastAsia="zh-CN"/>
                      <w14:textFill>
                        <w14:solidFill>
                          <w14:schemeClr w14:val="tx1"/>
                        </w14:solidFill>
                      </w14:textFill>
                    </w:rPr>
                    <w:t>。</w:t>
                  </w:r>
                </w:p>
              </w:tc>
              <w:tc>
                <w:tcPr>
                  <w:tcW w:w="245" w:type="pct"/>
                  <w:noWrap w:val="0"/>
                  <w:vAlign w:val="center"/>
                </w:tcPr>
                <w:p w14:paraId="213DA90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7828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noWrap w:val="0"/>
                  <w:vAlign w:val="center"/>
                </w:tcPr>
                <w:p w14:paraId="1BB7FB5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地表水环境</w:t>
                  </w:r>
                </w:p>
              </w:tc>
              <w:tc>
                <w:tcPr>
                  <w:tcW w:w="414" w:type="pct"/>
                  <w:gridSpan w:val="2"/>
                  <w:noWrap w:val="0"/>
                  <w:vAlign w:val="center"/>
                </w:tcPr>
                <w:p w14:paraId="3B94B36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污染防控目标</w:t>
                  </w:r>
                </w:p>
              </w:tc>
              <w:tc>
                <w:tcPr>
                  <w:tcW w:w="3302" w:type="pct"/>
                  <w:noWrap w:val="0"/>
                  <w:vAlign w:val="center"/>
                </w:tcPr>
                <w:p w14:paraId="3BDE643E">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2025</w:t>
                  </w:r>
                  <w:r>
                    <w:rPr>
                      <w:rFonts w:hint="default" w:ascii="Times New Roman" w:hAnsi="Times New Roman" w:cs="Times New Roman"/>
                      <w:color w:val="000000" w:themeColor="text1"/>
                      <w:spacing w:val="0"/>
                      <w:sz w:val="18"/>
                      <w:szCs w:val="18"/>
                      <w:highlight w:val="none"/>
                      <w14:textFill>
                        <w14:solidFill>
                          <w14:schemeClr w14:val="tx1"/>
                        </w14:solidFill>
                      </w14:textFill>
                    </w:rPr>
                    <w:t>年全市水生态环境质量持续改善，地表水国家和河北省考核断面，达到或优于</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Ⅲ</w:t>
                  </w:r>
                  <w:r>
                    <w:rPr>
                      <w:rFonts w:hint="default" w:ascii="Times New Roman" w:hAnsi="Times New Roman" w:cs="Times New Roman"/>
                      <w:color w:val="000000" w:themeColor="text1"/>
                      <w:spacing w:val="0"/>
                      <w:sz w:val="18"/>
                      <w:szCs w:val="18"/>
                      <w:highlight w:val="none"/>
                      <w14:textFill>
                        <w14:solidFill>
                          <w14:schemeClr w14:val="tx1"/>
                        </w14:solidFill>
                      </w14:textFill>
                    </w:rPr>
                    <w:t>类水体断面比例达到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85.71%</w:t>
                  </w:r>
                  <w:r>
                    <w:rPr>
                      <w:rFonts w:hint="default" w:ascii="Times New Roman" w:hAnsi="Times New Roman" w:cs="Times New Roman"/>
                      <w:color w:val="000000" w:themeColor="text1"/>
                      <w:spacing w:val="0"/>
                      <w:sz w:val="18"/>
                      <w:szCs w:val="18"/>
                      <w:highlight w:val="none"/>
                      <w14:textFill>
                        <w14:solidFill>
                          <w14:schemeClr w14:val="tx1"/>
                        </w14:solidFill>
                      </w14:textFill>
                    </w:rPr>
                    <w:t>，劣</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Ⅴ</w:t>
                  </w:r>
                  <w:r>
                    <w:rPr>
                      <w:rFonts w:hint="default" w:ascii="Times New Roman" w:hAnsi="Times New Roman" w:cs="Times New Roman"/>
                      <w:color w:val="000000" w:themeColor="text1"/>
                      <w:spacing w:val="0"/>
                      <w:sz w:val="18"/>
                      <w:szCs w:val="18"/>
                      <w:highlight w:val="none"/>
                      <w14:textFill>
                        <w14:solidFill>
                          <w14:schemeClr w14:val="tx1"/>
                        </w14:solidFill>
                      </w14:textFill>
                    </w:rPr>
                    <w:t>类水体比例全部消除；城市集中式饮用水水源水质达到或优于</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Ⅲ</w:t>
                  </w:r>
                  <w:r>
                    <w:rPr>
                      <w:rFonts w:hint="default" w:ascii="Times New Roman" w:hAnsi="Times New Roman" w:cs="Times New Roman"/>
                      <w:color w:val="000000" w:themeColor="text1"/>
                      <w:spacing w:val="0"/>
                      <w:sz w:val="18"/>
                      <w:szCs w:val="18"/>
                      <w:highlight w:val="none"/>
                      <w14:textFill>
                        <w14:solidFill>
                          <w14:schemeClr w14:val="tx1"/>
                        </w14:solidFill>
                      </w14:textFill>
                    </w:rPr>
                    <w:t>类比例为</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100%</w:t>
                  </w:r>
                  <w:r>
                    <w:rPr>
                      <w:rFonts w:hint="default" w:ascii="Times New Roman" w:hAnsi="Times New Roman" w:cs="Times New Roman"/>
                      <w:color w:val="000000" w:themeColor="text1"/>
                      <w:spacing w:val="0"/>
                      <w:sz w:val="18"/>
                      <w:szCs w:val="18"/>
                      <w:highlight w:val="none"/>
                      <w14:textFill>
                        <w14:solidFill>
                          <w14:schemeClr w14:val="tx1"/>
                        </w14:solidFill>
                      </w14:textFill>
                    </w:rPr>
                    <w:t>。</w:t>
                  </w:r>
                </w:p>
              </w:tc>
              <w:tc>
                <w:tcPr>
                  <w:tcW w:w="773" w:type="pct"/>
                  <w:noWrap w:val="0"/>
                  <w:vAlign w:val="center"/>
                </w:tcPr>
                <w:p w14:paraId="2D8B118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本项目不涉及废水外排</w:t>
                  </w:r>
                </w:p>
              </w:tc>
              <w:tc>
                <w:tcPr>
                  <w:tcW w:w="245" w:type="pct"/>
                  <w:noWrap w:val="0"/>
                  <w:vAlign w:val="center"/>
                </w:tcPr>
                <w:p w14:paraId="5DC3922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24CE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6397D41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1B67EAA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空间布局约束</w:t>
                  </w:r>
                </w:p>
              </w:tc>
              <w:tc>
                <w:tcPr>
                  <w:tcW w:w="3302" w:type="pct"/>
                  <w:noWrap w:val="0"/>
                  <w:vAlign w:val="top"/>
                </w:tcPr>
                <w:p w14:paraId="79BFD95F">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、涉地表水自然保护区、湿地公园、饮用水水源保护区管控参照生态环境空间总体管控要求中各类保护地总体管控要求。</w:t>
                  </w:r>
                </w:p>
                <w:p w14:paraId="5736203B">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、鼓励发展节水高效现代农业、低耗水高新技术产业以及生态保护型旅游业，严格控制缺水地区、水污染严重地区和敏感区域高耗水、高污染行业发展。</w:t>
                  </w:r>
                </w:p>
                <w:p w14:paraId="11863D8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全市重点河流沿岸、重要饮用水水源地补给区，严格控制化学原料和化学制品制造、医药制造、制革、造纸、焦化、化学纤维制造、石油加工、纺织印染等项目环境风险，合理布局生产装置及危险化学品仓储等设施。重大项目原则上布局在优化开发区和重点开发区，并符合城乡规划和土地利用总体规划。</w:t>
                  </w:r>
                </w:p>
                <w:p w14:paraId="29F741BF">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未按照规定完成污水集中处理设施以及管网建设的工业园区（工业集聚区），暂停审批和核准其增加水污染物排放的建设项目。向污水集中处理设施排放工业废水的，应当按照国家有关规定进行预处理，达到集中处理设施处理工艺要求后方可排放。</w:t>
                  </w:r>
                </w:p>
                <w:p w14:paraId="39061DC7">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推进现有企业向依法合规设立、环保设施齐全、符合规划环评要求、满足水法律法规规定的工业集聚区集中，明确涉水工业企业入园时间表；确因不具备入园条件需原地保留的涉水工业企业，明确保留条件，其中直排环境企业应达到排入水体功能区标准。</w:t>
                  </w:r>
                </w:p>
              </w:tc>
              <w:tc>
                <w:tcPr>
                  <w:tcW w:w="773" w:type="pct"/>
                  <w:noWrap w:val="0"/>
                  <w:vAlign w:val="center"/>
                </w:tcPr>
                <w:p w14:paraId="60EFEE04">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left"/>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1、不涉及</w:t>
                  </w:r>
                </w:p>
                <w:p w14:paraId="345240D2">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left"/>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2、不涉及</w:t>
                  </w:r>
                </w:p>
                <w:p w14:paraId="4D531E7D">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left"/>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3、本项目不属于化学原料和化学制品制造、医药制造、制革、造纸、焦化、化学纤维制造、石油加工、纺织印染等行业</w:t>
                  </w:r>
                </w:p>
                <w:p w14:paraId="317570E2">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left"/>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4、5、</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项目位于</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河北迁安经济开发区</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，开发区已配套建设集中污水处理设施</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p>
              </w:tc>
              <w:tc>
                <w:tcPr>
                  <w:tcW w:w="245" w:type="pct"/>
                  <w:noWrap w:val="0"/>
                  <w:vAlign w:val="center"/>
                </w:tcPr>
                <w:p w14:paraId="6439418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2334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6D8E3A7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0CB8FED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污染物排放管控</w:t>
                  </w:r>
                </w:p>
              </w:tc>
              <w:tc>
                <w:tcPr>
                  <w:tcW w:w="3302" w:type="pct"/>
                  <w:noWrap w:val="0"/>
                  <w:vAlign w:val="top"/>
                </w:tcPr>
                <w:p w14:paraId="4D30668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控制高污染、高耗水行业新增产能。产能过剩产业实行新增产能等量替代、涉水主要污染物排放同行业倍量替代。对造纸、焦化、氮肥、石油化工、印染、农副食品加工、原料药制造、制革、农药、电镀等“十大”重点行业，新建、改建、扩建项目实行新增主要污染物排放倍量替代。</w:t>
                  </w:r>
                </w:p>
                <w:p w14:paraId="2F48FD4D">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全面加强城镇污水管网建设，提升污水收集能力。扩大城镇污水管网覆盖范围，推进新建城区、扩建新区以及城乡结合部等污水截留、收集纳管；进一步加强城区支管、毛细管等管网建设，提高污水收集率。推进城镇排水系统雨污分流建设，新建城区、扩建新区、新开发区建设排水管网一律实行雨污分流；强化各县（市、区）城区和重点城镇污水管网建设，新建污水处理设施应与配套管网同步设计、同步建设、同步投运。推进初期雨水收集、处理与资源化利用。</w:t>
                  </w:r>
                </w:p>
                <w:p w14:paraId="51035690">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强化工业污水限期达标整治。推进废水直排外环境的工业企业全面达标排放。强化入河排污口监督管理，推动入河排污口规范化建设，取缔非法入河排污口。加大超标排放整治力度，对超标和超总量的企业依法查处，对企业超标现象普遍、超标企业集中地区政府采取挂牌督办、公开约谈等措施。对整治仍不能达到要求且情节严重的企业，由所在地政府依法责令限期关闭。</w:t>
                  </w:r>
                </w:p>
                <w:p w14:paraId="77442028">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、推进农业面源污染治理。减少化肥农药使用量，严格控制高毒高风险农药使用，推进有机肥替代化肥、病虫害绿色防控替代化学防治，积极推进废旧农膜回收，完善废旧地膜和包装废弃物等回收处理制度。</w:t>
                  </w:r>
                </w:p>
                <w:p w14:paraId="60224EAE">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、推进养殖废弃物资源化利用。坚持种植和养殖相结合，就地就近消纳利用畜禽养殖废弃物。合理布局水产养殖空间，深入推进生态健康养殖，开展重点河流湖库及近岸海域破坏生态环境的养殖方式综合整治。</w:t>
                  </w:r>
                </w:p>
                <w:p w14:paraId="3D56ADD0">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、实施总氮排放总量控制，新建、改建、扩建涉及总氮排放的建设项目，实施总氮排放总量指标减量替代，并在相关单位排污许可证中予以明确、严格落实，严控新增总氮排放量。</w:t>
                  </w:r>
                </w:p>
              </w:tc>
              <w:tc>
                <w:tcPr>
                  <w:tcW w:w="773" w:type="pct"/>
                  <w:noWrap w:val="0"/>
                  <w:vAlign w:val="center"/>
                </w:tcPr>
                <w:p w14:paraId="05B60B51">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1、本项目不属于高污染、高耗水行业，本项目外排废水为职工生活</w:t>
                  </w:r>
                  <w:r>
                    <w:rPr>
                      <w:rFonts w:hint="eastAsia" w:ascii="Times New Roman" w:cs="Times New Roman"/>
                      <w:color w:val="000000" w:themeColor="text1"/>
                      <w:spacing w:val="0"/>
                      <w:sz w:val="18"/>
                      <w:szCs w:val="18"/>
                      <w:highlight w:val="none"/>
                      <w:lang w:val="en-US" w:eastAsia="zh-CN"/>
                      <w14:textFill>
                        <w14:solidFill>
                          <w14:schemeClr w14:val="tx1"/>
                        </w14:solidFill>
                      </w14:textFill>
                    </w:rPr>
                    <w:t>污水。</w:t>
                  </w:r>
                </w:p>
                <w:p w14:paraId="30AD882D">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2、不涉及</w:t>
                  </w:r>
                </w:p>
                <w:p w14:paraId="4652C107">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3、本项目外排废水为职工生活</w:t>
                  </w:r>
                  <w:r>
                    <w:rPr>
                      <w:rFonts w:hint="eastAsia" w:cs="Times New Roman"/>
                      <w:color w:val="000000" w:themeColor="text1"/>
                      <w:spacing w:val="0"/>
                      <w:sz w:val="18"/>
                      <w:szCs w:val="18"/>
                      <w:highlight w:val="none"/>
                      <w:lang w:val="en-US" w:eastAsia="zh-CN"/>
                      <w14:textFill>
                        <w14:solidFill>
                          <w14:schemeClr w14:val="tx1"/>
                        </w14:solidFill>
                      </w14:textFill>
                    </w:rPr>
                    <w:t>污水。</w:t>
                  </w:r>
                </w:p>
                <w:p w14:paraId="082A73A5">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4、不涉及</w:t>
                  </w:r>
                </w:p>
                <w:p w14:paraId="6B4CBE1C">
                  <w:pPr>
                    <w:pStyle w:val="23"/>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5、不涉及</w:t>
                  </w:r>
                </w:p>
                <w:p w14:paraId="6D22EC4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6、不涉及</w:t>
                  </w:r>
                </w:p>
              </w:tc>
              <w:tc>
                <w:tcPr>
                  <w:tcW w:w="245" w:type="pct"/>
                  <w:noWrap w:val="0"/>
                  <w:vAlign w:val="center"/>
                </w:tcPr>
                <w:p w14:paraId="63C593FE">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72DB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0BB97FE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1F5D7798">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环境风险防控</w:t>
                  </w:r>
                </w:p>
              </w:tc>
              <w:tc>
                <w:tcPr>
                  <w:tcW w:w="3302" w:type="pct"/>
                  <w:noWrap w:val="0"/>
                  <w:vAlign w:val="top"/>
                </w:tcPr>
                <w:p w14:paraId="720C0D6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有效防控水源地环境风险。每年对集中式饮用水水源保护区开展基础调查与评估，将可能影响水源水质安全的风险源全部列入档案，加强风险应急防控，建立联防联控应急机制。推广供水水厂应急净化技术，储备应急供水专项物资，配置移动式应急净水设备，加强应急抢险专业队伍建设，及时有效处置饮用水水源突发环境事件。</w:t>
                  </w:r>
                </w:p>
              </w:tc>
              <w:tc>
                <w:tcPr>
                  <w:tcW w:w="773" w:type="pct"/>
                  <w:noWrap w:val="0"/>
                  <w:vAlign w:val="center"/>
                </w:tcPr>
                <w:p w14:paraId="64B58E3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w:t>
                  </w:r>
                </w:p>
              </w:tc>
              <w:tc>
                <w:tcPr>
                  <w:tcW w:w="245" w:type="pct"/>
                  <w:noWrap w:val="0"/>
                  <w:vAlign w:val="center"/>
                </w:tcPr>
                <w:p w14:paraId="1D2F270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4743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660DE649">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79F8DD7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资源开发利用</w:t>
                  </w:r>
                </w:p>
              </w:tc>
              <w:tc>
                <w:tcPr>
                  <w:tcW w:w="3302" w:type="pct"/>
                  <w:noWrap w:val="0"/>
                  <w:vAlign w:val="top"/>
                </w:tcPr>
                <w:p w14:paraId="1EDC203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、开展用水效率评估，建立万元工业增加值水耗指标等用水效率评估体系，把节水目标任务完成情况纳入地方政府政绩考核。将再生水、雨水和微咸水等非常规水源纳入水资源统一配置。</w:t>
                  </w:r>
                </w:p>
                <w:p w14:paraId="5254B4A4">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发展农业节水。调整农业种植结构，发展旱作节水农业，推进田间节水设施建设，大力推广耐旱节水品种、耕作保墒、地膜覆盖、秸秆还田、水肥一体化等农业综合节水技术。推广渠道防渗、管道输水、喷灌、微灌、农作物节水抗旱等技术，完善灌溉用水计量设施，推进规模化高效节水灌溉。加快高效节水灌溉示范项目建设，粮食主产区大力推广以高标准管灌为主的节水灌溉工程，蔬菜、果品和经济种植区大力推广微滴灌技术，规模化农场、承包大户积极推广喷灌技术。</w:t>
                  </w:r>
                  <w:r>
                    <w:rPr>
                      <w:rFonts w:hint="default" w:ascii="Times New Roman" w:hAnsi="Times New Roman" w:cs="Times New Roman"/>
                      <w:color w:val="000000" w:themeColor="text1"/>
                      <w:spacing w:val="0"/>
                      <w:sz w:val="18"/>
                      <w:szCs w:val="18"/>
                      <w:highlight w:val="none"/>
                      <w14:textFill>
                        <w14:solidFill>
                          <w14:schemeClr w14:val="tx1"/>
                        </w14:solidFill>
                      </w14:textFill>
                    </w:rPr>
                    <w:t>地上水灌区实施续建配套与节水改造。</w:t>
                  </w:r>
                </w:p>
              </w:tc>
              <w:tc>
                <w:tcPr>
                  <w:tcW w:w="773" w:type="pct"/>
                  <w:noWrap w:val="0"/>
                  <w:vAlign w:val="center"/>
                </w:tcPr>
                <w:p w14:paraId="5792756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w:t>
                  </w:r>
                  <w:r>
                    <w:rPr>
                      <w:rFonts w:hint="default" w:ascii="Times New Roman" w:hAnsi="Times New Roman" w:eastAsia="宋体" w:cs="Times New Roman"/>
                      <w:bCs/>
                      <w:color w:val="000000" w:themeColor="text1"/>
                      <w:spacing w:val="0"/>
                      <w:sz w:val="18"/>
                      <w:szCs w:val="18"/>
                      <w:highlight w:val="none"/>
                      <w:lang w:val="en-US" w:eastAsia="zh-CN"/>
                      <w14:textFill>
                        <w14:solidFill>
                          <w14:schemeClr w14:val="tx1"/>
                        </w14:solidFill>
                      </w14:textFill>
                    </w:rPr>
                    <w:t>项目</w:t>
                  </w:r>
                  <w:r>
                    <w:rPr>
                      <w:rFonts w:hint="default" w:ascii="Times New Roman" w:hAnsi="Times New Roman" w:cs="Times New Roman"/>
                      <w:bCs/>
                      <w:color w:val="000000" w:themeColor="text1"/>
                      <w:spacing w:val="0"/>
                      <w:sz w:val="18"/>
                      <w:szCs w:val="18"/>
                      <w:highlight w:val="none"/>
                      <w:lang w:val="en-US" w:eastAsia="zh-CN"/>
                      <w14:textFill>
                        <w14:solidFill>
                          <w14:schemeClr w14:val="tx1"/>
                        </w14:solidFill>
                      </w14:textFill>
                    </w:rPr>
                    <w:t>生产</w:t>
                  </w:r>
                  <w:r>
                    <w:rPr>
                      <w:rFonts w:hint="default" w:ascii="Times New Roman" w:hAnsi="Times New Roman" w:eastAsia="宋体" w:cs="Times New Roman"/>
                      <w:bCs/>
                      <w:color w:val="000000" w:themeColor="text1"/>
                      <w:spacing w:val="0"/>
                      <w:sz w:val="18"/>
                      <w:szCs w:val="18"/>
                      <w:highlight w:val="none"/>
                      <w:lang w:val="en-US" w:eastAsia="zh-CN"/>
                      <w14:textFill>
                        <w14:solidFill>
                          <w14:schemeClr w14:val="tx1"/>
                        </w14:solidFill>
                      </w14:textFill>
                    </w:rPr>
                    <w:t>用水</w:t>
                  </w:r>
                  <w:r>
                    <w:rPr>
                      <w:rFonts w:hint="default" w:ascii="Times New Roman" w:hAnsi="Times New Roman" w:cs="Times New Roman"/>
                      <w:bCs/>
                      <w:color w:val="000000" w:themeColor="text1"/>
                      <w:spacing w:val="0"/>
                      <w:sz w:val="18"/>
                      <w:szCs w:val="18"/>
                      <w:highlight w:val="none"/>
                      <w:lang w:val="en-US" w:eastAsia="zh-CN"/>
                      <w14:textFill>
                        <w14:solidFill>
                          <w14:schemeClr w14:val="tx1"/>
                        </w14:solidFill>
                      </w14:textFill>
                    </w:rPr>
                    <w:t>由园区供水管网</w:t>
                  </w:r>
                  <w:r>
                    <w:rPr>
                      <w:rFonts w:hint="eastAsia" w:ascii="Times New Roman" w:cs="Times New Roman"/>
                      <w:bCs/>
                      <w:color w:val="000000" w:themeColor="text1"/>
                      <w:spacing w:val="0"/>
                      <w:sz w:val="18"/>
                      <w:szCs w:val="18"/>
                      <w:highlight w:val="none"/>
                      <w:lang w:val="en-US" w:eastAsia="zh-CN"/>
                      <w14:textFill>
                        <w14:solidFill>
                          <w14:schemeClr w14:val="tx1"/>
                        </w14:solidFill>
                      </w14:textFill>
                    </w:rPr>
                    <w:t>提供。</w:t>
                  </w:r>
                </w:p>
                <w:p w14:paraId="5E14170D">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2、不涉及</w:t>
                  </w:r>
                </w:p>
              </w:tc>
              <w:tc>
                <w:tcPr>
                  <w:tcW w:w="245" w:type="pct"/>
                  <w:noWrap w:val="0"/>
                  <w:vAlign w:val="center"/>
                </w:tcPr>
                <w:p w14:paraId="4B7A195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44C1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noWrap w:val="0"/>
                  <w:vAlign w:val="center"/>
                </w:tcPr>
                <w:p w14:paraId="150ED42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土壤及地下水环境</w:t>
                  </w:r>
                </w:p>
              </w:tc>
              <w:tc>
                <w:tcPr>
                  <w:tcW w:w="414" w:type="pct"/>
                  <w:gridSpan w:val="2"/>
                  <w:noWrap w:val="0"/>
                  <w:vAlign w:val="center"/>
                </w:tcPr>
                <w:p w14:paraId="11C696E1">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kern w:val="0"/>
                      <w:sz w:val="18"/>
                      <w:szCs w:val="18"/>
                      <w:highlight w:val="none"/>
                      <w14:textFill>
                        <w14:solidFill>
                          <w14:schemeClr w14:val="tx1"/>
                        </w14:solidFill>
                      </w14:textFill>
                    </w:rPr>
                  </w:pPr>
                  <w:r>
                    <w:rPr>
                      <w:rFonts w:hint="default" w:ascii="Times New Roman" w:hAnsi="Times New Roman" w:cs="Times New Roman"/>
                      <w:color w:val="000000" w:themeColor="text1"/>
                      <w:spacing w:val="0"/>
                      <w:kern w:val="0"/>
                      <w:sz w:val="18"/>
                      <w:szCs w:val="18"/>
                      <w:highlight w:val="none"/>
                      <w14:textFill>
                        <w14:solidFill>
                          <w14:schemeClr w14:val="tx1"/>
                        </w14:solidFill>
                      </w14:textFill>
                    </w:rPr>
                    <w:t>污染防控目标</w:t>
                  </w:r>
                </w:p>
              </w:tc>
              <w:tc>
                <w:tcPr>
                  <w:tcW w:w="3302" w:type="pct"/>
                  <w:noWrap w:val="0"/>
                  <w:vAlign w:val="center"/>
                </w:tcPr>
                <w:p w14:paraId="4164B3E4">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kern w:val="0"/>
                      <w:sz w:val="18"/>
                      <w:szCs w:val="18"/>
                      <w:highlight w:val="none"/>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2025</w:t>
                  </w:r>
                  <w:r>
                    <w:rPr>
                      <w:rFonts w:hint="default" w:ascii="Times New Roman" w:hAnsi="Times New Roman" w:cs="Times New Roman"/>
                      <w:color w:val="000000" w:themeColor="text1"/>
                      <w:spacing w:val="0"/>
                      <w:sz w:val="18"/>
                      <w:szCs w:val="18"/>
                      <w:highlight w:val="none"/>
                      <w14:textFill>
                        <w14:solidFill>
                          <w14:schemeClr w14:val="tx1"/>
                        </w14:solidFill>
                      </w14:textFill>
                    </w:rPr>
                    <w:t>年底前，受污染耕地安全利用率完成河北省下达任务，受污染耕地管控措施覆盖率</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100%</w:t>
                  </w:r>
                  <w:r>
                    <w:rPr>
                      <w:rFonts w:hint="default" w:ascii="Times New Roman" w:hAnsi="Times New Roman" w:cs="Times New Roman"/>
                      <w:color w:val="000000" w:themeColor="text1"/>
                      <w:spacing w:val="0"/>
                      <w:sz w:val="18"/>
                      <w:szCs w:val="18"/>
                      <w:highlight w:val="none"/>
                      <w14:textFill>
                        <w14:solidFill>
                          <w14:schemeClr w14:val="tx1"/>
                        </w14:solidFill>
                      </w14:textFill>
                    </w:rPr>
                    <w:t>；重点建设用地安全利用得到有效保障，拟开发利用污染地块治理修复或风险管控目标达标率</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100%</w:t>
                  </w:r>
                  <w:r>
                    <w:rPr>
                      <w:rFonts w:hint="default" w:ascii="Times New Roman" w:hAnsi="Times New Roman" w:cs="Times New Roman"/>
                      <w:color w:val="000000" w:themeColor="text1"/>
                      <w:spacing w:val="0"/>
                      <w:sz w:val="18"/>
                      <w:szCs w:val="18"/>
                      <w:highlight w:val="none"/>
                      <w14:textFill>
                        <w14:solidFill>
                          <w14:schemeClr w14:val="tx1"/>
                        </w14:solidFill>
                      </w14:textFill>
                    </w:rPr>
                    <w:t>，暂不开发利用污染地块管控措施覆盖率</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100%</w:t>
                  </w:r>
                  <w:r>
                    <w:rPr>
                      <w:rFonts w:hint="default" w:ascii="Times New Roman" w:hAnsi="Times New Roman" w:cs="Times New Roman"/>
                      <w:color w:val="000000" w:themeColor="text1"/>
                      <w:spacing w:val="0"/>
                      <w:sz w:val="18"/>
                      <w:szCs w:val="18"/>
                      <w:highlight w:val="none"/>
                      <w14:textFill>
                        <w14:solidFill>
                          <w14:schemeClr w14:val="tx1"/>
                        </w14:solidFill>
                      </w14:textFill>
                    </w:rPr>
                    <w:t>；国家地下水环境质量区域考核点位</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Ⅴ</w:t>
                  </w:r>
                  <w:r>
                    <w:rPr>
                      <w:rFonts w:hint="default" w:ascii="Times New Roman" w:hAnsi="Times New Roman" w:cs="Times New Roman"/>
                      <w:color w:val="000000" w:themeColor="text1"/>
                      <w:spacing w:val="0"/>
                      <w:sz w:val="18"/>
                      <w:szCs w:val="18"/>
                      <w:highlight w:val="none"/>
                      <w14:textFill>
                        <w14:solidFill>
                          <w14:schemeClr w14:val="tx1"/>
                        </w14:solidFill>
                      </w14:textFill>
                    </w:rPr>
                    <w:t>类水比例控制在</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w:t>
                  </w:r>
                  <w:r>
                    <w:rPr>
                      <w:rFonts w:hint="default" w:ascii="Times New Roman" w:hAnsi="Times New Roman" w:cs="Times New Roman"/>
                      <w:color w:val="000000" w:themeColor="text1"/>
                      <w:spacing w:val="0"/>
                      <w:sz w:val="18"/>
                      <w:szCs w:val="18"/>
                      <w:highlight w:val="none"/>
                      <w14:textFill>
                        <w14:solidFill>
                          <w14:schemeClr w14:val="tx1"/>
                        </w14:solidFill>
                      </w14:textFill>
                    </w:rPr>
                    <w:t>以下，“双源”考核点位水质总体保持稳定。</w:t>
                  </w:r>
                </w:p>
              </w:tc>
              <w:tc>
                <w:tcPr>
                  <w:tcW w:w="773" w:type="pct"/>
                  <w:noWrap w:val="0"/>
                  <w:vAlign w:val="center"/>
                </w:tcPr>
                <w:p w14:paraId="50D5049C">
                  <w:pPr>
                    <w:keepNext w:val="0"/>
                    <w:keepLines w:val="0"/>
                    <w:pageBreakBefore w:val="0"/>
                    <w:widowControl/>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不涉及耕地</w:t>
                  </w:r>
                </w:p>
              </w:tc>
              <w:tc>
                <w:tcPr>
                  <w:tcW w:w="245" w:type="pct"/>
                  <w:noWrap w:val="0"/>
                  <w:vAlign w:val="center"/>
                </w:tcPr>
                <w:p w14:paraId="29761D1B">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666D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664CBA0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38454FD6">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空间布局约束</w:t>
                  </w:r>
                </w:p>
              </w:tc>
              <w:tc>
                <w:tcPr>
                  <w:tcW w:w="3302" w:type="pct"/>
                  <w:noWrap w:val="0"/>
                  <w:vAlign w:val="top"/>
                </w:tcPr>
                <w:p w14:paraId="3B0E540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、严格执行相关行业企业布局选址要求，禁止在居民区和学校、医院、疗养院、养老院等单位周边新建、改建、扩建可能造成土壤污染的建设项目。</w:t>
                  </w:r>
                </w:p>
                <w:p w14:paraId="60F61E6D">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、禁止在集中式地下水饮用水水源地建设需要取水的地热能开发利用项目。禁止抽取难以更新的地下水用于需要取水的地热能开发利用项目。</w:t>
                  </w:r>
                </w:p>
                <w:p w14:paraId="6DD23512">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、地下水饮用水水源地优先保护区管控参照生态环境空间总体管控要求中地下水饮用水水源地保护区总体管控要求。</w:t>
                  </w:r>
                </w:p>
              </w:tc>
              <w:tc>
                <w:tcPr>
                  <w:tcW w:w="773" w:type="pct"/>
                  <w:noWrap w:val="0"/>
                  <w:vAlign w:val="center"/>
                </w:tcPr>
                <w:p w14:paraId="2433EA50">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项目位于</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河北迁安经济开发区</w:t>
                  </w:r>
                  <w:r>
                    <w:rPr>
                      <w:rFonts w:hint="default" w:ascii="Times New Roman" w:hAnsi="Times New Roman" w:eastAsia="宋体" w:cs="Times New Roman"/>
                      <w:color w:val="000000" w:themeColor="text1"/>
                      <w:spacing w:val="0"/>
                      <w:sz w:val="18"/>
                      <w:szCs w:val="18"/>
                      <w:highlight w:val="none"/>
                      <w14:textFill>
                        <w14:solidFill>
                          <w14:schemeClr w14:val="tx1"/>
                        </w14:solidFill>
                      </w14:textFill>
                    </w:rPr>
                    <w:t>，符合</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规划环评</w:t>
                  </w:r>
                  <w:r>
                    <w:rPr>
                      <w:rFonts w:hint="eastAsia" w:ascii="Times New Roman" w:cs="Times New Roman"/>
                      <w:color w:val="000000" w:themeColor="text1"/>
                      <w:spacing w:val="0"/>
                      <w:sz w:val="18"/>
                      <w:szCs w:val="18"/>
                      <w:highlight w:val="none"/>
                      <w:lang w:val="en-US" w:eastAsia="zh-CN"/>
                      <w14:textFill>
                        <w14:solidFill>
                          <w14:schemeClr w14:val="tx1"/>
                        </w14:solidFill>
                      </w14:textFill>
                    </w:rPr>
                    <w:t>要求。</w:t>
                  </w:r>
                </w:p>
                <w:p w14:paraId="50920AD2">
                  <w:pPr>
                    <w:keepNext w:val="0"/>
                    <w:keepLines w:val="0"/>
                    <w:pageBreakBefore w:val="0"/>
                    <w:numPr>
                      <w:ilvl w:val="0"/>
                      <w:numId w:val="11"/>
                    </w:numPr>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w:t>
                  </w:r>
                </w:p>
                <w:p w14:paraId="5D5AEA90">
                  <w:pPr>
                    <w:keepNext w:val="0"/>
                    <w:keepLines w:val="0"/>
                    <w:pageBreakBefore w:val="0"/>
                    <w:numPr>
                      <w:ilvl w:val="0"/>
                      <w:numId w:val="11"/>
                    </w:numPr>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w:t>
                  </w:r>
                </w:p>
              </w:tc>
              <w:tc>
                <w:tcPr>
                  <w:tcW w:w="245" w:type="pct"/>
                  <w:noWrap w:val="0"/>
                  <w:vAlign w:val="center"/>
                </w:tcPr>
                <w:p w14:paraId="097E614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3482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05F12DC9">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51730CB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污染排放管控</w:t>
                  </w:r>
                </w:p>
              </w:tc>
              <w:tc>
                <w:tcPr>
                  <w:tcW w:w="3302" w:type="pct"/>
                  <w:noWrap w:val="0"/>
                  <w:vAlign w:val="top"/>
                </w:tcPr>
                <w:p w14:paraId="2ECF0C0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、严禁将污泥直接用作肥料，禁止不达标污泥就地堆放，结合污泥处理设施升级改造，逐步取消原生污泥简易填埋等不符合环保要求的处置方式。鼓励利用水泥厂等工业窑炉，开展污泥协同焚烧处置。</w:t>
                  </w:r>
                </w:p>
                <w:p w14:paraId="715A12E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落实总量控制制度，减少重金属污染物排放。新、改、扩建涉重金属重点行业建设项目，污染物排放实施等量或倍量替换，对重金属排放量继续上升的地区，暂停审批新增重金属污染物排放的建设项目。加大减排项目督导力度，确保项目按期实施。</w:t>
                  </w:r>
                </w:p>
                <w:p w14:paraId="7140B94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危险废物经营许可审批，加强危险废物处置单位规范化管理核查。统筹推进危险废物利用处置能力建设，加快补齐利用处置设施短板。积极推进重点监管源智能监控体系建设，加大危险废物产生、贮存、转运、利用、处置全流程监管力度。规范和完善医疗废物分类收集处置体系。</w:t>
                  </w:r>
                </w:p>
                <w:p w14:paraId="09E213D8">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建设和运行固体废物处置设施，应当采取防扬散、防流失、防渗漏等措施，依法贮存、利用、处置固体废物。处置生活垃圾，应当优先采用焚烧处理技术，有计划地实现垃圾零填埋，已有的垃圾填埋处置设施应当建设渗滤液收集和处理、处置设施，并采取相应措施防止土壤污染。</w:t>
                  </w:r>
                </w:p>
                <w:p w14:paraId="618F6AC9">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、严格危险废物源头管控，优化利用处置结构布局，提高应急保障能力。发展生态循环农业，提升农业废弃物综合利用率。健全完善制度、技术、市场、监管四大政策体系，实现固体废物和危险废物全链条监管。</w:t>
                  </w:r>
                </w:p>
              </w:tc>
              <w:tc>
                <w:tcPr>
                  <w:tcW w:w="773" w:type="pct"/>
                  <w:noWrap w:val="0"/>
                  <w:vAlign w:val="center"/>
                </w:tcPr>
                <w:p w14:paraId="418029CC">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1、不涉及</w:t>
                  </w:r>
                </w:p>
                <w:p w14:paraId="6B196B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2、不涉及</w:t>
                  </w:r>
                </w:p>
                <w:p w14:paraId="40EB2A08">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3、不涉及</w:t>
                  </w:r>
                </w:p>
                <w:p w14:paraId="3AD1693A">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4、本项目固废均妥善处置</w:t>
                  </w:r>
                </w:p>
                <w:p w14:paraId="1B257A4F">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0"/>
                    <w:jc w:val="left"/>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5、不涉及</w:t>
                  </w:r>
                </w:p>
              </w:tc>
              <w:tc>
                <w:tcPr>
                  <w:tcW w:w="245" w:type="pct"/>
                  <w:noWrap w:val="0"/>
                  <w:vAlign w:val="center"/>
                </w:tcPr>
                <w:p w14:paraId="05639CB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74F6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2E3C9F44">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414" w:type="pct"/>
                  <w:gridSpan w:val="2"/>
                  <w:noWrap w:val="0"/>
                  <w:vAlign w:val="center"/>
                </w:tcPr>
                <w:p w14:paraId="02B5926B">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环境风险防控</w:t>
                  </w:r>
                </w:p>
              </w:tc>
              <w:tc>
                <w:tcPr>
                  <w:tcW w:w="3302" w:type="pct"/>
                  <w:noWrap w:val="0"/>
                  <w:vAlign w:val="top"/>
                </w:tcPr>
                <w:p w14:paraId="3870EEE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、每年对集中式饮用水水源保护区开展基础调查与评估，将可能影响水源水质安全的风险源全部列入档案，实行“一源一案”，对每个风险源开展隐患排查、整改，编制风险应急方案，建立联防联控应急机制。</w:t>
                  </w:r>
                </w:p>
                <w:p w14:paraId="71334E5B">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、尾矿库运营、管理单位应当按照规定加强尾矿库的安全管理，采取措施防止土壤污染。危库、险库、病库以及其他需要重点监管的尾矿库运营、管理单位应当按照规定进行土壤污染状况监测和定期评估。</w:t>
                  </w:r>
                </w:p>
                <w:p w14:paraId="7F162B5F">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、产生、收集、贮存、运输、利用、处置危险废物的单位，应当依法制定意外事故的防范措施和应急预案，并向所在地生态环境主管部门和其他负有固体废物污染环境防治监督管理职责的部门备案。</w:t>
                  </w:r>
                </w:p>
                <w:p w14:paraId="50088986">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落实耕地风险防范措施。对安全利用类耕地，应结合当地主要作物品种和种植习惯，采取农艺调控、低积累品种替代、轮作间作等措施，降低农产品超标风险；对严格管控类耕地，依法划定特定农产品禁止生产区域，鼓励采取调整种植结构、退耕还林还草、退耕还湿、轮作休耕等风险管控措施。</w:t>
                  </w:r>
                </w:p>
                <w:p w14:paraId="7D6D137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强化污染地块土壤环境联动监管。抓好退城搬迁工业企业工矿用地土壤环境监督管理，土壤污染重点监管单位拆除设施、设备或者建筑物、构筑物，要制定土壤污染防治工作方案并按要求备案，防范拆除活动造成土壤和地下水污染，切实保障生态环境安全。</w:t>
                  </w:r>
                </w:p>
                <w:p w14:paraId="5AADCCB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建设用地准入管理。加强对土地征收、收回、收购的监督管理，对应当开展土壤污染状况调查而未进行调查的地块，以及列入疑似污染地块名单、污染地块名录、建设用地土壤污染风险管控和修复名录且未达到规划用途土壤环境质量要求的地块，不得进入供地程序进行再开发利用，未达到土壤污染风险管控、修复目标的地块，禁止开工建设任何与风险管控、修复无关的项目，不得批准环境影响评价技术文件、建设工程规划许可证等事项。涉及成片污染地块分期分批开发或周边土地开发的，要科学设定开发时序，防止受污染土壤及其后续风险管控和修复措施对周边人群产生影响。</w:t>
                  </w:r>
                </w:p>
                <w:p w14:paraId="1626DCA9">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7</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加强污染地块风险管控及修复。对暂不开发利用的污染地块，实施以防止污染扩散为目的的风险管控，设立标识、发布公告，并组织开展土壤、地表水、地下水、空气环境监测。对需要实施治理与修复的污染地块，应结合土地利用总体规划和城乡规划编制修复方案并组织实施。加强治理与修复施工的环境监理，并严防治理与修复过程中产生废水、废气和固体废物二次污染。</w:t>
                  </w:r>
                </w:p>
                <w:p w14:paraId="23963C7F">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8</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、县级以上地方人民政府应当根据地下水水源条件和需要，建设应急备用饮用水水源，制定应急预案，确保需要时正常使用。应急备用地下水水源结束应急使用后，应当立即停止取水。</w:t>
                  </w:r>
                </w:p>
                <w:p w14:paraId="07E6F75C">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9</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、针对存在地下水污染的化工园区、危险废物处置场和生活垃圾填埋场等，实施地下水污染风险管控，因地制宜选择阻隔、制度控制、渗透反应格栅等技术，阻止污染扩散，加强风险管控后期地下水环境监管。</w:t>
                  </w:r>
                </w:p>
                <w:p w14:paraId="4F308E87">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、地下水污染风险重点管控区执行《唐山市地下水污染防治重点区划定方案（试行）》中管控类区域管理要求。</w:t>
                  </w:r>
                </w:p>
              </w:tc>
              <w:tc>
                <w:tcPr>
                  <w:tcW w:w="773" w:type="pct"/>
                  <w:noWrap w:val="0"/>
                  <w:vAlign w:val="center"/>
                </w:tcPr>
                <w:p w14:paraId="4819E8EB">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1、2、4、不涉及集中式饮用水水源保护区、尾矿库、耕地等；</w:t>
                  </w:r>
                </w:p>
                <w:p w14:paraId="2E92A843">
                  <w:pPr>
                    <w:pStyle w:val="56"/>
                    <w:keepNext w:val="0"/>
                    <w:keepLines w:val="0"/>
                    <w:pageBreakBefore w:val="0"/>
                    <w:numPr>
                      <w:ilvl w:val="0"/>
                      <w:numId w:val="12"/>
                    </w:numPr>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完成后按要求编制应</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急预案并备案，加强与园区及政府的联动。</w:t>
                  </w:r>
                </w:p>
                <w:p w14:paraId="0B65B040">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5、6、7、8、9、10本项目不涉及</w:t>
                  </w:r>
                </w:p>
              </w:tc>
              <w:tc>
                <w:tcPr>
                  <w:tcW w:w="245" w:type="pct"/>
                  <w:noWrap w:val="0"/>
                  <w:vAlign w:val="center"/>
                </w:tcPr>
                <w:p w14:paraId="25C6181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1519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restart"/>
                  <w:noWrap w:val="0"/>
                  <w:vAlign w:val="center"/>
                </w:tcPr>
                <w:p w14:paraId="6A41EB4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bidi="ar"/>
                      <w14:textFill>
                        <w14:solidFill>
                          <w14:schemeClr w14:val="tx1"/>
                        </w14:solidFill>
                      </w14:textFill>
                    </w:rPr>
                    <w:t>资源</w:t>
                  </w:r>
                </w:p>
              </w:tc>
              <w:tc>
                <w:tcPr>
                  <w:tcW w:w="158" w:type="pct"/>
                  <w:vMerge w:val="restart"/>
                  <w:noWrap w:val="0"/>
                  <w:vAlign w:val="center"/>
                </w:tcPr>
                <w:p w14:paraId="364927E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水资源</w:t>
                  </w:r>
                </w:p>
              </w:tc>
              <w:tc>
                <w:tcPr>
                  <w:tcW w:w="255" w:type="pct"/>
                  <w:noWrap w:val="0"/>
                  <w:vAlign w:val="center"/>
                </w:tcPr>
                <w:p w14:paraId="470243D4">
                  <w:pPr>
                    <w:pStyle w:val="56"/>
                    <w:keepNext w:val="0"/>
                    <w:keepLines w:val="0"/>
                    <w:pageBreakBefore w:val="0"/>
                    <w:widowControl/>
                    <w:suppressLineNumbers w:val="0"/>
                    <w:kinsoku/>
                    <w:wordWrap/>
                    <w:overflowPunct w:val="0"/>
                    <w:topLinePunct w:val="0"/>
                    <w:autoSpaceDE w:val="0"/>
                    <w:autoSpaceDN w:val="0"/>
                    <w:bidi w:val="0"/>
                    <w:adjustRightInd w:val="0"/>
                    <w:snapToGrid w:val="0"/>
                    <w:spacing w:before="0" w:beforeLines="0" w:beforeAutospacing="0" w:after="0" w:afterLines="0" w:afterAutospacing="0" w:line="260" w:lineRule="exact"/>
                    <w:ind w:left="-105" w:leftChars="-50" w:right="-105" w:rightChars="-5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总量和强度要求</w:t>
                  </w:r>
                </w:p>
              </w:tc>
              <w:tc>
                <w:tcPr>
                  <w:tcW w:w="3302" w:type="pct"/>
                  <w:noWrap w:val="0"/>
                  <w:vAlign w:val="center"/>
                </w:tcPr>
                <w:p w14:paraId="4C50FBF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2025</w:t>
                  </w:r>
                  <w:r>
                    <w:rPr>
                      <w:rFonts w:hint="default" w:ascii="Times New Roman" w:hAnsi="Times New Roman" w:cs="Times New Roman"/>
                      <w:color w:val="000000" w:themeColor="text1"/>
                      <w:spacing w:val="0"/>
                      <w:sz w:val="18"/>
                      <w:szCs w:val="18"/>
                      <w:highlight w:val="none"/>
                      <w14:textFill>
                        <w14:solidFill>
                          <w14:schemeClr w14:val="tx1"/>
                        </w14:solidFill>
                      </w14:textFill>
                    </w:rPr>
                    <w:t>年，全市用水总量控制在</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28.48</w:t>
                  </w:r>
                  <w:r>
                    <w:rPr>
                      <w:rFonts w:hint="default" w:ascii="Times New Roman" w:hAnsi="Times New Roman" w:cs="Times New Roman"/>
                      <w:color w:val="000000" w:themeColor="text1"/>
                      <w:spacing w:val="0"/>
                      <w:sz w:val="18"/>
                      <w:szCs w:val="18"/>
                      <w:highlight w:val="none"/>
                      <w14:textFill>
                        <w14:solidFill>
                          <w14:schemeClr w14:val="tx1"/>
                        </w14:solidFill>
                      </w14:textFill>
                    </w:rPr>
                    <w:t>亿立方米以内；万元</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GDP</w:t>
                  </w:r>
                  <w:r>
                    <w:rPr>
                      <w:rFonts w:hint="default" w:ascii="Times New Roman" w:hAnsi="Times New Roman" w:cs="Times New Roman"/>
                      <w:color w:val="000000" w:themeColor="text1"/>
                      <w:spacing w:val="0"/>
                      <w:sz w:val="18"/>
                      <w:szCs w:val="18"/>
                      <w:highlight w:val="none"/>
                      <w14:textFill>
                        <w14:solidFill>
                          <w14:schemeClr w14:val="tx1"/>
                        </w14:solidFill>
                      </w14:textFill>
                    </w:rPr>
                    <w:t>用水量规划目标值</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30.0m³</w:t>
                  </w:r>
                  <w:r>
                    <w:rPr>
                      <w:rFonts w:hint="eastAsia" w:ascii="Times New Roman" w:eastAsia="宋体"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color w:val="000000" w:themeColor="text1"/>
                      <w:spacing w:val="0"/>
                      <w:sz w:val="18"/>
                      <w:szCs w:val="18"/>
                      <w:highlight w:val="none"/>
                      <w14:textFill>
                        <w14:solidFill>
                          <w14:schemeClr w14:val="tx1"/>
                        </w14:solidFill>
                      </w14:textFill>
                    </w:rPr>
                    <w:t>较</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2020</w:t>
                  </w:r>
                  <w:r>
                    <w:rPr>
                      <w:rFonts w:hint="default" w:ascii="Times New Roman" w:hAnsi="Times New Roman" w:cs="Times New Roman"/>
                      <w:color w:val="000000" w:themeColor="text1"/>
                      <w:spacing w:val="0"/>
                      <w:sz w:val="18"/>
                      <w:szCs w:val="18"/>
                      <w:highlight w:val="none"/>
                      <w14:textFill>
                        <w14:solidFill>
                          <w14:schemeClr w14:val="tx1"/>
                        </w14:solidFill>
                      </w14:textFill>
                    </w:rPr>
                    <w:t>年下降率为</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7.4%</w:t>
                  </w:r>
                  <w:r>
                    <w:rPr>
                      <w:rFonts w:hint="default" w:ascii="Times New Roman" w:hAnsi="Times New Roman" w:cs="Times New Roman"/>
                      <w:color w:val="000000" w:themeColor="text1"/>
                      <w:spacing w:val="0"/>
                      <w:sz w:val="18"/>
                      <w:szCs w:val="18"/>
                      <w:highlight w:val="none"/>
                      <w14:textFill>
                        <w14:solidFill>
                          <w14:schemeClr w14:val="tx1"/>
                        </w14:solidFill>
                      </w14:textFill>
                    </w:rPr>
                    <w:t>；万元工业增加值用水量较</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2020</w:t>
                  </w:r>
                  <w:r>
                    <w:rPr>
                      <w:rFonts w:hint="default" w:ascii="Times New Roman" w:hAnsi="Times New Roman" w:cs="Times New Roman"/>
                      <w:color w:val="000000" w:themeColor="text1"/>
                      <w:spacing w:val="0"/>
                      <w:sz w:val="18"/>
                      <w:szCs w:val="18"/>
                      <w:highlight w:val="none"/>
                      <w14:textFill>
                        <w14:solidFill>
                          <w14:schemeClr w14:val="tx1"/>
                        </w14:solidFill>
                      </w14:textFill>
                    </w:rPr>
                    <w:t>年下降</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14.4%</w:t>
                  </w:r>
                  <w:r>
                    <w:rPr>
                      <w:rFonts w:hint="default" w:ascii="Times New Roman" w:hAnsi="Times New Roman" w:cs="Times New Roman"/>
                      <w:color w:val="000000" w:themeColor="text1"/>
                      <w:spacing w:val="0"/>
                      <w:sz w:val="18"/>
                      <w:szCs w:val="18"/>
                      <w:highlight w:val="none"/>
                      <w14:textFill>
                        <w14:solidFill>
                          <w14:schemeClr w14:val="tx1"/>
                        </w14:solidFill>
                      </w14:textFill>
                    </w:rPr>
                    <w:t>；农田灌溉水有效利用系数提高到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0.6766</w:t>
                  </w:r>
                  <w:r>
                    <w:rPr>
                      <w:rFonts w:hint="default" w:ascii="Times New Roman" w:hAnsi="Times New Roman" w:cs="Times New Roman"/>
                      <w:color w:val="000000" w:themeColor="text1"/>
                      <w:spacing w:val="0"/>
                      <w:sz w:val="18"/>
                      <w:szCs w:val="18"/>
                      <w:highlight w:val="none"/>
                      <w14:textFill>
                        <w14:solidFill>
                          <w14:schemeClr w14:val="tx1"/>
                        </w14:solidFill>
                      </w14:textFill>
                    </w:rPr>
                    <w:t>以上；城市公共供水管网漏损率控制在</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10%</w:t>
                  </w:r>
                  <w:r>
                    <w:rPr>
                      <w:rFonts w:hint="default" w:ascii="Times New Roman" w:hAnsi="Times New Roman" w:cs="Times New Roman"/>
                      <w:color w:val="000000" w:themeColor="text1"/>
                      <w:spacing w:val="0"/>
                      <w:sz w:val="18"/>
                      <w:szCs w:val="18"/>
                      <w:highlight w:val="none"/>
                      <w14:textFill>
                        <w14:solidFill>
                          <w14:schemeClr w14:val="tx1"/>
                        </w14:solidFill>
                      </w14:textFill>
                    </w:rPr>
                    <w:t>以内。</w:t>
                  </w:r>
                </w:p>
              </w:tc>
              <w:tc>
                <w:tcPr>
                  <w:tcW w:w="773" w:type="pct"/>
                  <w:noWrap w:val="0"/>
                  <w:vAlign w:val="center"/>
                </w:tcPr>
                <w:p w14:paraId="040EB621">
                  <w:pPr>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项目用水由园区供水管网提供</w:t>
                  </w:r>
                </w:p>
              </w:tc>
              <w:tc>
                <w:tcPr>
                  <w:tcW w:w="245" w:type="pct"/>
                  <w:noWrap w:val="0"/>
                  <w:vAlign w:val="center"/>
                </w:tcPr>
                <w:p w14:paraId="2A6D2E18">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0770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BFAED4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lang w:bidi="ar"/>
                      <w14:textFill>
                        <w14:solidFill>
                          <w14:schemeClr w14:val="tx1"/>
                        </w14:solidFill>
                      </w14:textFill>
                    </w:rPr>
                  </w:pPr>
                </w:p>
              </w:tc>
              <w:tc>
                <w:tcPr>
                  <w:tcW w:w="158" w:type="pct"/>
                  <w:vMerge w:val="continue"/>
                  <w:noWrap w:val="0"/>
                  <w:vAlign w:val="center"/>
                </w:tcPr>
                <w:p w14:paraId="558A5A1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noWrap w:val="0"/>
                  <w:vAlign w:val="center"/>
                </w:tcPr>
                <w:p w14:paraId="4914BB47">
                  <w:pPr>
                    <w:pStyle w:val="56"/>
                    <w:keepNext w:val="0"/>
                    <w:keepLines w:val="0"/>
                    <w:pageBreakBefore w:val="0"/>
                    <w:widowControl/>
                    <w:suppressLineNumbers w:val="0"/>
                    <w:kinsoku/>
                    <w:wordWrap/>
                    <w:overflowPunct w:val="0"/>
                    <w:topLinePunct w:val="0"/>
                    <w:autoSpaceDE w:val="0"/>
                    <w:autoSpaceDN w:val="0"/>
                    <w:bidi w:val="0"/>
                    <w:adjustRightInd w:val="0"/>
                    <w:snapToGrid w:val="0"/>
                    <w:spacing w:before="0" w:beforeLines="0" w:beforeAutospacing="0" w:after="0" w:afterLines="0" w:afterAutospacing="0" w:line="260" w:lineRule="exact"/>
                    <w:ind w:left="-105" w:leftChars="-50" w:right="-105" w:rightChars="-5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资源利用效率要求</w:t>
                  </w:r>
                </w:p>
              </w:tc>
              <w:tc>
                <w:tcPr>
                  <w:tcW w:w="3302" w:type="pct"/>
                  <w:noWrap w:val="0"/>
                  <w:vAlign w:val="top"/>
                </w:tcPr>
                <w:p w14:paraId="2C49460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地下水管理。在地下水禁采区内，除为保障地下工程施工安全和生产安全必须进行临时应急取（排）水、为消除对公共安全或者公共利益的危害临时应急取水，以及为开展地下水监测、勘探、试验少量取水外，禁止取用地下水。在地下水限采区内，对当地社会发展和群众生活有重大影响的重点建设项目确需取用地下水的，应按照用</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减</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的比例以及先减后加的原则，同步削减其他取水单位的地下水开采量，且不得深层、浅层地下水相互替代。地下水开发利用应当以浅层地下水为主。深层地下水作为战略储备水源、应急供水水源、无替代水源地区的居民生活水源，应当严格限制开采。</w:t>
                  </w:r>
                </w:p>
                <w:p w14:paraId="3E312298">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在地下水严重超采地区，实施轮作休耕、旱作雨养，适度退减灌溉面积。严格限制开采深层地下水用于农业灌溉。科学利用水库调蓄功能，用足用好外调水，合理利用当地地表水，鼓励利用非常规水，严格控制开采地下水，确需开采地下水的，由县级人民政府逐级报省人民政府批准。县级以上人民政府水行政主管部门应当加强大中型灌区续建配套和现代化改造，改善灌溉条件，提高灌溉用水效率，建设节水型灌区。</w:t>
                  </w:r>
                </w:p>
                <w:p w14:paraId="794D3ED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、把节水作为水资源开发、利用、保护、配置、调度的前提，加强水资源调度管理。开展城镇后备水源建设，大力开发利用非常规水源，提高水资源的利用效率和效益。</w:t>
                  </w:r>
                </w:p>
              </w:tc>
              <w:tc>
                <w:tcPr>
                  <w:tcW w:w="773" w:type="pct"/>
                  <w:noWrap w:val="0"/>
                  <w:vAlign w:val="center"/>
                </w:tcPr>
                <w:p w14:paraId="0996AC8A">
                  <w:pPr>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项目用水由园区供水管网提供</w:t>
                  </w:r>
                </w:p>
              </w:tc>
              <w:tc>
                <w:tcPr>
                  <w:tcW w:w="245" w:type="pct"/>
                  <w:noWrap w:val="0"/>
                  <w:vAlign w:val="center"/>
                </w:tcPr>
                <w:p w14:paraId="33C5414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5D5C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7E86E2C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restart"/>
                  <w:noWrap w:val="0"/>
                  <w:vAlign w:val="center"/>
                </w:tcPr>
                <w:p w14:paraId="772D0757">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能源</w:t>
                  </w:r>
                </w:p>
              </w:tc>
              <w:tc>
                <w:tcPr>
                  <w:tcW w:w="255" w:type="pct"/>
                  <w:noWrap w:val="0"/>
                  <w:vAlign w:val="center"/>
                </w:tcPr>
                <w:p w14:paraId="3948F78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105" w:leftChars="-50" w:right="-105" w:rightChars="-5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总量和强度要求</w:t>
                  </w:r>
                </w:p>
              </w:tc>
              <w:tc>
                <w:tcPr>
                  <w:tcW w:w="3302" w:type="pct"/>
                  <w:noWrap w:val="0"/>
                  <w:vAlign w:val="center"/>
                </w:tcPr>
                <w:p w14:paraId="06EF21D1">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both"/>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2025</w:t>
                  </w:r>
                  <w:r>
                    <w:rPr>
                      <w:rFonts w:hint="default" w:ascii="Times New Roman" w:hAnsi="Times New Roman" w:cs="Times New Roman"/>
                      <w:color w:val="000000" w:themeColor="text1"/>
                      <w:spacing w:val="0"/>
                      <w:sz w:val="18"/>
                      <w:szCs w:val="18"/>
                      <w:highlight w:val="none"/>
                      <w14:textFill>
                        <w14:solidFill>
                          <w14:schemeClr w14:val="tx1"/>
                        </w14:solidFill>
                      </w14:textFill>
                    </w:rPr>
                    <w:t>年，全市单位地区生产总值能耗、煤炭消费量比</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2020</w:t>
                  </w:r>
                  <w:r>
                    <w:rPr>
                      <w:rFonts w:hint="default" w:ascii="Times New Roman" w:hAnsi="Times New Roman" w:cs="Times New Roman"/>
                      <w:color w:val="000000" w:themeColor="text1"/>
                      <w:spacing w:val="0"/>
                      <w:sz w:val="18"/>
                      <w:szCs w:val="18"/>
                      <w:highlight w:val="none"/>
                      <w14:textFill>
                        <w14:solidFill>
                          <w14:schemeClr w14:val="tx1"/>
                        </w14:solidFill>
                      </w14:textFill>
                    </w:rPr>
                    <w:t>年分别下降</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19%</w:t>
                  </w:r>
                  <w:r>
                    <w:rPr>
                      <w:rFonts w:hint="default" w:ascii="Times New Roman" w:hAnsi="Times New Roman" w:cs="Times New Roman"/>
                      <w:color w:val="000000" w:themeColor="text1"/>
                      <w:spacing w:val="0"/>
                      <w:sz w:val="18"/>
                      <w:szCs w:val="18"/>
                      <w:highlight w:val="none"/>
                      <w14:textFill>
                        <w14:solidFill>
                          <w14:schemeClr w14:val="tx1"/>
                        </w14:solidFill>
                      </w14:textFill>
                    </w:rPr>
                    <w:t>和</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10%</w:t>
                  </w:r>
                  <w:r>
                    <w:rPr>
                      <w:rFonts w:hint="default" w:ascii="Times New Roman" w:hAnsi="Times New Roman" w:cs="Times New Roman"/>
                      <w:color w:val="000000" w:themeColor="text1"/>
                      <w:spacing w:val="0"/>
                      <w:sz w:val="18"/>
                      <w:szCs w:val="18"/>
                      <w:highlight w:val="none"/>
                      <w14:textFill>
                        <w14:solidFill>
                          <w14:schemeClr w14:val="tx1"/>
                        </w14:solidFill>
                      </w14:textFill>
                    </w:rPr>
                    <w:t>；非化石能源占能源消费总量比重达到</w:t>
                  </w:r>
                  <w:r>
                    <w:rPr>
                      <w:rFonts w:hint="default" w:ascii="Times New Roman" w:hAnsi="Times New Roman" w:eastAsia="Times New Roman" w:cs="Times New Roman"/>
                      <w:color w:val="000000" w:themeColor="text1"/>
                      <w:spacing w:val="0"/>
                      <w:sz w:val="18"/>
                      <w:szCs w:val="18"/>
                      <w:highlight w:val="none"/>
                      <w14:textFill>
                        <w14:solidFill>
                          <w14:schemeClr w14:val="tx1"/>
                        </w14:solidFill>
                      </w14:textFill>
                    </w:rPr>
                    <w:t>1.3</w:t>
                  </w:r>
                  <w:r>
                    <w:rPr>
                      <w:rFonts w:hint="default" w:ascii="Times New Roman" w:hAnsi="Times New Roman" w:cs="Times New Roman"/>
                      <w:color w:val="000000" w:themeColor="text1"/>
                      <w:spacing w:val="0"/>
                      <w:sz w:val="18"/>
                      <w:szCs w:val="18"/>
                      <w:highlight w:val="none"/>
                      <w14:textFill>
                        <w14:solidFill>
                          <w14:schemeClr w14:val="tx1"/>
                        </w14:solidFill>
                      </w14:textFill>
                    </w:rPr>
                    <w:t>％左右。</w:t>
                  </w:r>
                </w:p>
              </w:tc>
              <w:tc>
                <w:tcPr>
                  <w:tcW w:w="773" w:type="pct"/>
                  <w:noWrap w:val="0"/>
                  <w:vAlign w:val="center"/>
                </w:tcPr>
                <w:p w14:paraId="3BDB53EA">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w:t>
                  </w:r>
                </w:p>
              </w:tc>
              <w:tc>
                <w:tcPr>
                  <w:tcW w:w="245" w:type="pct"/>
                  <w:noWrap w:val="0"/>
                  <w:vAlign w:val="center"/>
                </w:tcPr>
                <w:p w14:paraId="464376F0">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3924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2427975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vMerge w:val="continue"/>
                  <w:noWrap w:val="0"/>
                  <w:vAlign w:val="center"/>
                </w:tcPr>
                <w:p w14:paraId="53E3890A">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55" w:type="pct"/>
                  <w:noWrap w:val="0"/>
                  <w:vAlign w:val="center"/>
                </w:tcPr>
                <w:p w14:paraId="78E87DC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105" w:leftChars="-50" w:right="-105" w:rightChars="-5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资源利用效率要求</w:t>
                  </w:r>
                </w:p>
              </w:tc>
              <w:tc>
                <w:tcPr>
                  <w:tcW w:w="3302" w:type="pct"/>
                  <w:noWrap w:val="0"/>
                  <w:vAlign w:val="top"/>
                </w:tcPr>
                <w:p w14:paraId="2A31F1EE">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禁燃区内不得新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禁燃区内禁止原煤散烧。</w:t>
                  </w:r>
                </w:p>
                <w:p w14:paraId="08211EF4">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禁燃区内禁止销售高污染燃料；禁止燃用煤炭及其制品（原料煤和发电、集中供热等具备高效污染治理设施企业用煤除外）；石油焦、油页岩、原油、重油、渣油、煤焦油；非专用锅炉或未配置高效除尘设施的专用锅炉燃用的生物质成型燃料等高污染燃料。</w:t>
                  </w:r>
                </w:p>
                <w:p w14:paraId="2F78D08B">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、新建项目禁止配套建设自备燃煤电站。除热电联产外，禁止审批新建燃煤发电项目，现有多台燃煤机组装机容量合计达到国家规定要求的，可以按照煤炭等量替代的原则建设为大容量燃煤机组。</w:t>
                  </w:r>
                </w:p>
                <w:p w14:paraId="7E0D5DB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、对以煤、石油焦、渣油、重油等为燃料的工业炉窑，加快使用清洁低碳能源以及利用工厂余热、电厂热力等进行替代，全市禁止掺烧高硫石油焦（硫含量大于</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。玻璃行业全面禁止掺烧高硫石油焦。</w:t>
                  </w:r>
                </w:p>
                <w:p w14:paraId="2CD8F510">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、钢铁行业按期完成</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立方米以下高炉、</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吨以下转炉升级改造，大力推广高炉富氧喷煤、大球团比等先进冶炼工艺技术，探索推进气基竖炉直接还原炼铁、熔融还原炼铁、富氢燃气炼铁积极推进全废钢电炉工艺，有序实施短流程炼钢改造。焦化行业加快高效精馏系统、高温高压干熄焦等节能技术推广应用。推动工业窑炉、油机、压缩机等重点用能设备进行系统节能改造。</w:t>
                  </w:r>
                </w:p>
              </w:tc>
              <w:tc>
                <w:tcPr>
                  <w:tcW w:w="773" w:type="pct"/>
                  <w:noWrap w:val="0"/>
                  <w:vAlign w:val="center"/>
                </w:tcPr>
                <w:p w14:paraId="0628D894">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left"/>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1、不涉及</w:t>
                  </w:r>
                </w:p>
                <w:p w14:paraId="6D1F3E9C">
                  <w:pPr>
                    <w:pStyle w:val="56"/>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60" w:lineRule="exact"/>
                    <w:ind w:left="0" w:leftChars="0" w:right="0" w:rightChars="0" w:firstLine="0" w:firstLineChars="0"/>
                    <w:jc w:val="both"/>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不涉及</w:t>
                  </w:r>
                </w:p>
                <w:p w14:paraId="664A09A3">
                  <w:pPr>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3、不涉及</w:t>
                  </w:r>
                </w:p>
                <w:p w14:paraId="2305425C">
                  <w:pPr>
                    <w:pStyle w:val="6"/>
                    <w:keepNext w:val="0"/>
                    <w:keepLines w:val="0"/>
                    <w:pageBreakBefore w:val="0"/>
                    <w:suppressLineNumbers w:val="0"/>
                    <w:kinsoku/>
                    <w:wordWrap/>
                    <w:topLinePunct w:val="0"/>
                    <w:bidi w:val="0"/>
                    <w:adjustRightInd w:val="0"/>
                    <w:snapToGrid w:val="0"/>
                    <w:spacing w:before="0" w:beforeAutospacing="0" w:after="0" w:afterAutospacing="0" w:line="260" w:lineRule="exact"/>
                    <w:ind w:left="0" w:leftChars="0" w:right="0" w:rightChars="0" w:firstLine="0" w:firstLineChars="0"/>
                    <w:textAlignment w:val="auto"/>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4、不涉及</w:t>
                  </w:r>
                </w:p>
                <w:p w14:paraId="0D5C78C7">
                  <w:pPr>
                    <w:pStyle w:val="23"/>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both"/>
                    <w:textAlignment w:val="auto"/>
                    <w:rPr>
                      <w:rFonts w:hint="default" w:ascii="Times New Roman" w:hAnsi="Times New Roman" w:cs="Times New Roman"/>
                      <w:color w:val="000000" w:themeColor="text1"/>
                      <w:spacing w:val="0"/>
                      <w:sz w:val="18"/>
                      <w:szCs w:val="18"/>
                      <w:highlight w:val="none"/>
                      <w:lang w:val="en-US"/>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5、不涉及</w:t>
                  </w:r>
                </w:p>
              </w:tc>
              <w:tc>
                <w:tcPr>
                  <w:tcW w:w="245" w:type="pct"/>
                  <w:noWrap w:val="0"/>
                  <w:vAlign w:val="center"/>
                </w:tcPr>
                <w:p w14:paraId="25B6A3BB">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7F4F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502D9503">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noWrap w:val="0"/>
                  <w:vAlign w:val="center"/>
                </w:tcPr>
                <w:p w14:paraId="1A317EE8">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岸线资源</w:t>
                  </w:r>
                </w:p>
              </w:tc>
              <w:tc>
                <w:tcPr>
                  <w:tcW w:w="255" w:type="pct"/>
                  <w:noWrap w:val="0"/>
                  <w:vAlign w:val="center"/>
                </w:tcPr>
                <w:p w14:paraId="326BD7DA">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105" w:leftChars="-50" w:right="-105" w:rightChars="-5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资源利用效率要求</w:t>
                  </w:r>
                </w:p>
              </w:tc>
              <w:tc>
                <w:tcPr>
                  <w:tcW w:w="3302" w:type="pct"/>
                  <w:noWrap w:val="0"/>
                  <w:vAlign w:val="top"/>
                </w:tcPr>
                <w:p w14:paraId="18D01308">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、除国防安全需要外，禁止在严格保护岸线的保护范围内构建</w:t>
                  </w:r>
                  <w:r>
                    <w:rPr>
                      <w:rFonts w:hint="default" w:ascii="Times New Roman" w:hAnsi="Times New Roman" w:cs="Times New Roman"/>
                      <w:color w:val="000000" w:themeColor="text1"/>
                      <w:spacing w:val="0"/>
                      <w:sz w:val="18"/>
                      <w:szCs w:val="18"/>
                      <w:highlight w:val="none"/>
                      <w14:textFill>
                        <w14:solidFill>
                          <w14:schemeClr w14:val="tx1"/>
                        </w14:solidFill>
                      </w14:textFill>
                    </w:rPr>
                    <w:fldChar w:fldCharType="begin"/>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instrText xml:space="preserve"> HYPERLINK "https://baike.baidu.com/item/%E6%B0%B8%E4%B9%85%E6%80%A7%E5%BB%BA%E7%AD%91%E7%89%A9/5891846" </w:instrText>
                  </w:r>
                  <w:r>
                    <w:rPr>
                      <w:rFonts w:hint="default" w:ascii="Times New Roman" w:hAnsi="Times New Roman" w:cs="Times New Roman"/>
                      <w:color w:val="000000" w:themeColor="text1"/>
                      <w:spacing w:val="0"/>
                      <w:sz w:val="18"/>
                      <w:szCs w:val="18"/>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永久性建筑物</w:t>
                  </w:r>
                  <w:r>
                    <w:rPr>
                      <w:rFonts w:hint="default" w:ascii="Times New Roman" w:hAnsi="Times New Roman" w:cs="Times New Roman"/>
                      <w:color w:val="000000" w:themeColor="text1"/>
                      <w:spacing w:val="0"/>
                      <w:sz w:val="18"/>
                      <w:szCs w:val="18"/>
                      <w:highlight w:val="none"/>
                      <w14:textFill>
                        <w14:solidFill>
                          <w14:schemeClr w14:val="tx1"/>
                        </w14:solidFill>
                      </w14:textFill>
                    </w:rPr>
                    <w:fldChar w:fldCharType="end"/>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、围填海、开采海砂、设置排污口等损害海岸地形地貌和生态环境的活动。</w:t>
                  </w:r>
                </w:p>
                <w:p w14:paraId="36964B93">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、限制开发岸线严格控制改变海岸自然形态和影响海岸生态功能的开发利用活动，预留未来发展空间，严格海域使用审批。</w:t>
                  </w:r>
                </w:p>
                <w:p w14:paraId="1F4508C1">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、优化利用岸线应集中布局确需占用海岸线的建设项目，严格控制占用岸线长度，提高投资强度和利用效率，优化海岸线开发利用格局。</w:t>
                  </w:r>
                </w:p>
                <w:p w14:paraId="522BD776">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限制建设项目占用自然岸线，确需占用自然岸线的建设项目应严格进行论证和审批。海域使用论证报告应明确提出占用自然岸线的必要性与合理性结论。不能满足自然岸线保有率管控目标和要求的建设项目用海不予批准。</w:t>
                  </w:r>
                </w:p>
              </w:tc>
              <w:tc>
                <w:tcPr>
                  <w:tcW w:w="773" w:type="pct"/>
                  <w:noWrap w:val="0"/>
                  <w:vAlign w:val="center"/>
                </w:tcPr>
                <w:p w14:paraId="334B734C">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w:t>
                  </w:r>
                </w:p>
              </w:tc>
              <w:tc>
                <w:tcPr>
                  <w:tcW w:w="245" w:type="pct"/>
                  <w:noWrap w:val="0"/>
                  <w:vAlign w:val="center"/>
                </w:tcPr>
                <w:p w14:paraId="490BF642">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w:t>
                  </w:r>
                </w:p>
              </w:tc>
            </w:tr>
            <w:tr w14:paraId="2FC9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64" w:type="pct"/>
                  <w:vMerge w:val="continue"/>
                  <w:noWrap w:val="0"/>
                  <w:vAlign w:val="center"/>
                </w:tcPr>
                <w:p w14:paraId="54BF961D">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158" w:type="pct"/>
                  <w:noWrap w:val="0"/>
                  <w:vAlign w:val="center"/>
                </w:tcPr>
                <w:p w14:paraId="6457F0B0">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土地资源</w:t>
                  </w:r>
                </w:p>
              </w:tc>
              <w:tc>
                <w:tcPr>
                  <w:tcW w:w="255" w:type="pct"/>
                  <w:noWrap w:val="0"/>
                  <w:vAlign w:val="center"/>
                </w:tcPr>
                <w:p w14:paraId="284A559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105" w:leftChars="-50" w:right="-105" w:rightChars="-5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资源利用效率要求</w:t>
                  </w:r>
                </w:p>
              </w:tc>
              <w:tc>
                <w:tcPr>
                  <w:tcW w:w="3302" w:type="pct"/>
                  <w:noWrap w:val="0"/>
                  <w:vAlign w:val="top"/>
                </w:tcPr>
                <w:p w14:paraId="63BA3DD3">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、不得擅自突破城镇建设用地规模和城镇开发边界扩展倍数，严禁违反法律和规划开展用地用海审批。</w:t>
                  </w:r>
                </w:p>
                <w:p w14:paraId="6FBAD765">
                  <w:pPr>
                    <w:pStyle w:val="95"/>
                    <w:keepNext w:val="0"/>
                    <w:keepLines w:val="0"/>
                    <w:pageBreakBefore w:val="0"/>
                    <w:suppressLineNumbers w:val="0"/>
                    <w:kinsoku/>
                    <w:wordWrap/>
                    <w:topLinePunct w:val="0"/>
                    <w:bidi w:val="0"/>
                    <w:adjustRightInd w:val="0"/>
                    <w:snapToGrid w:val="0"/>
                    <w:spacing w:before="0" w:beforeAutospacing="0" w:after="0" w:afterAutospacing="0" w:line="260" w:lineRule="exact"/>
                    <w:ind w:left="0" w:right="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、城镇开发边界外不得进行城镇集中建设，不得规划建设各类开发区和产业园区，不得规划城镇居住用地。</w:t>
                  </w:r>
                </w:p>
              </w:tc>
              <w:tc>
                <w:tcPr>
                  <w:tcW w:w="773" w:type="pct"/>
                  <w:noWrap w:val="0"/>
                  <w:vAlign w:val="center"/>
                </w:tcPr>
                <w:p w14:paraId="23E185CF">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不涉及</w:t>
                  </w:r>
                </w:p>
              </w:tc>
              <w:tc>
                <w:tcPr>
                  <w:tcW w:w="245" w:type="pct"/>
                  <w:noWrap w:val="0"/>
                  <w:vAlign w:val="center"/>
                </w:tcPr>
                <w:p w14:paraId="66440EF5">
                  <w:pPr>
                    <w:pStyle w:val="56"/>
                    <w:keepNext w:val="0"/>
                    <w:keepLines w:val="0"/>
                    <w:pageBreakBefore w:val="0"/>
                    <w:suppressLineNumbers w:val="0"/>
                    <w:kinsoku/>
                    <w:wordWrap/>
                    <w:topLinePunct w:val="0"/>
                    <w:bidi w:val="0"/>
                    <w:adjustRightInd w:val="0"/>
                    <w:snapToGrid w:val="0"/>
                    <w:spacing w:before="0" w:beforeLines="0" w:beforeAutospacing="0" w:after="0" w:afterLines="0" w:afterAutospacing="0" w:line="260" w:lineRule="exact"/>
                    <w:ind w:left="0" w:right="0" w:firstLine="0"/>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w:t>
                  </w:r>
                </w:p>
              </w:tc>
            </w:tr>
          </w:tbl>
          <w:p w14:paraId="348F5B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cs="Times New Roman"/>
                <w:color w:val="000000" w:themeColor="text1"/>
                <w:spacing w:val="0"/>
                <w:sz w:val="24"/>
                <w:highlight w:val="none"/>
                <w14:textFill>
                  <w14:solidFill>
                    <w14:schemeClr w14:val="tx1"/>
                  </w14:solidFill>
                </w14:textFill>
              </w:rPr>
            </w:pPr>
            <w:r>
              <w:rPr>
                <w:rFonts w:hint="default" w:ascii="Times New Roman" w:hAnsi="Times New Roman" w:cs="Times New Roman"/>
                <w:b/>
                <w:bCs/>
                <w:color w:val="000000" w:themeColor="text1"/>
                <w:spacing w:val="0"/>
                <w:sz w:val="24"/>
                <w:highlight w:val="none"/>
                <w14:textFill>
                  <w14:solidFill>
                    <w14:schemeClr w14:val="tx1"/>
                  </w14:solidFill>
                </w14:textFill>
              </w:rPr>
              <w:t>表1-</w:t>
            </w:r>
            <w:r>
              <w:rPr>
                <w:rFonts w:hint="default" w:ascii="Times New Roman" w:hAnsi="Times New Roman" w:cs="Times New Roman"/>
                <w:b/>
                <w:bCs/>
                <w:color w:val="000000" w:themeColor="text1"/>
                <w:spacing w:val="0"/>
                <w:sz w:val="24"/>
                <w:highlight w:val="none"/>
                <w:lang w:val="en-US" w:eastAsia="zh-CN"/>
                <w14:textFill>
                  <w14:solidFill>
                    <w14:schemeClr w14:val="tx1"/>
                  </w14:solidFill>
                </w14:textFill>
              </w:rPr>
              <w:t xml:space="preserve">5  </w:t>
            </w:r>
            <w:r>
              <w:rPr>
                <w:rFonts w:hint="default" w:ascii="Times New Roman" w:hAnsi="Times New Roman" w:cs="Times New Roman"/>
                <w:b/>
                <w:bCs/>
                <w:color w:val="000000" w:themeColor="text1"/>
                <w:spacing w:val="0"/>
                <w:sz w:val="24"/>
                <w:highlight w:val="none"/>
                <w14:textFill>
                  <w14:solidFill>
                    <w14:schemeClr w14:val="tx1"/>
                  </w14:solidFill>
                </w14:textFill>
              </w:rPr>
              <w:t xml:space="preserve">  全市产业总体管控要求表</w:t>
            </w:r>
          </w:p>
          <w:tbl>
            <w:tblPr>
              <w:tblStyle w:val="30"/>
              <w:tblW w:w="4977" w:type="pct"/>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87"/>
              <w:gridCol w:w="631"/>
              <w:gridCol w:w="9174"/>
              <w:gridCol w:w="2058"/>
              <w:gridCol w:w="528"/>
            </w:tblGrid>
            <w:tr w14:paraId="7EE4D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noWrap w:val="0"/>
                  <w:vAlign w:val="center"/>
                </w:tcPr>
                <w:p w14:paraId="3B3B05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要素属性</w:t>
                  </w:r>
                </w:p>
              </w:tc>
              <w:tc>
                <w:tcPr>
                  <w:tcW w:w="245" w:type="pct"/>
                  <w:noWrap w:val="0"/>
                  <w:vAlign w:val="center"/>
                </w:tcPr>
                <w:p w14:paraId="68181F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管控类别</w:t>
                  </w:r>
                </w:p>
              </w:tc>
              <w:tc>
                <w:tcPr>
                  <w:tcW w:w="3561" w:type="pct"/>
                  <w:noWrap w:val="0"/>
                  <w:vAlign w:val="center"/>
                </w:tcPr>
                <w:p w14:paraId="157DEC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管控要求</w:t>
                  </w:r>
                </w:p>
              </w:tc>
              <w:tc>
                <w:tcPr>
                  <w:tcW w:w="799" w:type="pct"/>
                  <w:noWrap w:val="0"/>
                  <w:vAlign w:val="center"/>
                </w:tcPr>
                <w:p w14:paraId="1535A1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项目情况</w:t>
                  </w:r>
                </w:p>
              </w:tc>
              <w:tc>
                <w:tcPr>
                  <w:tcW w:w="205" w:type="pct"/>
                  <w:noWrap w:val="0"/>
                  <w:vAlign w:val="center"/>
                </w:tcPr>
                <w:p w14:paraId="52CB4D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符合性</w:t>
                  </w:r>
                </w:p>
              </w:tc>
            </w:tr>
            <w:tr w14:paraId="19BA5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noWrap w:val="0"/>
                  <w:vAlign w:val="center"/>
                </w:tcPr>
                <w:p w14:paraId="059473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产业总体布局要求</w:t>
                  </w:r>
                </w:p>
              </w:tc>
              <w:tc>
                <w:tcPr>
                  <w:tcW w:w="245" w:type="pct"/>
                  <w:noWrap w:val="0"/>
                  <w:vAlign w:val="center"/>
                </w:tcPr>
                <w:p w14:paraId="28E066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空间布局约束</w:t>
                  </w:r>
                </w:p>
              </w:tc>
              <w:tc>
                <w:tcPr>
                  <w:tcW w:w="3561" w:type="pct"/>
                  <w:noWrap w:val="0"/>
                  <w:vAlign w:val="top"/>
                </w:tcPr>
                <w:p w14:paraId="23AA05D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、严格执行《产业结构调整指导目录》《市场准入负面清单》《河北省禁止投资的产业目录》相关要求。</w:t>
                  </w:r>
                </w:p>
                <w:p w14:paraId="57807E8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、严格执行国家产业政策和准入标准，实行生态环境准入清单制度，禁止新建、扩建高污染项目，严格控制高耗能、高排放项目准入。新建、改建和扩建项目按照相关规定实行减量置换或者等量置换。</w:t>
                  </w:r>
                </w:p>
                <w:p w14:paraId="66BC2A6C">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、禁止投资钢铁冶炼、水泥、电解铝、平板玻璃等产能严重过剩行业和炼焦、有色、电石、铁合金等新增产能项目。</w:t>
                  </w:r>
                </w:p>
                <w:p w14:paraId="2D7551E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、上一年度环境空气质量年平均浓度不达标的城市、水环境质量未达到要求的市县，相关污染物应按照建设项目所需替代的主要污染物排放总量指标的</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倍进行削减替代（燃煤发电机组大气污染物排放浓度基本达到燃气轮机组排放限值的除外）。</w:t>
                  </w:r>
                </w:p>
                <w:p w14:paraId="7A646F9D">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以水泥、平板玻璃、焦化、化工、制药等行业为重点，加快城市建成区重污染企业搬迁改造或关闭退出，县城和主要城镇建成区的重污染企业逐步实施退城搬迁。对不符合国家产业政策、不符合当地产业布局规划的分散燃煤（燃重油等）炉窑，鼓励搬迁入园并进行集中治理，推进治理装备升级改造，建设规模化和集约化工业企业。</w:t>
                  </w:r>
                </w:p>
                <w:p w14:paraId="29127A3D">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、在优先保护类耕地集中区域严格控制新建有色金属冶炼、石油加工、化工、焦化、电镀、制革、铅蓄电池等行业企业，防止对耕地造成污染。</w:t>
                  </w:r>
                </w:p>
                <w:p w14:paraId="3991B2F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7</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新建、改建、扩建“两高”项目须符合生态环境保护法律法规和相关法定规划，满足重点污染物排放总量控制、碳排放达峰目标、生态环境准入清单、相关规划环评和相应行业建设项目环境准入条件、环评文件审批原则要求。</w:t>
                  </w:r>
                </w:p>
                <w:p w14:paraId="30218CF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8</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鼓励钢铁冶炼项目建设依托具备条件的现有钢铁冶炼生产厂区集聚发展，在现有厂区建设钢铁冶炼项目没有粗钢产能建设规模限制要求。对确有必要新选址（指不能与现有生产厂区共用公辅设施，下同）建设的钢铁冶炼项目粗钢产能规模要求如下：沿海地区（指拥有海岸线的设区市）不低于</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2000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万吨</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年（允许分两期建设，</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年内全部建成，一期不低于</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万吨</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年）。</w:t>
                  </w:r>
                </w:p>
                <w:p w14:paraId="19D1D000">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9</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规范危化品管理，逐步退出人口聚集区内危化品的生产、储存、加工机构，加快实施重污染企业搬迁；加强居住区生态环境防护，建设封闭式石化园区，严格控制危化品仓储基地、运输路径等，减少对居民生活影响。</w:t>
                  </w:r>
                </w:p>
                <w:p w14:paraId="2327A0A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控制尿素、磷铵、电石、烧碱、聚氯乙烯、纯碱、黄磷等过剩行业新增产能，相关部门和机构不得违规办理土地（海域）供应、能评、环评和新增授信等业务，对符合政策要求的先进工艺改造提升项目应实行等量或减量置换。有序推进曹妃甸石化产业基地建设。未纳入《石化产业规划布局方案》的新建炼化项目一律不得建设。强化安全卫生防护距离和规划环评约束，不符合要求的化工园区、化工品储存项目要关闭退出，危险化学品生产企业搬迁改造及新建化工项目必须进入规范化工园区。</w:t>
                  </w:r>
                </w:p>
                <w:p w14:paraId="55A6671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、逐步淘汰</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180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平方米以下烧结机，逐步淘汰平面步进式烧结机，按照有关规定改造升级为大型带式烧结机；禁止新建球团竖炉，现有球团竖炉炉役到期不得大修，加快推动以链篦机</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回转窑或带式焙烧机工艺取代球团竖炉工艺，鼓励企业之间通过合资合作方式建设大型链篦机</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回转窑、带式焙烧机；加快推动以密闭皮带机取代汽车转运厂内大宗物料。</w:t>
                  </w:r>
                </w:p>
                <w:p w14:paraId="2F07185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、技术装备全面升级，高炉逐步达到</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立方米及以上、转炉逐步达到</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100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吨及以上、烧结机逐步达到</w:t>
                  </w: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180</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平方米烧结机及以上。严格按照国家规定的产能减量置换政策实施改造升级，坚决杜绝借改造升级之机变相扩大生产能力；推广“一罐到底”工艺或采用鱼雷罐车运输铁水。</w:t>
                  </w:r>
                </w:p>
                <w:p w14:paraId="35C106F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、尚未配备脱硫装置的球团竖炉，立即停产淘汰，不再予以改造；烧结厂房实现全封闭。</w:t>
                  </w:r>
                </w:p>
                <w:p w14:paraId="3F025B0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14</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、严禁备案和新建扩大产能的水泥熟料、平板玻璃项目。确有必要新建的，必须制定产能置换方案，实施产能置换。用于产能置换的生产线，必须在建设项目投产前关停并完成拆除退出。</w:t>
                  </w:r>
                </w:p>
                <w:p w14:paraId="1458DCA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15</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、引导和支持优势水泥熟料企业开展对单独粉磨企业的整合。</w:t>
                  </w:r>
                </w:p>
                <w:p w14:paraId="3CF4E45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16</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、平板玻璃行业生产布局应满足《平板玻璃行业规范条件》要求。</w:t>
                  </w:r>
                </w:p>
                <w:p w14:paraId="700AE64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17</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严格控制矿产资源开采总量，重点压减与煤炭、水泥、玻璃等过剩产能行业配套的矿产资源开采总量。停止新批石膏矿项目、平原区煤炭开发项目。暂停新增生产能力的产能过剩矿产开发项目审批，已有矿山暂停扩大矿区范围审批。暂停新上露天矿产开发项目审批，已有露天矿山暂停扩大矿区范围审批。暂停新上达不到工业品位的铁矿开发项目审批。做好矿区开发生态环境影响评估论证，论证不通过，一律禁止开发。</w:t>
                  </w:r>
                </w:p>
                <w:p w14:paraId="14D99F1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18</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实施矿山关闭和停批。依法关闭严重破坏生态环境和严重浪费水资源的矿山；依法关闭列入煤炭去产能计划的煤矿；依法关闭限期整改仍达不到生态环境保护要求和环保、安全标准的矿山；依法关闭现有石膏矿和严重污染环境的石灰窑、小建材加工点。</w:t>
                  </w:r>
                </w:p>
              </w:tc>
              <w:tc>
                <w:tcPr>
                  <w:tcW w:w="799" w:type="pct"/>
                  <w:noWrap w:val="0"/>
                  <w:vAlign w:val="center"/>
                </w:tcPr>
                <w:p w14:paraId="644B0B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1、2、3、7、8本项目符合产业结构相关要求，不属于高污染、高耗能、高排放项目，不属于钢铁冶炼、水泥、电解铝、平板玻璃、炼焦、有色、电石、铁合金等行业</w:t>
                  </w:r>
                </w:p>
                <w:p w14:paraId="0B27AB5D">
                  <w:pPr>
                    <w:keepNext w:val="0"/>
                    <w:keepLines w:val="0"/>
                    <w:pageBreakBefore w:val="0"/>
                    <w:widowControl w:val="0"/>
                    <w:numPr>
                      <w:ilvl w:val="0"/>
                      <w:numId w:val="11"/>
                    </w:numPr>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不涉及</w:t>
                  </w:r>
                </w:p>
                <w:p w14:paraId="33B6417A">
                  <w:pPr>
                    <w:keepNext w:val="0"/>
                    <w:keepLines w:val="0"/>
                    <w:pageBreakBefore w:val="0"/>
                    <w:widowControl w:val="0"/>
                    <w:numPr>
                      <w:ilvl w:val="0"/>
                      <w:numId w:val="11"/>
                    </w:numPr>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本项目不属于高污染高耗水行业，且不属于十大重点行业，不涉及新增废水产生</w:t>
                  </w:r>
                </w:p>
                <w:p w14:paraId="5B9CAC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6-9、不涉及</w:t>
                  </w:r>
                </w:p>
                <w:p w14:paraId="3C0F2B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textAlignment w:val="auto"/>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10、本项目不属于尿素、磷铵、电石、烧碱、聚氯乙烯、纯碱、黄磷等过剩行业</w:t>
                  </w:r>
                </w:p>
                <w:p w14:paraId="331D54A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left"/>
                    <w:textAlignment w:val="auto"/>
                    <w:rPr>
                      <w:rFonts w:hint="default" w:ascii="Times New Roman" w:hAnsi="Times New Roman" w:cs="Times New Roman"/>
                      <w:color w:val="000000" w:themeColor="text1"/>
                      <w:spacing w:val="0"/>
                      <w:sz w:val="18"/>
                      <w:szCs w:val="18"/>
                      <w:highlight w:val="none"/>
                      <w:lang w:val="en-US"/>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11</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-18、不涉及</w:t>
                  </w:r>
                </w:p>
                <w:p w14:paraId="13C54D1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left"/>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05" w:type="pct"/>
                  <w:noWrap w:val="0"/>
                  <w:vAlign w:val="center"/>
                </w:tcPr>
                <w:p w14:paraId="4BC53B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5F554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vMerge w:val="restart"/>
                  <w:noWrap w:val="0"/>
                  <w:vAlign w:val="center"/>
                </w:tcPr>
                <w:p w14:paraId="73AC25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项目入园准入要求</w:t>
                  </w:r>
                </w:p>
              </w:tc>
              <w:tc>
                <w:tcPr>
                  <w:tcW w:w="245" w:type="pct"/>
                  <w:vMerge w:val="restart"/>
                  <w:noWrap w:val="0"/>
                  <w:vAlign w:val="center"/>
                </w:tcPr>
                <w:p w14:paraId="5734E5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空间布局约束</w:t>
                  </w:r>
                </w:p>
              </w:tc>
              <w:tc>
                <w:tcPr>
                  <w:tcW w:w="3561" w:type="pct"/>
                  <w:noWrap w:val="0"/>
                  <w:vAlign w:val="center"/>
                </w:tcPr>
                <w:p w14:paraId="205BF64E">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both"/>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1</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、禁止资源消耗高、环境污染重、废物难处理、不符合国家、河北省、唐山市产业政策的落后生产技术、工艺、装备和产品进入工业园区。</w:t>
                  </w:r>
                </w:p>
              </w:tc>
              <w:tc>
                <w:tcPr>
                  <w:tcW w:w="799" w:type="pct"/>
                  <w:noWrap w:val="0"/>
                  <w:vAlign w:val="center"/>
                </w:tcPr>
                <w:p w14:paraId="5F30D7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本项目不属于资源消耗高、环境污染重、废物难处理、不属于国家、河北省、唐山市产业政策的落后生产技术、工艺、装备和产品</w:t>
                  </w:r>
                </w:p>
              </w:tc>
              <w:tc>
                <w:tcPr>
                  <w:tcW w:w="205" w:type="pct"/>
                  <w:noWrap w:val="0"/>
                  <w:vAlign w:val="center"/>
                </w:tcPr>
                <w:p w14:paraId="65A86C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400F5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vMerge w:val="continue"/>
                  <w:noWrap w:val="0"/>
                  <w:vAlign w:val="center"/>
                </w:tcPr>
                <w:p w14:paraId="7188A7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vMerge w:val="continue"/>
                  <w:noWrap w:val="0"/>
                  <w:vAlign w:val="center"/>
                </w:tcPr>
                <w:p w14:paraId="7D3F5C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3561" w:type="pct"/>
                  <w:noWrap w:val="0"/>
                  <w:vAlign w:val="top"/>
                </w:tcPr>
                <w:p w14:paraId="476F9711">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加强企业入区管理，严格按照工业园区规划产业定位及产业布局安排入区项目，禁止不符合工业园区产业定位的项目入驻。合理安排工业园区发展时序，入驻企业选址与周围居民点的距离应满足大气环境防护距离要求，生活空间周边禁止布局高噪声生产企业。</w:t>
                  </w:r>
                </w:p>
              </w:tc>
              <w:tc>
                <w:tcPr>
                  <w:tcW w:w="799" w:type="pct"/>
                  <w:noWrap w:val="0"/>
                  <w:vAlign w:val="center"/>
                </w:tcPr>
                <w:p w14:paraId="24458F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lang w:val="en-US"/>
                      <w14:textFill>
                        <w14:solidFill>
                          <w14:schemeClr w14:val="tx1"/>
                        </w14:solidFill>
                      </w14:textFill>
                    </w:rPr>
                  </w:pP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项目将噪声设备布置在厂区西侧，布局远离居民区，</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符合</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规划环评要求</w:t>
                  </w:r>
                </w:p>
              </w:tc>
              <w:tc>
                <w:tcPr>
                  <w:tcW w:w="205" w:type="pct"/>
                  <w:noWrap w:val="0"/>
                  <w:vAlign w:val="center"/>
                </w:tcPr>
                <w:p w14:paraId="00EA76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2A501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vMerge w:val="continue"/>
                  <w:noWrap w:val="0"/>
                  <w:vAlign w:val="center"/>
                </w:tcPr>
                <w:p w14:paraId="203C65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vMerge w:val="continue"/>
                  <w:noWrap w:val="0"/>
                  <w:vAlign w:val="center"/>
                </w:tcPr>
                <w:p w14:paraId="502452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3561" w:type="pct"/>
                  <w:noWrap w:val="0"/>
                  <w:vAlign w:val="top"/>
                </w:tcPr>
                <w:p w14:paraId="4B09403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Times New Roman" w:cs="Times New Roman"/>
                      <w:color w:val="000000" w:themeColor="text1"/>
                      <w:spacing w:val="0"/>
                      <w:sz w:val="18"/>
                      <w:szCs w:val="18"/>
                      <w:highlight w:val="none"/>
                      <w:lang w:eastAsia="zh-CN"/>
                      <w14:textFill>
                        <w14:solidFill>
                          <w14:schemeClr w14:val="tx1"/>
                        </w14:solidFill>
                      </w14:textFill>
                    </w:rPr>
                    <w:t>3</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县级以下一律不再建设新的园区，造纸、焦化、氮肥、有色金属、印染、原料药制造、皮革、农药、电镀、钢铁、石灰、平板玻璃、石化、化工等高污染工业项目必须入园进区，其他工业项目原则上也不在园区外布局，认定为化工重点监控点的企业项目除外。</w:t>
                  </w:r>
                </w:p>
              </w:tc>
              <w:tc>
                <w:tcPr>
                  <w:tcW w:w="799" w:type="pct"/>
                  <w:noWrap w:val="0"/>
                  <w:vAlign w:val="center"/>
                </w:tcPr>
                <w:p w14:paraId="05A46C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本项目所在的</w:t>
                  </w:r>
                  <w:r>
                    <w:rPr>
                      <w:rFonts w:hint="default" w:ascii="Times New Roman" w:hAnsi="Times New Roman" w:cs="Times New Roman"/>
                      <w:color w:val="000000" w:themeColor="text1"/>
                      <w:spacing w:val="0"/>
                      <w:sz w:val="18"/>
                      <w:szCs w:val="18"/>
                      <w:highlight w:val="none"/>
                      <w:lang w:val="en-US" w:eastAsia="zh-CN"/>
                      <w14:textFill>
                        <w14:solidFill>
                          <w14:schemeClr w14:val="tx1"/>
                        </w14:solidFill>
                      </w14:textFill>
                    </w:rPr>
                    <w:t>河北迁安</w:t>
                  </w: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经济开发区为省级园区</w:t>
                  </w:r>
                </w:p>
              </w:tc>
              <w:tc>
                <w:tcPr>
                  <w:tcW w:w="205" w:type="pct"/>
                  <w:noWrap w:val="0"/>
                  <w:vAlign w:val="center"/>
                </w:tcPr>
                <w:p w14:paraId="57B100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770D8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vMerge w:val="continue"/>
                  <w:noWrap w:val="0"/>
                  <w:vAlign w:val="center"/>
                </w:tcPr>
                <w:p w14:paraId="54D19A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vMerge w:val="continue"/>
                  <w:noWrap w:val="0"/>
                  <w:vAlign w:val="center"/>
                </w:tcPr>
                <w:p w14:paraId="6FFCC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3561" w:type="pct"/>
                  <w:noWrap w:val="0"/>
                  <w:vAlign w:val="top"/>
                </w:tcPr>
                <w:p w14:paraId="770B502D">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4、新建、升级工业园区</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工业集聚区</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必须同步规划、建设污水、垃圾集中处理等污染治理设施。所有工业园区全部建成污水集中处理设施，并安装自动在线监控装置。加快完善工业园区配套污水管网，推进“清污分流、雨污分流”，实现园区内工业企业废水统一收集，集中处理，污水集中处理设施稳定达标运行。推进重点流域工业园区污水集中处理设施提标改造，推进工业园区“一园一档”、“一企一册”环保管理制度建设，逐步规范完善园区水环境管理台账。</w:t>
                  </w:r>
                </w:p>
              </w:tc>
              <w:tc>
                <w:tcPr>
                  <w:tcW w:w="799" w:type="pct"/>
                  <w:noWrap w:val="0"/>
                  <w:vAlign w:val="center"/>
                </w:tcPr>
                <w:p w14:paraId="5E4E08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园区建有污水处理设施及垃圾集中处理等污染设施</w:t>
                  </w:r>
                </w:p>
              </w:tc>
              <w:tc>
                <w:tcPr>
                  <w:tcW w:w="205" w:type="pct"/>
                  <w:noWrap w:val="0"/>
                  <w:vAlign w:val="center"/>
                </w:tcPr>
                <w:p w14:paraId="3703B4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79911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vMerge w:val="continue"/>
                  <w:noWrap w:val="0"/>
                  <w:vAlign w:val="center"/>
                </w:tcPr>
                <w:p w14:paraId="2032CE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245" w:type="pct"/>
                  <w:vMerge w:val="continue"/>
                  <w:noWrap w:val="0"/>
                  <w:vAlign w:val="center"/>
                </w:tcPr>
                <w:p w14:paraId="27BAC0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p>
              </w:tc>
              <w:tc>
                <w:tcPr>
                  <w:tcW w:w="3561" w:type="pct"/>
                  <w:noWrap w:val="0"/>
                  <w:vAlign w:val="center"/>
                </w:tcPr>
                <w:p w14:paraId="1525751F">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both"/>
                    <w:textAlignment w:val="auto"/>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5、新建涉高VOCs排放的建设项目，即石化、化工、包装印刷、工业涂装等重点行业及其他工业行业VOCs排放量大、排放强度高的新建项目，原则上要进入园区，认定为化工重点监控点的企业项目除外。</w:t>
                  </w:r>
                </w:p>
              </w:tc>
              <w:tc>
                <w:tcPr>
                  <w:tcW w:w="799" w:type="pct"/>
                  <w:noWrap w:val="0"/>
                  <w:vAlign w:val="center"/>
                </w:tcPr>
                <w:p w14:paraId="445589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不涉及</w:t>
                  </w:r>
                </w:p>
              </w:tc>
              <w:tc>
                <w:tcPr>
                  <w:tcW w:w="205" w:type="pct"/>
                  <w:noWrap w:val="0"/>
                  <w:vAlign w:val="center"/>
                </w:tcPr>
                <w:p w14:paraId="5CF835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r w14:paraId="05ED8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89" w:type="pct"/>
                  <w:noWrap w:val="0"/>
                  <w:vAlign w:val="top"/>
                </w:tcPr>
                <w:p w14:paraId="23BB26F9">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涉VOCs</w:t>
                  </w:r>
                </w:p>
              </w:tc>
              <w:tc>
                <w:tcPr>
                  <w:tcW w:w="245" w:type="pct"/>
                  <w:noWrap w:val="0"/>
                  <w:vAlign w:val="top"/>
                </w:tcPr>
                <w:p w14:paraId="3388CEBA">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污染物排放管控</w:t>
                  </w:r>
                </w:p>
              </w:tc>
              <w:tc>
                <w:tcPr>
                  <w:tcW w:w="3561" w:type="pct"/>
                  <w:noWrap w:val="0"/>
                  <w:vAlign w:val="center"/>
                </w:tcPr>
                <w:p w14:paraId="6F0F975A">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both"/>
                    <w:textAlignment w:val="auto"/>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涉VOCs排放工业企业污染物排放应达到《挥发性有机物无组织排放控制标准》</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GB37822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、《工业企业挥发性有机物排放控制标准》</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DB13/2322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18"/>
                      <w:szCs w:val="18"/>
                      <w:highlight w:val="none"/>
                      <w:lang w:eastAsia="zh-CN"/>
                      <w14:textFill>
                        <w14:solidFill>
                          <w14:schemeClr w14:val="tx1"/>
                        </w14:solidFill>
                      </w14:textFill>
                    </w:rPr>
                    <w:t>及国家、省、市相关排放标准要求。</w:t>
                  </w:r>
                </w:p>
              </w:tc>
              <w:tc>
                <w:tcPr>
                  <w:tcW w:w="799" w:type="pct"/>
                  <w:noWrap w:val="0"/>
                  <w:vAlign w:val="center"/>
                </w:tcPr>
                <w:p w14:paraId="4AD818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不涉及</w:t>
                  </w:r>
                </w:p>
              </w:tc>
              <w:tc>
                <w:tcPr>
                  <w:tcW w:w="205" w:type="pct"/>
                  <w:noWrap w:val="0"/>
                  <w:vAlign w:val="center"/>
                </w:tcPr>
                <w:p w14:paraId="1842AC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000000" w:themeColor="text1"/>
                      <w:spacing w:val="0"/>
                      <w:sz w:val="18"/>
                      <w:szCs w:val="18"/>
                      <w:highlight w:val="none"/>
                      <w14:textFill>
                        <w14:solidFill>
                          <w14:schemeClr w14:val="tx1"/>
                        </w14:solidFill>
                      </w14:textFill>
                    </w:rPr>
                  </w:pPr>
                  <w:r>
                    <w:rPr>
                      <w:rFonts w:hint="default" w:ascii="Times New Roman" w:hAnsi="Times New Roman" w:cs="Times New Roman"/>
                      <w:color w:val="000000" w:themeColor="text1"/>
                      <w:spacing w:val="0"/>
                      <w:sz w:val="18"/>
                      <w:szCs w:val="18"/>
                      <w:highlight w:val="none"/>
                      <w14:textFill>
                        <w14:solidFill>
                          <w14:schemeClr w14:val="tx1"/>
                        </w14:solidFill>
                      </w14:textFill>
                    </w:rPr>
                    <w:t>符合</w:t>
                  </w:r>
                </w:p>
              </w:tc>
            </w:tr>
          </w:tbl>
          <w:p w14:paraId="1DDF0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b/>
                <w:color w:val="000000" w:themeColor="text1"/>
                <w:spacing w:val="0"/>
                <w:sz w:val="24"/>
                <w:highlight w:val="none"/>
                <w14:textFill>
                  <w14:solidFill>
                    <w14:schemeClr w14:val="tx1"/>
                  </w14:solidFill>
                </w14:textFill>
              </w:rPr>
            </w:pPr>
            <w:bookmarkStart w:id="3" w:name="_bookmark7"/>
            <w:bookmarkEnd w:id="3"/>
            <w:r>
              <w:rPr>
                <w:rFonts w:hint="default" w:ascii="Times New Roman" w:hAnsi="Times New Roman" w:eastAsia="宋体" w:cs="Times New Roman"/>
                <w:b/>
                <w:color w:val="000000" w:themeColor="text1"/>
                <w:spacing w:val="0"/>
                <w:sz w:val="24"/>
                <w:highlight w:val="none"/>
                <w14:textFill>
                  <w14:solidFill>
                    <w14:schemeClr w14:val="tx1"/>
                  </w14:solidFill>
                </w14:textFill>
              </w:rPr>
              <w:t>表</w:t>
            </w:r>
            <w:r>
              <w:rPr>
                <w:rFonts w:hint="default" w:ascii="Times New Roman" w:hAnsi="Times New Roman" w:cs="Times New Roman"/>
                <w:b/>
                <w:bCs/>
                <w:color w:val="000000" w:themeColor="text1"/>
                <w:spacing w:val="0"/>
                <w:sz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0"/>
                <w:sz w:val="24"/>
                <w:highlight w:val="none"/>
                <w:lang w:val="en-US" w:eastAsia="zh-CN"/>
                <w14:textFill>
                  <w14:solidFill>
                    <w14:schemeClr w14:val="tx1"/>
                  </w14:solidFill>
                </w14:textFill>
              </w:rPr>
              <w:t>-</w:t>
            </w:r>
            <w:r>
              <w:rPr>
                <w:rFonts w:hint="default" w:ascii="Times New Roman" w:hAnsi="Times New Roman" w:cs="Times New Roman"/>
                <w:b/>
                <w:bCs/>
                <w:color w:val="000000" w:themeColor="text1"/>
                <w:spacing w:val="0"/>
                <w:sz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pacing w:val="0"/>
                <w:sz w:val="24"/>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pacing w:val="0"/>
                <w:sz w:val="24"/>
                <w:highlight w:val="none"/>
                <w14:textFill>
                  <w14:solidFill>
                    <w14:schemeClr w14:val="tx1"/>
                  </w14:solidFill>
                </w14:textFill>
              </w:rPr>
              <w:t xml:space="preserve"> </w:t>
            </w:r>
            <w:r>
              <w:rPr>
                <w:rFonts w:hint="default" w:ascii="Times New Roman" w:hAnsi="Times New Roman" w:eastAsia="Times New Roman" w:cs="Times New Roman"/>
                <w:color w:val="000000" w:themeColor="text1"/>
                <w:spacing w:val="0"/>
                <w:sz w:val="20"/>
                <w:szCs w:val="20"/>
                <w:highlight w:val="none"/>
                <w14:textFill>
                  <w14:solidFill>
                    <w14:schemeClr w14:val="tx1"/>
                  </w14:solidFill>
                </w14:textFill>
              </w:rPr>
              <w:t xml:space="preserve">  </w:t>
            </w:r>
            <w:r>
              <w:rPr>
                <w:rFonts w:hint="default" w:ascii="Times New Roman" w:hAnsi="Times New Roman" w:eastAsia="宋体" w:cs="Times New Roman"/>
                <w:b/>
                <w:color w:val="000000" w:themeColor="text1"/>
                <w:spacing w:val="0"/>
                <w:sz w:val="24"/>
                <w:highlight w:val="none"/>
                <w14:textFill>
                  <w14:solidFill>
                    <w14:schemeClr w14:val="tx1"/>
                  </w14:solidFill>
                </w14:textFill>
              </w:rPr>
              <w:t>管控单元管控要求符合性分析</w:t>
            </w:r>
          </w:p>
          <w:tbl>
            <w:tblPr>
              <w:tblStyle w:val="3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287"/>
              <w:gridCol w:w="437"/>
              <w:gridCol w:w="476"/>
              <w:gridCol w:w="732"/>
              <w:gridCol w:w="680"/>
              <w:gridCol w:w="6926"/>
              <w:gridCol w:w="2509"/>
              <w:gridCol w:w="398"/>
            </w:tblGrid>
            <w:tr w14:paraId="05BF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85" w:type="pct"/>
                  <w:noWrap w:val="0"/>
                  <w:vAlign w:val="center"/>
                </w:tcPr>
                <w:p w14:paraId="7B74CF22">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编号</w:t>
                  </w:r>
                </w:p>
              </w:tc>
              <w:tc>
                <w:tcPr>
                  <w:tcW w:w="111" w:type="pct"/>
                  <w:noWrap w:val="0"/>
                  <w:vAlign w:val="center"/>
                </w:tcPr>
                <w:p w14:paraId="41015D83">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区县</w:t>
                  </w:r>
                </w:p>
              </w:tc>
              <w:tc>
                <w:tcPr>
                  <w:tcW w:w="169" w:type="pct"/>
                  <w:noWrap w:val="0"/>
                  <w:vAlign w:val="center"/>
                </w:tcPr>
                <w:p w14:paraId="3FDDC187">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乡镇</w:t>
                  </w:r>
                </w:p>
              </w:tc>
              <w:tc>
                <w:tcPr>
                  <w:tcW w:w="184" w:type="pct"/>
                  <w:noWrap w:val="0"/>
                  <w:vAlign w:val="center"/>
                </w:tcPr>
                <w:p w14:paraId="52A13574">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单元类别</w:t>
                  </w:r>
                </w:p>
              </w:tc>
              <w:tc>
                <w:tcPr>
                  <w:tcW w:w="283" w:type="pct"/>
                  <w:noWrap w:val="0"/>
                  <w:vAlign w:val="center"/>
                </w:tcPr>
                <w:p w14:paraId="127183E1">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环境要素类别</w:t>
                  </w:r>
                </w:p>
              </w:tc>
              <w:tc>
                <w:tcPr>
                  <w:tcW w:w="263" w:type="pct"/>
                  <w:noWrap w:val="0"/>
                  <w:vAlign w:val="center"/>
                </w:tcPr>
                <w:p w14:paraId="389905F2">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维度</w:t>
                  </w:r>
                </w:p>
              </w:tc>
              <w:tc>
                <w:tcPr>
                  <w:tcW w:w="2678" w:type="pct"/>
                  <w:noWrap w:val="0"/>
                  <w:vAlign w:val="center"/>
                </w:tcPr>
                <w:p w14:paraId="41FB1A9F">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管控措施</w:t>
                  </w:r>
                </w:p>
              </w:tc>
              <w:tc>
                <w:tcPr>
                  <w:tcW w:w="970" w:type="pct"/>
                  <w:noWrap w:val="0"/>
                  <w:vAlign w:val="center"/>
                </w:tcPr>
                <w:p w14:paraId="453B5D72">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规划情况</w:t>
                  </w:r>
                </w:p>
              </w:tc>
              <w:tc>
                <w:tcPr>
                  <w:tcW w:w="154" w:type="pct"/>
                  <w:noWrap w:val="0"/>
                  <w:vAlign w:val="center"/>
                </w:tcPr>
                <w:p w14:paraId="44B38063">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符合性</w:t>
                  </w:r>
                </w:p>
              </w:tc>
            </w:tr>
            <w:tr w14:paraId="6801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 w:type="pct"/>
                  <w:vMerge w:val="restart"/>
                  <w:noWrap w:val="0"/>
                  <w:vAlign w:val="center"/>
                </w:tcPr>
                <w:p w14:paraId="14D58CE4">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t>ZH13</w:t>
                  </w:r>
                </w:p>
                <w:p w14:paraId="5810DCC1">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t>02832</w:t>
                  </w:r>
                </w:p>
                <w:p w14:paraId="6542877F">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t>0009</w:t>
                  </w:r>
                </w:p>
              </w:tc>
              <w:tc>
                <w:tcPr>
                  <w:tcW w:w="111" w:type="pct"/>
                  <w:vMerge w:val="restart"/>
                  <w:noWrap w:val="0"/>
                  <w:vAlign w:val="center"/>
                </w:tcPr>
                <w:p w14:paraId="49951884">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迁安市</w:t>
                  </w:r>
                </w:p>
              </w:tc>
              <w:tc>
                <w:tcPr>
                  <w:tcW w:w="169" w:type="pct"/>
                  <w:vMerge w:val="restart"/>
                  <w:noWrap w:val="0"/>
                  <w:vAlign w:val="center"/>
                </w:tcPr>
                <w:p w14:paraId="2175B960">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滨河街道、木厂口镇、杨店子街道、赵店子镇</w:t>
                  </w:r>
                </w:p>
              </w:tc>
              <w:tc>
                <w:tcPr>
                  <w:tcW w:w="184" w:type="pct"/>
                  <w:vMerge w:val="restart"/>
                  <w:noWrap w:val="0"/>
                  <w:vAlign w:val="center"/>
                </w:tcPr>
                <w:p w14:paraId="01EA8B6F">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重点管控单元</w:t>
                  </w:r>
                </w:p>
              </w:tc>
              <w:tc>
                <w:tcPr>
                  <w:tcW w:w="283" w:type="pct"/>
                  <w:vMerge w:val="restart"/>
                  <w:noWrap w:val="0"/>
                  <w:vAlign w:val="center"/>
                </w:tcPr>
                <w:p w14:paraId="02D14172">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1、河北迁安经济开发区智能创新产业园2、中心城区3、大气环境高排放重点管控区4、水环境工业污染重点管控区</w:t>
                  </w:r>
                </w:p>
                <w:p w14:paraId="20653A33">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5、土壤建设用地污染风险重点管控区</w:t>
                  </w:r>
                </w:p>
                <w:p w14:paraId="24E34E0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6、地下水污染风险重点管控</w:t>
                  </w:r>
                </w:p>
                <w:p w14:paraId="31018BEB">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区7、土地资源重点管控区</w:t>
                  </w:r>
                </w:p>
              </w:tc>
              <w:tc>
                <w:tcPr>
                  <w:tcW w:w="263" w:type="pct"/>
                  <w:noWrap w:val="0"/>
                  <w:vAlign w:val="center"/>
                </w:tcPr>
                <w:p w14:paraId="12779235">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空间布局约束</w:t>
                  </w:r>
                </w:p>
              </w:tc>
              <w:tc>
                <w:tcPr>
                  <w:tcW w:w="2678" w:type="pct"/>
                  <w:noWrap w:val="0"/>
                  <w:vAlign w:val="top"/>
                </w:tcPr>
                <w:p w14:paraId="3BD73E54">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1、钢铁企业执行全市产业总体布局中钢铁行业相关管控要求。</w:t>
                  </w:r>
                </w:p>
                <w:p w14:paraId="6910C0DC">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2、焦化企业执行全市产业总体布局中焦化行业相关管控要求。</w:t>
                  </w:r>
                </w:p>
                <w:p w14:paraId="177BB793">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3、石化化工企业执行全市产业总体布局中石化化工行业相关管控要求。</w:t>
                  </w:r>
                </w:p>
                <w:p w14:paraId="2030C00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4、园区规划范围内基本农田执行全市总体准入要求中一般生态空间的基本农田管控要求。</w:t>
                  </w:r>
                </w:p>
              </w:tc>
              <w:tc>
                <w:tcPr>
                  <w:tcW w:w="970" w:type="pct"/>
                  <w:noWrap w:val="0"/>
                  <w:vAlign w:val="top"/>
                </w:tcPr>
                <w:p w14:paraId="44189174">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项目为固体废物治理</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及</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生物质致密成型燃料加工</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项目</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，位于河北迁安经济开发区，</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租赁现有厂房</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，根据开发区用地规划图，项目占地类型为三类工业用地，不新增占地，不涉及基本农田。</w:t>
                  </w:r>
                </w:p>
              </w:tc>
              <w:tc>
                <w:tcPr>
                  <w:tcW w:w="154" w:type="pct"/>
                  <w:noWrap w:val="0"/>
                  <w:vAlign w:val="center"/>
                </w:tcPr>
                <w:p w14:paraId="1F4349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left"/>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t>符合</w:t>
                  </w:r>
                </w:p>
              </w:tc>
            </w:tr>
            <w:tr w14:paraId="08C3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 w:type="pct"/>
                  <w:vMerge w:val="continue"/>
                  <w:noWrap w:val="0"/>
                  <w:vAlign w:val="center"/>
                </w:tcPr>
                <w:p w14:paraId="13155235">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11" w:type="pct"/>
                  <w:vMerge w:val="continue"/>
                  <w:noWrap w:val="0"/>
                  <w:vAlign w:val="center"/>
                </w:tcPr>
                <w:p w14:paraId="31978227">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69" w:type="pct"/>
                  <w:vMerge w:val="continue"/>
                  <w:noWrap w:val="0"/>
                  <w:vAlign w:val="center"/>
                </w:tcPr>
                <w:p w14:paraId="1A0AA317">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84" w:type="pct"/>
                  <w:vMerge w:val="continue"/>
                  <w:noWrap w:val="0"/>
                  <w:vAlign w:val="center"/>
                </w:tcPr>
                <w:p w14:paraId="4AB4731B">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283" w:type="pct"/>
                  <w:vMerge w:val="continue"/>
                  <w:noWrap w:val="0"/>
                  <w:vAlign w:val="center"/>
                </w:tcPr>
                <w:p w14:paraId="653663DC">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263" w:type="pct"/>
                  <w:noWrap w:val="0"/>
                  <w:vAlign w:val="center"/>
                </w:tcPr>
                <w:p w14:paraId="7F1A929A">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污染物排放管控</w:t>
                  </w:r>
                </w:p>
              </w:tc>
              <w:tc>
                <w:tcPr>
                  <w:tcW w:w="2678" w:type="pct"/>
                  <w:noWrap w:val="0"/>
                  <w:vAlign w:val="top"/>
                </w:tcPr>
                <w:p w14:paraId="64F3C512">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加强涂料等行业VOCs治理力度。重点提高涉VOCs排放主要工序密闭化水平，加强无组织排放收集，加大含VOCs物料储存和装卸治理力度。</w:t>
                  </w:r>
                </w:p>
              </w:tc>
              <w:tc>
                <w:tcPr>
                  <w:tcW w:w="970" w:type="pct"/>
                  <w:noWrap w:val="0"/>
                  <w:vAlign w:val="top"/>
                </w:tcPr>
                <w:p w14:paraId="5AAF359C">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项目为固体废物治理</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及</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生物质致密成型燃料加工</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项目</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，不涉及排放VOCs气体</w:t>
                  </w:r>
                </w:p>
              </w:tc>
              <w:tc>
                <w:tcPr>
                  <w:tcW w:w="154" w:type="pct"/>
                  <w:noWrap w:val="0"/>
                  <w:vAlign w:val="center"/>
                </w:tcPr>
                <w:p w14:paraId="6A1B28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符合</w:t>
                  </w:r>
                </w:p>
              </w:tc>
            </w:tr>
            <w:tr w14:paraId="1637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 w:type="pct"/>
                  <w:vMerge w:val="continue"/>
                  <w:noWrap w:val="0"/>
                  <w:vAlign w:val="center"/>
                </w:tcPr>
                <w:p w14:paraId="03CB1486">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11" w:type="pct"/>
                  <w:vMerge w:val="continue"/>
                  <w:noWrap w:val="0"/>
                  <w:vAlign w:val="center"/>
                </w:tcPr>
                <w:p w14:paraId="34804216">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69" w:type="pct"/>
                  <w:vMerge w:val="continue"/>
                  <w:noWrap w:val="0"/>
                  <w:vAlign w:val="center"/>
                </w:tcPr>
                <w:p w14:paraId="1626EF8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84" w:type="pct"/>
                  <w:vMerge w:val="continue"/>
                  <w:noWrap w:val="0"/>
                  <w:vAlign w:val="center"/>
                </w:tcPr>
                <w:p w14:paraId="14D3FF8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283" w:type="pct"/>
                  <w:vMerge w:val="continue"/>
                  <w:noWrap w:val="0"/>
                  <w:vAlign w:val="center"/>
                </w:tcPr>
                <w:p w14:paraId="01DBC95B">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263" w:type="pct"/>
                  <w:noWrap w:val="0"/>
                  <w:vAlign w:val="center"/>
                </w:tcPr>
                <w:p w14:paraId="0846480B">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环境风险防控</w:t>
                  </w:r>
                </w:p>
              </w:tc>
              <w:tc>
                <w:tcPr>
                  <w:tcW w:w="2678" w:type="pct"/>
                  <w:noWrap w:val="0"/>
                  <w:vAlign w:val="center"/>
                </w:tcPr>
                <w:p w14:paraId="0B27A6C1">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1、严格落实规划环评及其批复文件制定的环境风险防范措施。</w:t>
                  </w:r>
                </w:p>
                <w:p w14:paraId="07F1DA2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2、开发区及入区企业应当依法制定并及时修订《突发环境事件应急预案》，成立应急组织机构，定期开展应急演练，提高区域环境风险防范能力。</w:t>
                  </w:r>
                </w:p>
                <w:p w14:paraId="2F97D47D">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3、产生、收集、贮存、运输、利用、处置危险废物的单位，应当依法制定意外事故的防范措施和应急预案，并向所在地生态环境主管部门和其他负有固体废物污染环境防治监督管理职责的部门备案。</w:t>
                  </w:r>
                </w:p>
                <w:p w14:paraId="25082471">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4、土壤污染重点监管单位应严格控制有毒有害物质排放，并按年度向所在地生态环境主管部门报告排放情况；建立土壤污染隐患排查制度，及时开展隐患排查，发现土壤污染隐患并采取措施消除或者降低污染隐患，保证持续有效防止有毒有害物质渗漏、流失、扬散；制定、实施自行监测方案，按照相关技术规范要求开展土壤、地下水环境监测，并将监测数据报所在地生态环境主管部门。</w:t>
                  </w:r>
                </w:p>
              </w:tc>
              <w:tc>
                <w:tcPr>
                  <w:tcW w:w="970" w:type="pct"/>
                  <w:noWrap w:val="0"/>
                  <w:vAlign w:val="center"/>
                </w:tcPr>
                <w:p w14:paraId="6D79E56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1、项目采取严格的环境风险防范措施，防止对区域周边环境敏感点和地表水环境造成影响；2、3、公司</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按要求编制</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突发环境事件应急预案。项目针对可能出现的突发环境事件制定了完善的风险防范措施，环境风险可防控；4、项目不属于土壤污染重点监管单位，项目采取分区防渗等措施，对土壤污染较小；</w:t>
                  </w:r>
                </w:p>
              </w:tc>
              <w:tc>
                <w:tcPr>
                  <w:tcW w:w="154" w:type="pct"/>
                  <w:noWrap w:val="0"/>
                  <w:vAlign w:val="center"/>
                </w:tcPr>
                <w:p w14:paraId="0B4BD6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符合</w:t>
                  </w:r>
                </w:p>
              </w:tc>
            </w:tr>
            <w:tr w14:paraId="7C76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5" w:type="pct"/>
                  <w:vMerge w:val="continue"/>
                  <w:noWrap w:val="0"/>
                  <w:vAlign w:val="center"/>
                </w:tcPr>
                <w:p w14:paraId="6F67CFE9">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11" w:type="pct"/>
                  <w:vMerge w:val="continue"/>
                  <w:noWrap w:val="0"/>
                  <w:vAlign w:val="center"/>
                </w:tcPr>
                <w:p w14:paraId="67CD54B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69" w:type="pct"/>
                  <w:vMerge w:val="continue"/>
                  <w:noWrap w:val="0"/>
                  <w:vAlign w:val="center"/>
                </w:tcPr>
                <w:p w14:paraId="7D97DA71">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184" w:type="pct"/>
                  <w:vMerge w:val="continue"/>
                  <w:noWrap w:val="0"/>
                  <w:vAlign w:val="center"/>
                </w:tcPr>
                <w:p w14:paraId="7C8EC071">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283" w:type="pct"/>
                  <w:vMerge w:val="continue"/>
                  <w:noWrap w:val="0"/>
                  <w:vAlign w:val="center"/>
                </w:tcPr>
                <w:p w14:paraId="768610F2">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p>
              </w:tc>
              <w:tc>
                <w:tcPr>
                  <w:tcW w:w="263" w:type="pct"/>
                  <w:noWrap w:val="0"/>
                  <w:vAlign w:val="center"/>
                </w:tcPr>
                <w:p w14:paraId="6314F8F6">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资源利用效率要求</w:t>
                  </w:r>
                </w:p>
              </w:tc>
              <w:tc>
                <w:tcPr>
                  <w:tcW w:w="2678" w:type="pct"/>
                  <w:noWrap w:val="0"/>
                  <w:vAlign w:val="top"/>
                </w:tcPr>
                <w:p w14:paraId="713EBB79">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1、提高水资源利用效率，减少新鲜水用量。</w:t>
                  </w:r>
                </w:p>
                <w:p w14:paraId="5B8A3BB0">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2、鼓励锅炉、工业炉窑进行余热利用。</w:t>
                  </w:r>
                </w:p>
              </w:tc>
              <w:tc>
                <w:tcPr>
                  <w:tcW w:w="970" w:type="pct"/>
                  <w:noWrap w:val="0"/>
                  <w:vAlign w:val="top"/>
                </w:tcPr>
                <w:p w14:paraId="589AED07">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1、项目用水由现有供水管网提供，</w:t>
                  </w:r>
                  <w:r>
                    <w:rPr>
                      <w:rFonts w:hint="default" w:ascii="Times New Roman" w:hAnsi="Times New Roman"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生产废水经处理后循环使用，</w:t>
                  </w: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外排废水为职工生活污水；2、项目不涉及。</w:t>
                  </w:r>
                </w:p>
              </w:tc>
              <w:tc>
                <w:tcPr>
                  <w:tcW w:w="154" w:type="pct"/>
                  <w:noWrap w:val="0"/>
                  <w:vAlign w:val="center"/>
                </w:tcPr>
                <w:p w14:paraId="24830D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color w:val="000000" w:themeColor="text1"/>
                      <w:spacing w:val="0"/>
                      <w:w w:val="100"/>
                      <w:kern w:val="0"/>
                      <w:sz w:val="18"/>
                      <w:szCs w:val="18"/>
                      <w:highlight w:val="none"/>
                      <w:lang w:val="en-US" w:eastAsia="zh-CN"/>
                      <w14:textFill>
                        <w14:solidFill>
                          <w14:schemeClr w14:val="tx1"/>
                        </w14:solidFill>
                      </w14:textFill>
                    </w:rPr>
                    <w:t>符合</w:t>
                  </w:r>
                </w:p>
              </w:tc>
            </w:tr>
          </w:tbl>
          <w:p w14:paraId="6CF44E0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b/>
                <w:bCs/>
                <w:color w:val="000000" w:themeColor="text1"/>
                <w:spacing w:val="0"/>
                <w:sz w:val="24"/>
                <w:szCs w:val="24"/>
                <w:highlight w:val="none"/>
                <w14:textFill>
                  <w14:solidFill>
                    <w14:schemeClr w14:val="tx1"/>
                  </w14:solidFill>
                </w14:textFill>
              </w:rPr>
            </w:pPr>
            <w:r>
              <w:rPr>
                <w:rFonts w:hint="default" w:ascii="Times New Roman" w:hAnsi="Times New Roman" w:cs="Times New Roman"/>
                <w:b w:val="0"/>
                <w:bCs/>
                <w:color w:val="000000" w:themeColor="text1"/>
                <w:spacing w:val="0"/>
                <w:sz w:val="24"/>
                <w:szCs w:val="24"/>
                <w:highlight w:val="none"/>
                <w:lang w:val="en-US" w:eastAsia="zh-CN"/>
                <w14:textFill>
                  <w14:solidFill>
                    <w14:schemeClr w14:val="tx1"/>
                  </w14:solidFill>
                </w14:textFill>
              </w:rPr>
              <w:t>项目在唐山市环境管控单元中的位置见附图3。</w:t>
            </w:r>
            <w:r>
              <w:rPr>
                <w:rFonts w:hint="default" w:ascii="Times New Roman" w:hAnsi="Times New Roman" w:cs="Times New Roman"/>
                <w:bCs/>
                <w:color w:val="000000" w:themeColor="text1"/>
                <w:spacing w:val="0"/>
                <w:sz w:val="24"/>
                <w:szCs w:val="24"/>
                <w:highlight w:val="none"/>
                <w14:textFill>
                  <w14:solidFill>
                    <w14:schemeClr w14:val="tx1"/>
                  </w14:solidFill>
                </w14:textFill>
              </w:rPr>
              <w:t>采取各项环保措施后，</w:t>
            </w:r>
            <w:r>
              <w:rPr>
                <w:rFonts w:hint="default" w:ascii="Times New Roman" w:hAnsi="Times New Roman" w:cs="Times New Roman"/>
                <w:bCs/>
                <w:color w:val="000000" w:themeColor="text1"/>
                <w:spacing w:val="0"/>
                <w:sz w:val="24"/>
                <w:szCs w:val="24"/>
                <w:highlight w:val="none"/>
                <w:lang w:val="en-US" w:eastAsia="zh-CN"/>
                <w14:textFill>
                  <w14:solidFill>
                    <w14:schemeClr w14:val="tx1"/>
                  </w14:solidFill>
                </w14:textFill>
              </w:rPr>
              <w:t>废气、</w:t>
            </w:r>
            <w:r>
              <w:rPr>
                <w:rFonts w:hint="default" w:ascii="Times New Roman" w:hAnsi="Times New Roman" w:cs="Times New Roman"/>
                <w:bCs/>
                <w:color w:val="000000" w:themeColor="text1"/>
                <w:spacing w:val="0"/>
                <w:sz w:val="24"/>
                <w:szCs w:val="24"/>
                <w:highlight w:val="none"/>
                <w14:textFill>
                  <w14:solidFill>
                    <w14:schemeClr w14:val="tx1"/>
                  </w14:solidFill>
                </w14:textFill>
              </w:rPr>
              <w:t>废水、噪声等均可达标排放，固体废物能够得到合理处置，不产生二次污染。</w:t>
            </w:r>
            <w:r>
              <w:rPr>
                <w:rFonts w:hint="default" w:ascii="Times New Roman" w:hAnsi="Times New Roman" w:cs="Times New Roman"/>
                <w:color w:val="000000" w:themeColor="text1"/>
                <w:spacing w:val="0"/>
                <w:sz w:val="24"/>
                <w:szCs w:val="24"/>
                <w:highlight w:val="none"/>
                <w14:textFill>
                  <w14:solidFill>
                    <w14:schemeClr w14:val="tx1"/>
                  </w14:solidFill>
                </w14:textFill>
              </w:rPr>
              <w:t>综上所述，本项目符合“三线一单”要求。</w:t>
            </w:r>
          </w:p>
          <w:p w14:paraId="6A4697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2、项目产业政策符合性分析</w:t>
            </w:r>
          </w:p>
          <w:p w14:paraId="33EE6A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项目属于</w:t>
            </w:r>
            <w:r>
              <w:rPr>
                <w:rFonts w:hint="default" w:ascii="Times New Roman" w:hAnsi="Times New Roman" w:eastAsia="宋体" w:cs="Times New Roman"/>
                <w:color w:val="000000" w:themeColor="text1"/>
                <w:spacing w:val="0"/>
                <w:sz w:val="24"/>
                <w:szCs w:val="24"/>
                <w:highlight w:val="none"/>
                <w:u w:val="none"/>
                <w:lang w:val="en-US" w:eastAsia="zh-CN"/>
                <w14:textFill>
                  <w14:solidFill>
                    <w14:schemeClr w14:val="tx1"/>
                  </w14:solidFill>
                </w14:textFill>
              </w:rPr>
              <w:t>《产业结构调整指导目录</w:t>
            </w:r>
            <w:r>
              <w:rPr>
                <w:rFonts w:hint="default" w:ascii="Times New Roman" w:hAnsi="Times New Roman" w:cs="Times New Roman"/>
                <w:color w:val="000000" w:themeColor="text1"/>
                <w:spacing w:val="0"/>
                <w:sz w:val="24"/>
                <w:szCs w:val="24"/>
                <w:highlight w:val="none"/>
                <w:u w:val="none"/>
                <w:lang w:val="en-US" w:eastAsia="zh-CN"/>
                <w14:textFill>
                  <w14:solidFill>
                    <w14:schemeClr w14:val="tx1"/>
                  </w14:solidFill>
                </w14:textFill>
              </w:rPr>
              <w:t>（2024</w:t>
            </w:r>
            <w:r>
              <w:rPr>
                <w:rFonts w:hint="default" w:ascii="Times New Roman" w:hAnsi="Times New Roman" w:eastAsia="宋体" w:cs="Times New Roman"/>
                <w:color w:val="000000" w:themeColor="text1"/>
                <w:spacing w:val="0"/>
                <w:sz w:val="24"/>
                <w:szCs w:val="24"/>
                <w:highlight w:val="none"/>
                <w:u w:val="none"/>
                <w:lang w:val="en-US" w:eastAsia="zh-CN"/>
                <w14:textFill>
                  <w14:solidFill>
                    <w14:schemeClr w14:val="tx1"/>
                  </w14:solidFill>
                </w14:textFill>
              </w:rPr>
              <w:t>年本</w:t>
            </w:r>
            <w:r>
              <w:rPr>
                <w:rFonts w:hint="default" w:ascii="Times New Roman" w:hAnsi="Times New Roman" w:cs="Times New Roman"/>
                <w:color w:val="000000" w:themeColor="text1"/>
                <w:spacing w:val="0"/>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u w:val="none"/>
                <w:lang w:val="en-US" w:eastAsia="zh-CN"/>
                <w14:textFill>
                  <w14:solidFill>
                    <w14:schemeClr w14:val="tx1"/>
                  </w14:solidFill>
                </w14:textFill>
              </w:rPr>
              <w:t>》中</w:t>
            </w:r>
            <w:r>
              <w:rPr>
                <w:rFonts w:hint="default" w:ascii="Times New Roman" w:hAnsi="Times New Roman" w:cs="Times New Roman"/>
                <w:color w:val="000000" w:themeColor="text1"/>
                <w:spacing w:val="0"/>
                <w:sz w:val="24"/>
                <w:szCs w:val="24"/>
                <w:highlight w:val="none"/>
                <w:u w:val="none"/>
                <w:lang w:val="en-US" w:eastAsia="zh-CN"/>
                <w14:textFill>
                  <w14:solidFill>
                    <w14:schemeClr w14:val="tx1"/>
                  </w14:solidFill>
                </w14:textFill>
              </w:rPr>
              <w:t>鼓励类“煤矸石、粉煤灰、尾矿（共伴生矿）、冶炼渣、工业副产石膏、赤泥、建筑垃圾等工业废弃物循环利用”</w:t>
            </w:r>
            <w:r>
              <w:rPr>
                <w:rFonts w:hint="default" w:ascii="Times New Roman" w:hAnsi="Times New Roman" w:eastAsia="宋体" w:cs="Times New Roman"/>
                <w:color w:val="000000" w:themeColor="text1"/>
                <w:spacing w:val="0"/>
                <w:sz w:val="24"/>
                <w:szCs w:val="24"/>
                <w:highlight w:val="none"/>
                <w:u w:val="none"/>
                <w:lang w:val="en-US" w:eastAsia="zh-CN"/>
                <w14:textFill>
                  <w14:solidFill>
                    <w14:schemeClr w14:val="tx1"/>
                  </w14:solidFill>
                </w14:textFill>
              </w:rPr>
              <w:t>。本项目已取得</w:t>
            </w:r>
            <w:r>
              <w:rPr>
                <w:rFonts w:hint="default" w:ascii="Times New Roman" w:hAnsi="Times New Roman" w:cs="Times New Roman"/>
                <w:color w:val="000000" w:themeColor="text1"/>
                <w:spacing w:val="0"/>
                <w:sz w:val="24"/>
                <w:szCs w:val="24"/>
                <w:highlight w:val="none"/>
                <w:u w:val="none"/>
                <w:lang w:eastAsia="zh-CN"/>
                <w14:textFill>
                  <w14:solidFill>
                    <w14:schemeClr w14:val="tx1"/>
                  </w14:solidFill>
                </w14:textFill>
              </w:rPr>
              <w:t>河北迁安经济开发区管理委员会（迁安高新技术产业开发区管理委员会）</w:t>
            </w:r>
            <w:r>
              <w:rPr>
                <w:rFonts w:hint="default" w:ascii="Times New Roman" w:hAnsi="Times New Roman" w:eastAsia="宋体" w:cs="Times New Roman"/>
                <w:color w:val="000000" w:themeColor="text1"/>
                <w:spacing w:val="0"/>
                <w:sz w:val="24"/>
                <w:szCs w:val="24"/>
                <w:highlight w:val="none"/>
                <w:u w:val="none"/>
                <w14:textFill>
                  <w14:solidFill>
                    <w14:schemeClr w14:val="tx1"/>
                  </w14:solidFill>
                </w14:textFill>
              </w:rPr>
              <w:t>企业投资项目备案信息</w:t>
            </w:r>
            <w:r>
              <w:rPr>
                <w:rFonts w:hint="default" w:ascii="Times New Roman" w:hAnsi="Times New Roman" w:eastAsia="宋体" w:cs="Times New Roman"/>
                <w:color w:val="000000" w:themeColor="text1"/>
                <w:spacing w:val="0"/>
                <w:sz w:val="24"/>
                <w:szCs w:val="24"/>
                <w:highlight w:val="none"/>
                <w:u w:val="none"/>
                <w:lang w:val="en-US" w:eastAsia="zh-CN"/>
                <w14:textFill>
                  <w14:solidFill>
                    <w14:schemeClr w14:val="tx1"/>
                  </w14:solidFill>
                </w14:textFill>
              </w:rPr>
              <w:t>，备案编</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号：迁经开行审投资西备字〔2026〕61号。因此，本项目建设符合国家产业政策要求。</w:t>
            </w:r>
          </w:p>
          <w:p w14:paraId="2CEA70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rPr>
            </w:pP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3、</w:t>
            </w:r>
            <w:r>
              <w:rPr>
                <w:rFonts w:hint="default" w:ascii="Times New Roman" w:hAnsi="Times New Roman" w:cs="Times New Roman"/>
              </w:rPr>
              <w:t>与沙区关系</w:t>
            </w:r>
          </w:p>
          <w:p w14:paraId="1E65B3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rPr>
              <w:t>根据《全国防沙治沙规划</w:t>
            </w:r>
            <w:r>
              <w:rPr>
                <w:rFonts w:hint="default" w:ascii="Times New Roman" w:hAnsi="Times New Roman" w:cs="Times New Roman"/>
                <w:lang w:eastAsia="zh-CN"/>
              </w:rPr>
              <w:t>（</w:t>
            </w:r>
            <w:r>
              <w:rPr>
                <w:rFonts w:hint="default" w:ascii="Times New Roman" w:hAnsi="Times New Roman" w:cs="Times New Roman"/>
              </w:rPr>
              <w:t>2021</w:t>
            </w:r>
            <w:r>
              <w:rPr>
                <w:rFonts w:hint="default" w:ascii="Times New Roman" w:hAnsi="Times New Roman" w:cs="Times New Roman"/>
                <w:lang w:eastAsia="zh-CN"/>
              </w:rPr>
              <w:t>—</w:t>
            </w:r>
            <w:r>
              <w:rPr>
                <w:rFonts w:hint="default" w:ascii="Times New Roman" w:hAnsi="Times New Roman" w:cs="Times New Roman"/>
              </w:rPr>
              <w:t>2030年</w:t>
            </w:r>
            <w:r>
              <w:rPr>
                <w:rFonts w:hint="default" w:ascii="Times New Roman" w:hAnsi="Times New Roman" w:cs="Times New Roman"/>
                <w:lang w:eastAsia="zh-CN"/>
              </w:rPr>
              <w:t>）</w:t>
            </w:r>
            <w:r>
              <w:rPr>
                <w:rFonts w:hint="default" w:ascii="Times New Roman" w:hAnsi="Times New Roman" w:cs="Times New Roman"/>
              </w:rPr>
              <w:t>》，本项目位于河北迁安经济开发区内。根据沙区范围图，项目不占沙化土地。本项目与沙化土地关系见</w:t>
            </w:r>
            <w:r>
              <w:rPr>
                <w:rFonts w:hint="default" w:ascii="Times New Roman" w:hAnsi="Times New Roman" w:cs="Times New Roman"/>
                <w:lang w:val="en-US" w:eastAsia="zh-CN"/>
              </w:rPr>
              <w:t>附</w:t>
            </w:r>
            <w:r>
              <w:rPr>
                <w:rFonts w:hint="default" w:ascii="Times New Roman" w:hAnsi="Times New Roman" w:cs="Times New Roman"/>
              </w:rPr>
              <w:t>图。</w:t>
            </w:r>
          </w:p>
          <w:p w14:paraId="1DCBBE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pacing w:val="0"/>
                <w:sz w:val="24"/>
                <w:szCs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项目与其他政策的符合性分析。</w:t>
            </w:r>
          </w:p>
          <w:p w14:paraId="689153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bCs/>
                <w:color w:val="000000" w:themeColor="text1"/>
                <w:spacing w:val="0"/>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spacing w:val="0"/>
                <w:sz w:val="24"/>
                <w:highlight w:val="none"/>
                <w:lang w:val="en-US" w:eastAsia="zh-CN"/>
                <w14:textFill>
                  <w14:solidFill>
                    <w14:schemeClr w14:val="tx1"/>
                  </w14:solidFill>
                </w14:textFill>
              </w:rPr>
              <w:t>表1-7   项目与其他政策的符合性分析</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1784"/>
              <w:gridCol w:w="756"/>
              <w:gridCol w:w="4381"/>
              <w:gridCol w:w="5201"/>
              <w:gridCol w:w="415"/>
            </w:tblGrid>
            <w:tr w14:paraId="450D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545D272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序号</w:t>
                  </w:r>
                </w:p>
              </w:tc>
              <w:tc>
                <w:tcPr>
                  <w:tcW w:w="0" w:type="auto"/>
                  <w:vAlign w:val="center"/>
                </w:tcPr>
                <w:p w14:paraId="5178986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文件名称</w:t>
                  </w:r>
                </w:p>
              </w:tc>
              <w:tc>
                <w:tcPr>
                  <w:tcW w:w="0" w:type="auto"/>
                  <w:gridSpan w:val="2"/>
                  <w:vAlign w:val="center"/>
                </w:tcPr>
                <w:p w14:paraId="70BFAAD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文件内容</w:t>
                  </w:r>
                </w:p>
              </w:tc>
              <w:tc>
                <w:tcPr>
                  <w:tcW w:w="5169" w:type="dxa"/>
                  <w:vAlign w:val="center"/>
                </w:tcPr>
                <w:p w14:paraId="69F6699C">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本项目符合性分析</w:t>
                  </w:r>
                </w:p>
              </w:tc>
              <w:tc>
                <w:tcPr>
                  <w:tcW w:w="415" w:type="dxa"/>
                  <w:vAlign w:val="center"/>
                </w:tcPr>
                <w:p w14:paraId="1F856DCA">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是否符合</w:t>
                  </w:r>
                </w:p>
              </w:tc>
            </w:tr>
            <w:tr w14:paraId="1B36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56115CA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1</w:t>
                  </w:r>
                </w:p>
              </w:tc>
              <w:tc>
                <w:tcPr>
                  <w:tcW w:w="0" w:type="auto"/>
                  <w:vAlign w:val="center"/>
                </w:tcPr>
                <w:p w14:paraId="7BF83B3B">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《“十四五”土壤、地下水和农村生态环境保护规划》</w:t>
                  </w:r>
                </w:p>
              </w:tc>
              <w:tc>
                <w:tcPr>
                  <w:tcW w:w="0" w:type="auto"/>
                  <w:gridSpan w:val="2"/>
                  <w:vAlign w:val="center"/>
                </w:tcPr>
                <w:p w14:paraId="76C8C830">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left"/>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《“十四五”土壤、地下水和农村生态环境保护规划》中要求：防范工矿企业新增土壤污染。严格建设项目土壤环境影响评价制度，对涉及有毒有害物质可能造成土壤污染的新</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改、扩</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建项目，依法进行环境影响评价，提出并落实防腐蚀、防渗漏、防遗撒等土壤污染防治具体措施。</w:t>
                  </w:r>
                </w:p>
              </w:tc>
              <w:tc>
                <w:tcPr>
                  <w:tcW w:w="5169" w:type="dxa"/>
                  <w:vAlign w:val="center"/>
                </w:tcPr>
                <w:p w14:paraId="7DE3302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公司</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对土壤污染源采取了完善的防治措施</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31673188">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C34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vAlign w:val="center"/>
                </w:tcPr>
                <w:p w14:paraId="0D026B00">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2</w:t>
                  </w:r>
                </w:p>
              </w:tc>
              <w:tc>
                <w:tcPr>
                  <w:tcW w:w="0" w:type="auto"/>
                  <w:vMerge w:val="restart"/>
                  <w:vAlign w:val="center"/>
                </w:tcPr>
                <w:p w14:paraId="17825DB2">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《河北省生态环境保护“十四五”规划》</w:t>
                  </w:r>
                </w:p>
              </w:tc>
              <w:tc>
                <w:tcPr>
                  <w:tcW w:w="0" w:type="auto"/>
                  <w:vAlign w:val="center"/>
                </w:tcPr>
                <w:p w14:paraId="252A09C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textAlignment w:val="baseline"/>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基本原则</w:t>
                  </w:r>
                </w:p>
              </w:tc>
              <w:tc>
                <w:tcPr>
                  <w:tcW w:w="4347" w:type="dxa"/>
                  <w:vAlign w:val="center"/>
                </w:tcPr>
                <w:p w14:paraId="218603F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坚持绿色发展。统筹减污降碳协同增效，加快推动产业、能源、交通运输结构调整，强化国土空间规划和用途管控，全面提高资源利用效率，推动能源清洁低碳安全高效利用。</w:t>
                  </w:r>
                </w:p>
                <w:p w14:paraId="450DA8E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坚持人民至上。坚持生态为民、生态利民、生态惠民，集中攻克突出生态环境问题，不断增强人民群众对生态环境的获得感、幸福感、安全感，以生态环境保护实际成效取信于民。</w:t>
                  </w:r>
                </w:p>
                <w:p w14:paraId="04D3DDC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坚持系统观念。推进山水林田湖草沙一体化保护和修复，强化多污染物协同控制和区域协同治理，注重综合治理、系统治理、源头治理，提升生态系统质量和稳定性。</w:t>
                  </w:r>
                </w:p>
                <w:p w14:paraId="6DE831D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坚持底线思维。严格落实“三线一单”生态环境分区管控，健全环境风险防控机制，有效应对各类突发环境事件，全力保障生态环境安全，当好首都政治“护城河”。</w:t>
                  </w:r>
                </w:p>
                <w:p w14:paraId="532D0E9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坚持改革创新。深入推进生态文明体制改革，完善生态环境保护领导体制和工作机制，加大技术、政策、管理创新力度，加快构建现代环境治理体系。</w:t>
                  </w:r>
                </w:p>
              </w:tc>
              <w:tc>
                <w:tcPr>
                  <w:tcW w:w="5169" w:type="dxa"/>
                  <w:vAlign w:val="center"/>
                </w:tcPr>
                <w:p w14:paraId="007E6F1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项目符合河北省及唐山市“三线一单”生态环境分区管控要求，</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项目建成后按要求</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编制突发环境事件应急预案并备案</w:t>
                  </w:r>
                </w:p>
              </w:tc>
              <w:tc>
                <w:tcPr>
                  <w:tcW w:w="415" w:type="dxa"/>
                  <w:vAlign w:val="center"/>
                </w:tcPr>
                <w:p w14:paraId="138A58A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001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41BBB21E">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5832EB48">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Align w:val="center"/>
                </w:tcPr>
                <w:p w14:paraId="4BBEFCE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textAlignment w:val="baseline"/>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主要目标</w:t>
                  </w:r>
                </w:p>
              </w:tc>
              <w:tc>
                <w:tcPr>
                  <w:tcW w:w="4347" w:type="dxa"/>
                  <w:vAlign w:val="center"/>
                </w:tcPr>
                <w:p w14:paraId="5175A77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绿色低碳转型成效显著。国土空间开发保护格局得到优化，绿色低碳发展加快推进，能源资源配置更加合理、利用效率大幅提高，单位地区生产总值能源消耗和碳排放强度持续降低，简约适度、绿色低碳的生活方式加快形成。</w:t>
                  </w:r>
                </w:p>
                <w:p w14:paraId="09D97FA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生态环境质量持续改善。主要污染物排放持续减少，环境空气质量全面改善，优良天数比率持续提高，基本消除重污染天气。水环境质量稳步提升，水生态功能初步得到恢复，海洋生态环境稳中向好，城乡人居环境明显改善。</w:t>
                  </w:r>
                </w:p>
                <w:p w14:paraId="48DEE03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生态服务功能稳步提升。生态安全屏障更加牢固，生物多样性得到有效保护，自然保护地体系逐步完善，塞罕坝二次创业取得新成果，首都水源涵养功能区、京津冀生态环境支撑区建设取得明显成效。</w:t>
                  </w:r>
                </w:p>
                <w:p w14:paraId="424CFBE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环境风险得到有效防控。土壤污染风险得到有效管控，危险废物和新污染物治理能力明显增强，核与辐射环境风险有效管控，防范化解生态环境风险能力显著增强。</w:t>
                  </w:r>
                </w:p>
                <w:p w14:paraId="0FE26F4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现代环境治理体系加快形成。生态环境监管和应急能力短板加快补齐，共建共治共享的生态环境治理体系更加健全，生态环境治理效能得到新提升</w:t>
                  </w:r>
                </w:p>
              </w:tc>
              <w:tc>
                <w:tcPr>
                  <w:tcW w:w="5169" w:type="dxa"/>
                  <w:vAlign w:val="center"/>
                </w:tcPr>
                <w:p w14:paraId="086F159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项目通过采取严格的环保措施，各项污染物均能稳定达标排放</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439D2E1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701A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39507C2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750C34C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restart"/>
                  <w:vAlign w:val="center"/>
                </w:tcPr>
                <w:p w14:paraId="2D444FA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九、防治结合，构建固体废物监管体系</w:t>
                  </w:r>
                </w:p>
              </w:tc>
              <w:tc>
                <w:tcPr>
                  <w:tcW w:w="4347" w:type="dxa"/>
                  <w:vAlign w:val="center"/>
                </w:tcPr>
                <w:p w14:paraId="1A5AAD7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完善危险废物监管体制机制。拓宽部门沟通协作渠道，建立覆盖危险废物产生、收集、贮存、运输、利用、处置等全过程、全链条式监管体系。完善联席会议制度，促进信息共享。严格落实“网格化”监管，深化网格长、网格监督员、监督执法人员、企业内部监管人员“一长三员”监管机制。建立危险废物环境风险区域联防联控机制。</w:t>
                  </w:r>
                </w:p>
              </w:tc>
              <w:tc>
                <w:tcPr>
                  <w:tcW w:w="5169" w:type="dxa"/>
                  <w:vAlign w:val="center"/>
                </w:tcPr>
                <w:p w14:paraId="228B7CA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产生的</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危险废物</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贮存在防腐防渗的危废间内，</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在委托处置产生的危险废物时</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选择有资质的单位</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，严格按照要求办理相关手续，严格执行转移联单制度，并将联单按时送交相关单位</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4D5C2FD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147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233E95D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3CE1F6E6">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167B686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4347" w:type="dxa"/>
                  <w:vAlign w:val="center"/>
                </w:tcPr>
                <w:p w14:paraId="2A1D04B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加大源头管控力度。严格执行危险废物名录管理制度，动态更新危险废物环境重点监管单位清单。严把涉危险废物工业项目环境准入关，落实工业危险废物排污许可制度。组织危险废物相关企业实施强制性清洁生产审核。鼓励生产者责任延伸，支持研发、推广减少工业危险废物产生量和降低工业危险废物危害性的生产工艺和设备。</w:t>
                  </w:r>
                </w:p>
              </w:tc>
              <w:tc>
                <w:tcPr>
                  <w:tcW w:w="5169" w:type="dxa"/>
                  <w:vAlign w:val="center"/>
                </w:tcPr>
                <w:p w14:paraId="51FC82E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严格执行危险废物名录管理制度，且项目不属于危险废物工业项目</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3126E0D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E97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148FD4C0">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0241D558">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6585488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4347" w:type="dxa"/>
                  <w:vAlign w:val="center"/>
                </w:tcPr>
                <w:p w14:paraId="0E2B6D9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合理布局危险废物处置能力。推动全省危险废物利用处置能力与产废情况总体匹配。支持钢铁、石油开采、铝材加工等产业集中区域，建设除尘灰、油泥油脚、铝灰渣和二次铝灰等危险废物利用处置设施，支持大型企业集团内部共享危险废物利用处置设施。建设一批废酸、活性炭利用处置项目。加强区域合作，推动京津冀共享处置设施建设。</w:t>
                  </w:r>
                </w:p>
              </w:tc>
              <w:tc>
                <w:tcPr>
                  <w:tcW w:w="5169" w:type="dxa"/>
                  <w:vAlign w:val="center"/>
                </w:tcPr>
                <w:p w14:paraId="3D1FE8A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项目不涉及危险废物处置</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778592E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37E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5F888A47">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4F7E92F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4A3A40B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4347" w:type="dxa"/>
                  <w:vAlign w:val="center"/>
                </w:tcPr>
                <w:p w14:paraId="3C0E13E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强化危险废物环境风险防控能力。强化对危险废物收集、贮存、处置单位的监管，严防危险废物超期超量贮存。推进智能化视频监控体系建设。在环境风险可控的前提下，鼓励工业企业对产生的危险废物回收再利用处置，开展“点对点”定向利用的危险废物经营许可豁免管理试点。</w:t>
                  </w:r>
                </w:p>
              </w:tc>
              <w:tc>
                <w:tcPr>
                  <w:tcW w:w="5169" w:type="dxa"/>
                  <w:vAlign w:val="center"/>
                </w:tcPr>
                <w:p w14:paraId="6A44293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24"/>
                      <w:sz w:val="18"/>
                      <w:szCs w:val="18"/>
                      <w:highlight w:val="none"/>
                      <w14:textFill>
                        <w14:solidFill>
                          <w14:schemeClr w14:val="tx1"/>
                        </w14:solidFill>
                      </w14:textFill>
                    </w:rPr>
                    <w:t>项目严格按照要求收集、贮存、处置危险废物</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68BCF6B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4"/>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AEA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vAlign w:val="center"/>
                </w:tcPr>
                <w:p w14:paraId="440F8B7A">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3</w:t>
                  </w:r>
                </w:p>
              </w:tc>
              <w:tc>
                <w:tcPr>
                  <w:tcW w:w="0" w:type="auto"/>
                  <w:vMerge w:val="restart"/>
                  <w:vAlign w:val="center"/>
                </w:tcPr>
                <w:p w14:paraId="3B7741C5">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《河北省土壤与地下水污染防治“十四五”规划》</w:t>
                  </w:r>
                </w:p>
              </w:tc>
              <w:tc>
                <w:tcPr>
                  <w:tcW w:w="0" w:type="auto"/>
                  <w:gridSpan w:val="2"/>
                  <w:vAlign w:val="center"/>
                </w:tcPr>
                <w:p w14:paraId="002C2AFD">
                  <w:pPr>
                    <w:keepNext w:val="0"/>
                    <w:keepLines w:val="0"/>
                    <w:pageBreakBefore w:val="0"/>
                    <w:suppressLineNumbers w:val="0"/>
                    <w:kinsoku w:val="0"/>
                    <w:wordWrap/>
                    <w:overflowPunct w:val="0"/>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加强空间布局管控，严格环境准入管理，强化源头防控。理顺源头预防压力传导机制，落实溯源、断源、减排措施，切断污染物进入土壤、地下水环境的途径。</w:t>
                  </w:r>
                </w:p>
              </w:tc>
              <w:tc>
                <w:tcPr>
                  <w:tcW w:w="5169" w:type="dxa"/>
                  <w:vAlign w:val="center"/>
                </w:tcPr>
                <w:p w14:paraId="65B3A36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项目针对土壤污染源采取了完善的防治措施</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501426C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936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66F34BF5">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0CF0C111">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1627B07E">
                  <w:pPr>
                    <w:keepNext w:val="0"/>
                    <w:keepLines w:val="0"/>
                    <w:pageBreakBefore w:val="0"/>
                    <w:suppressLineNumbers w:val="0"/>
                    <w:kinsoku w:val="0"/>
                    <w:wordWrap/>
                    <w:overflowPunct w:val="0"/>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持续推进重金属减排，动态更新涉重金属重点行业企业全口径清单，按照国家部署明确重点区域执行颗粒物和重点重金属特别排放限值。2022年3月底前，依法依规将符合条件的排放镉、汞、砷、铅、铬等有毒有害大气、水污染物的企业纳入重点排污单位名录进行管理。2023年底前，涉重点重金属排放的大气重点排污单位对大气污染物中的颗粒物按排污许可证规定实现自动监测，并核算颗粒物等排放量</w:t>
                  </w:r>
                </w:p>
              </w:tc>
              <w:tc>
                <w:tcPr>
                  <w:tcW w:w="5169" w:type="dxa"/>
                  <w:vAlign w:val="center"/>
                </w:tcPr>
                <w:p w14:paraId="355F2C4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项目不属于重点行业重金属排放</w:t>
                  </w:r>
                </w:p>
              </w:tc>
              <w:tc>
                <w:tcPr>
                  <w:tcW w:w="415" w:type="dxa"/>
                  <w:vAlign w:val="center"/>
                </w:tcPr>
                <w:p w14:paraId="2E275E1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51F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50083994">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3F9EFAC8">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365046F7">
                  <w:pPr>
                    <w:keepNext w:val="0"/>
                    <w:keepLines w:val="0"/>
                    <w:pageBreakBefore w:val="0"/>
                    <w:suppressLineNumbers w:val="0"/>
                    <w:kinsoku w:val="0"/>
                    <w:wordWrap/>
                    <w:overflowPunct w:val="0"/>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强化空间布局优化与管理。</w:t>
                  </w:r>
                  <w:r>
                    <w:rPr>
                      <w:rFonts w:hint="default" w:ascii="Times New Roman" w:hAnsi="Times New Roman" w:cs="Times New Roman"/>
                      <w:b w:val="0"/>
                      <w:bCs/>
                      <w:color w:val="000000" w:themeColor="text1"/>
                      <w:spacing w:val="0"/>
                      <w:sz w:val="18"/>
                      <w:szCs w:val="18"/>
                      <w:highlight w:val="none"/>
                      <w:lang w:eastAsia="zh-CN"/>
                      <w14:textFill>
                        <w14:solidFill>
                          <w14:schemeClr w14:val="tx1"/>
                        </w14:solidFill>
                      </w14:textFill>
                    </w:rPr>
                    <w:t>强</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化国土空间规划和用途管控，推进重点行业统一规划、集聚发展，引导重点产业向环境容量充足地区布局。严格落实环境影响评价制度，涉及排放有毒有害物质可能造成土壤污染的新</w:t>
                  </w:r>
                  <w:r>
                    <w:rPr>
                      <w:rFonts w:hint="default" w:ascii="Times New Roman" w:hAnsi="Times New Roman"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改、扩</w:t>
                  </w:r>
                  <w:r>
                    <w:rPr>
                      <w:rFonts w:hint="default" w:ascii="Times New Roman" w:hAnsi="Times New Roman"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建项目，依法进行环境影响评价，提出并落实防腐蚀、防渗漏、防遗撒等土壤污染防治具体措施。</w:t>
                  </w:r>
                </w:p>
              </w:tc>
              <w:tc>
                <w:tcPr>
                  <w:tcW w:w="5169" w:type="dxa"/>
                  <w:vAlign w:val="center"/>
                </w:tcPr>
                <w:p w14:paraId="13A3506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租赁现有厂房</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，不新增占地；项目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按要求进行分区防渗措施</w:t>
                  </w:r>
                </w:p>
              </w:tc>
              <w:tc>
                <w:tcPr>
                  <w:tcW w:w="415" w:type="dxa"/>
                  <w:vAlign w:val="center"/>
                </w:tcPr>
                <w:p w14:paraId="65374D5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FEF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vAlign w:val="center"/>
                </w:tcPr>
                <w:p w14:paraId="47010E43">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4</w:t>
                  </w:r>
                </w:p>
              </w:tc>
              <w:tc>
                <w:tcPr>
                  <w:tcW w:w="0" w:type="auto"/>
                  <w:vMerge w:val="restart"/>
                  <w:vAlign w:val="center"/>
                </w:tcPr>
                <w:p w14:paraId="1B9FF559">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《唐山市生态环境保护“十四五”规划》</w:t>
                  </w:r>
                </w:p>
              </w:tc>
              <w:tc>
                <w:tcPr>
                  <w:tcW w:w="0" w:type="auto"/>
                  <w:gridSpan w:val="2"/>
                  <w:shd w:val="clear" w:color="auto" w:fill="auto"/>
                  <w:vAlign w:val="center"/>
                </w:tcPr>
                <w:p w14:paraId="1E887411">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严格项目准入及监管：加强能耗总量和强度双控、煤炭消费和污染物排放总量控制，强化市场准入约束，抑制高碳投资，严格控制高耗能高排放项目发展。严禁新增钢铁、焦化、水泥熟料、平板玻璃、煤化工产能。依法依规加强节能审查事中事后监管。深化生态环境“放管服”改革，推进环评审批、生态环境监管和监督执法“正面清单”制度化、规范化，持续优化营商环境。</w:t>
                  </w:r>
                </w:p>
              </w:tc>
              <w:tc>
                <w:tcPr>
                  <w:tcW w:w="5169" w:type="dxa"/>
                  <w:shd w:val="clear" w:color="auto" w:fill="auto"/>
                  <w:vAlign w:val="center"/>
                </w:tcPr>
                <w:p w14:paraId="54EB216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项目不属于两高行业，不涉及新增钢铁、焦化、水泥熟料、平板玻璃、煤化工产能</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等行业</w:t>
                  </w:r>
                </w:p>
              </w:tc>
              <w:tc>
                <w:tcPr>
                  <w:tcW w:w="415" w:type="dxa"/>
                  <w:shd w:val="clear" w:color="auto" w:fill="auto"/>
                  <w:vAlign w:val="center"/>
                </w:tcPr>
                <w:p w14:paraId="3CC2A1D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17A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59370C44">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7E8DC0C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522AFA13">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持续推进产业布局：引导重点行业向环境容量充足、扩散条件较好区域布局。对不符合城市功能定位的钢铁企业，持续推动布局优化，促进向沿海、迁安、滦州、迁西</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遵化</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4大钢铁片区集聚发展，形成“沿海临港、铁路沿线”的钢铁产业新布局。焦化行业布局随钢铁布局调整而调整，建立钢铁焦化一体化产业。在保障电力安全稳定供应的前提下，加快淘汰城区落后煤电产能。</w:t>
                  </w:r>
                </w:p>
              </w:tc>
              <w:tc>
                <w:tcPr>
                  <w:tcW w:w="5169" w:type="dxa"/>
                  <w:vAlign w:val="center"/>
                </w:tcPr>
                <w:p w14:paraId="691957B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项目位于</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河北迁安</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经济开发区，</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不属于钢铁、焦化行业，</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符合园区规划要求</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20C6C56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4D4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017945DC">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49433889">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4915EB53">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推进重点行业绿色化改造：以钢铁、焦化、铸造、建材、化工、工业涂装、电镀等行业为重点，开展全流程清洁化、循环化、低碳化改造，促进传统产业绿色转型升级。在电力、钢铁、建材等重点行业实施减污降碳行动，实施全产业链和产品全生命周期降碳减污，打造多维度、全覆盖的绿色低碳产业体系。持续推动重点行业进行产能装备的升级改造。推动高炉</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转炉长流程钢铁企业转型为电弧炉短流程企业。依法对“双超双有高耗能”和产废量超100吨企业实施强制性清洁生产审核。</w:t>
                  </w:r>
                </w:p>
              </w:tc>
              <w:tc>
                <w:tcPr>
                  <w:tcW w:w="5169" w:type="dxa"/>
                  <w:vAlign w:val="center"/>
                </w:tcPr>
                <w:p w14:paraId="3C8AD3B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项目采用了资源利用率高、污染物产生量小的清洁生产技术、工艺和设备，项目采用节电设备等技术</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0D82279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2E1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68167B1F">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4318E448">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7A57979D">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强化产业园区和产业集群升级改造：开展产业园区规划环境影响跟踪评价，推动优化园区在城市总体空间格局中的布局，促进园区绿色发展。深化国家级和省级循环经济示范园区的循环化改造，鼓励创建生态工业示范园区。推进建材、化工、铸造、加工制造等传统制造业集群提升，提高产业集约化、绿色化发展水平。</w:t>
                  </w:r>
                </w:p>
              </w:tc>
              <w:tc>
                <w:tcPr>
                  <w:tcW w:w="5169" w:type="dxa"/>
                  <w:vAlign w:val="center"/>
                </w:tcPr>
                <w:p w14:paraId="2FAA72E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项目位于</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河北迁安</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经济开发区，符合园区规划要求</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725832B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A50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569E6D96">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508196AA">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184D8F24">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严格控制煤炭消费总量：全面实施煤炭消费总量控制，新</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改、扩</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建项目严格执行煤炭减量替代。严格控制燃煤发电装机规模，严禁新建自备燃煤机组，推动自备燃煤机组实施清洁能源替代，鼓励自备电厂转为公用电厂。加强农村散煤复燃管控，强化散煤治理监督体系建设。</w:t>
                  </w:r>
                </w:p>
              </w:tc>
              <w:tc>
                <w:tcPr>
                  <w:tcW w:w="5169" w:type="dxa"/>
                  <w:vAlign w:val="center"/>
                </w:tcPr>
                <w:p w14:paraId="51F6663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本项目不涉及新增煤炭消耗</w:t>
                  </w:r>
                </w:p>
              </w:tc>
              <w:tc>
                <w:tcPr>
                  <w:tcW w:w="415" w:type="dxa"/>
                  <w:vAlign w:val="center"/>
                </w:tcPr>
                <w:p w14:paraId="0D93DDA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2C1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4E28E8CF">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320ACE2C">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176FCBCB">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大力推进进港、进园、进厂“最后一公里”建设，完善集疏港铁路和大型工矿企业、物流园区铁路专用线网络，提高铁路货物运输能力。鼓励短距离运输时优先采用封闭式皮带廊道或新能源车船。新建及迁建大宗货物运输量150万吨以上的企业，原则上同步规划建设铁路专用线、专用码头或管廊等。到2025年，煤炭、矿石等大宗货物集疏港绿色运输方式占比达到80%以上</w:t>
                  </w:r>
                </w:p>
              </w:tc>
              <w:tc>
                <w:tcPr>
                  <w:tcW w:w="5169" w:type="dxa"/>
                  <w:vAlign w:val="center"/>
                </w:tcPr>
                <w:p w14:paraId="0310B93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各类物料均</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采用国六标准汽车</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或新能源汽车</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运输</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3612198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311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2428D591">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6186DA76">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30BDA763">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推动移动源能源结构调整：持续推动清洁柴油车</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机</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行动，加快新能源或清洁能源车辆推广使用，到2025年，新能源汽车占新车销量比重达20%左右。支持车用LNG加气站、充电桩建设，在交通枢纽、公共区域、居住社区、机关及企事业单位等建设充换电基础设施，建设一批加氢示范站。推动纯电动重型货车换电模式试点和氢燃料电池汽车示范应用。到2025年，公共领域新增或更新公交、出租、物流配送等车辆中新能源汽车比例不低于80%。建设绿色港口，实施船舶大气污染排放控制区制度，推动船舶发动机升级或尾气处理，降低港口船舶氮氧化物、挥发性有机物</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VOCs</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排放。到2025年，唐山港80%的5万吨级以上泊位</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除油气码头外</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具备岸电供应能力，推动入港船舶安装岸电受电设施。支持机场开展电动化设备建设和</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应用</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，新增作业车辆和机械基本实现电动化。</w:t>
                  </w:r>
                </w:p>
              </w:tc>
              <w:tc>
                <w:tcPr>
                  <w:tcW w:w="5169" w:type="dxa"/>
                  <w:vAlign w:val="center"/>
                </w:tcPr>
                <w:p w14:paraId="1C89543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各类物料均</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采用国六标准汽车</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或新能源汽车</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运输</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02E5D28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532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1B241F33">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53394776">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48B33D89">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升级钢铁、建材、化工领域工艺技术，严控工业二氧化碳排放。推广水泥生产原料替代技术，鼓励利用转炉渣等非碳酸盐工业固体废物作为原辅料生产水泥。推动煤电、钢铁、化工等行业开展二氧化碳减排示范。在传统行业实施重大节能低碳技术产业化示范工程，开展碳捕集利用与封存重大项目示范。探索利用二氧化碳制备燃料乙醇、油田驱油等方式减排固碳。</w:t>
                  </w:r>
                </w:p>
              </w:tc>
              <w:tc>
                <w:tcPr>
                  <w:tcW w:w="5169" w:type="dxa"/>
                  <w:vAlign w:val="center"/>
                </w:tcPr>
                <w:p w14:paraId="64436DA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不属于钢铁、建材、化工、水泥、煤电等行业，</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采用节电设备等技术，</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具</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有较好的降碳效果</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2B33CE5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B91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411CFBCF">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23E8D4F9">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6500F774">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大力发展低碳交通，不断提高营运车辆和船舶的新能源和清洁能源应用比例。加大交通领域节能低碳技术研发与应用，推广智能交通以及节能低碳型交通工具，持续降低新生产汽车的燃料消耗及二氧化碳排放量。</w:t>
                  </w:r>
                </w:p>
              </w:tc>
              <w:tc>
                <w:tcPr>
                  <w:tcW w:w="5169" w:type="dxa"/>
                  <w:vAlign w:val="center"/>
                </w:tcPr>
                <w:p w14:paraId="42F01DB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各类物料均</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采用国六标准汽车运输</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7068393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6EC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0AD22873">
                  <w:pPr>
                    <w:pStyle w:val="6"/>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p>
              </w:tc>
              <w:tc>
                <w:tcPr>
                  <w:tcW w:w="0" w:type="auto"/>
                  <w:vMerge w:val="continue"/>
                  <w:vAlign w:val="center"/>
                </w:tcPr>
                <w:p w14:paraId="6FDF834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75C12AFD">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深化重点行业深度治理和超低排放：持续深化钢铁、焦化、火电、水泥、平板玻璃、陶瓷等行业超低排放成效，实施工艺全流程深度治理，全面加强无组织排放管控。加强钢铁、焦化行业CO治理。推进砖瓦、石灰、铸造、耐火材料等重点行业污染深度治理。以工业炉窑综合治理为重点，深化工业氮氧化物减排。开展生活垃圾焚烧烟气深度治理，到2025年，所有焚烧炉烟气达到生活垃圾焚烧大气污染物排放控制标准。</w:t>
                  </w:r>
                </w:p>
              </w:tc>
              <w:tc>
                <w:tcPr>
                  <w:tcW w:w="5169" w:type="dxa"/>
                  <w:vMerge w:val="restart"/>
                  <w:vAlign w:val="center"/>
                </w:tcPr>
                <w:p w14:paraId="0D15410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kern w:val="0"/>
                      <w:sz w:val="18"/>
                      <w:szCs w:val="18"/>
                      <w:highlight w:val="none"/>
                      <w:lang w:val="en-US" w:eastAsia="zh-CN" w:bidi="ar"/>
                      <w14:textFill>
                        <w14:solidFill>
                          <w14:schemeClr w14:val="tx1"/>
                        </w14:solidFill>
                      </w14:textFill>
                    </w:rPr>
                    <w:t>项目不涉及</w:t>
                  </w:r>
                </w:p>
              </w:tc>
              <w:tc>
                <w:tcPr>
                  <w:tcW w:w="415" w:type="dxa"/>
                  <w:vAlign w:val="center"/>
                </w:tcPr>
                <w:p w14:paraId="21F0FBA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cs="Times New Roman"/>
                      <w:color w:val="000000" w:themeColor="text1"/>
                      <w:spacing w:val="0"/>
                      <w:kern w:val="0"/>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73D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4A0AFA0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3F06003A">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3F71B825">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推动大气氨排放控制：开展大气氨监测试点，探索建立大气氨规范化排放清单。加强烟气脱硝和氨法脱硫氨逃逸控制。推进种植业、养殖业大气氨减排，加强源头防控，优化肥料、饲料结构。到2025年，推进大型规模化养殖场氨排放总量持续下降。</w:t>
                  </w:r>
                </w:p>
              </w:tc>
              <w:tc>
                <w:tcPr>
                  <w:tcW w:w="5169" w:type="dxa"/>
                  <w:vMerge w:val="continue"/>
                  <w:vAlign w:val="center"/>
                </w:tcPr>
                <w:p w14:paraId="4A443D77">
                  <w:pPr>
                    <w:keepNext w:val="0"/>
                    <w:keepLines w:val="0"/>
                    <w:pageBreakBefore w:val="0"/>
                    <w:suppressLineNumbers w:val="0"/>
                    <w:tabs>
                      <w:tab w:val="center" w:pos="1355"/>
                    </w:tabs>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p>
              </w:tc>
              <w:tc>
                <w:tcPr>
                  <w:tcW w:w="415" w:type="dxa"/>
                  <w:vAlign w:val="center"/>
                </w:tcPr>
                <w:p w14:paraId="114CD94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6DD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7D6C244A">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5F7BD09B">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2A12D303">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NOx深度治理工程：对钢铁、焦化、煤电、水泥等行业实施工艺全流程深度治理，全面加强无组织排放管控。控制高炉热风炉、石灰窑废气、轧钢加热炉废气氮氧化物稳定达标排放。强化脱硝设施运行管理，提高脱硝设施的自动化水平。实施锅炉改造。</w:t>
                  </w:r>
                </w:p>
              </w:tc>
              <w:tc>
                <w:tcPr>
                  <w:tcW w:w="5169" w:type="dxa"/>
                  <w:vMerge w:val="continue"/>
                  <w:vAlign w:val="center"/>
                </w:tcPr>
                <w:p w14:paraId="3BEC41D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p>
              </w:tc>
              <w:tc>
                <w:tcPr>
                  <w:tcW w:w="415" w:type="dxa"/>
                  <w:vAlign w:val="center"/>
                </w:tcPr>
                <w:p w14:paraId="6E5ED83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A4F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6BA29B80">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4572C2E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5B2DF386">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强化规划管控优化空间格局：永久基本农田集中区域禁止新建可能造成土壤污染的建设项目。落实最严格的土地节约集约利用制度，推进重点行业统一规划、集聚发展，引导重点产业向环境容量充足地区布局。在编制国土空间等相关规划时，充分考虑建设用地土壤污染环境风险，合理确定土地用途。在编制详细规划时，征求生态环境部门意见，</w:t>
                  </w:r>
                </w:p>
                <w:p w14:paraId="0E594391">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对用途变更为“一住两公”的地块，注明其开发利用必须符合相关规划用地土壤环境质量要求。加强部门信息共享，实现疑似污染地块、污染地块空间信息与国土空间规划“一张图”动态更新，为建设用地规划利用审批提供参考依据。</w:t>
                  </w:r>
                </w:p>
              </w:tc>
              <w:tc>
                <w:tcPr>
                  <w:tcW w:w="5169" w:type="dxa"/>
                  <w:vAlign w:val="center"/>
                </w:tcPr>
                <w:p w14:paraId="1A1455A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租赁现有厂房，</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不新增占地，项目占地类型为工业用地</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469F07F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E9E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56C5359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1798A79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6E5A4D37">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加强工业企业土壤污染防治与风险管控：严格落实环境影响评价制度，涉及有毒有害物质可能造成土壤污染的新</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改、扩</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建项目，依法进行环境影响评价，提出并落实防腐蚀、防渗漏、防遗撒等土壤污染防治具体措施。落实土壤和地下水污染防治要求。按照国家、省部署，开展典型行业企业用地及周边土壤污染状况调查。持续推进耕地周边污染源整治。动态更新土壤污染重点监管单位名录，监督全面落实土壤污染防治义务，依法纳入排污许可管理，严格落实土壤与地下水污染隐患排查、自行监测及有毒有害物质排放情况定期报告制度。加强企业拆除活动污染防治监管，落实拆除活动污染防治措施。</w:t>
                  </w:r>
                </w:p>
              </w:tc>
              <w:tc>
                <w:tcPr>
                  <w:tcW w:w="5169" w:type="dxa"/>
                  <w:vAlign w:val="center"/>
                </w:tcPr>
                <w:p w14:paraId="14105AF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企业按要求采</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取了分区防渗措施，有效防止污染泄漏对土壤的影响</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69ECD66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344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2D0E5190">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5F05053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6D6494C6">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严格落实重金属排放总量控制制度：新</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改、扩</w:t>
                  </w:r>
                  <w:r>
                    <w:rPr>
                      <w:rFonts w:hint="default" w:ascii="Times New Roman" w:hAnsi="Times New Roman" w:cs="Times New Roman"/>
                      <w:b w:val="0"/>
                      <w:bCs/>
                      <w:color w:val="000000" w:themeColor="text1"/>
                      <w:spacing w:val="0"/>
                      <w:kern w:val="0"/>
                      <w:sz w:val="18"/>
                      <w:szCs w:val="18"/>
                      <w:highlight w:val="none"/>
                      <w:lang w:eastAsia="zh-CN" w:bidi="ar"/>
                      <w14:textFill>
                        <w14:solidFill>
                          <w14:schemeClr w14:val="tx1"/>
                        </w14:solidFill>
                      </w14:textFill>
                    </w:rPr>
                    <w:t>）</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建涉重金属重点行业建设项目实施污染物排放减量替代。推动涉重金属企业清洁生产技术改造，实施强制性清洁生产审核。新、扩建铅锌冶炼建设项目执行颗粒物、重点重金属污染物特别排放限值。加强钢铁、硫酸、磷肥等行业废水</w:t>
                  </w:r>
                  <w:r>
                    <w:rPr>
                      <w:rFonts w:hint="default" w:ascii="Times New Roman" w:hAnsi="Times New Roman" w:cs="Times New Roman"/>
                      <w:b w:val="0"/>
                      <w:bCs/>
                      <w:color w:val="000000" w:themeColor="text1"/>
                      <w:spacing w:val="0"/>
                      <w:kern w:val="0"/>
                      <w:sz w:val="18"/>
                      <w:szCs w:val="18"/>
                      <w:highlight w:val="none"/>
                      <w:lang w:val="en-US" w:eastAsia="zh-CN" w:bidi="ar"/>
                      <w14:textFill>
                        <w14:solidFill>
                          <w14:schemeClr w14:val="tx1"/>
                        </w14:solidFill>
                      </w14:textFill>
                    </w:rPr>
                    <w:t>综合</w:t>
                  </w: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治理，深入推进电镀、铅蓄电池制造、制革等行业整治提升。到2025年，重点行业重点重金属污染物排放量下降比例达到省要求。</w:t>
                  </w:r>
                </w:p>
              </w:tc>
              <w:tc>
                <w:tcPr>
                  <w:tcW w:w="5169" w:type="dxa"/>
                  <w:vAlign w:val="center"/>
                </w:tcPr>
                <w:p w14:paraId="6CF67F3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不涉及重点行业重金属排放</w:t>
                  </w:r>
                </w:p>
              </w:tc>
              <w:tc>
                <w:tcPr>
                  <w:tcW w:w="415" w:type="dxa"/>
                  <w:vAlign w:val="center"/>
                </w:tcPr>
                <w:p w14:paraId="50192D7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309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0CE33CF2">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1BEA53FE">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1B198F93">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严格危险废物源头管控：积极推动源头减量，以钢铁、石化、化工、焦化、电镀等行业为重点，实施强制性清洁生产审核，年产生危险废物量100吨以上的危险废物相关企业完成强制性清洁生产审核。依法关闭规模小、污染重、危险废物治理难度大的企业。严格执行危险废物名录管理制度，动态更新危险废物环境重点监管单位清单。严把涉危险废物工业项目环境准入关，落实工业危险废物排污许可制度。鼓励生产者责任延伸，支持研发、推广减少工业危险废物产生量和降低工业危险废物危害性的生产工艺和设备。</w:t>
                  </w:r>
                </w:p>
              </w:tc>
              <w:tc>
                <w:tcPr>
                  <w:tcW w:w="5169" w:type="dxa"/>
                  <w:vAlign w:val="center"/>
                </w:tcPr>
                <w:p w14:paraId="451DCD3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项目产生的危废在危废间暂存后定期交资质单位处置</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52B88EC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999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43D59C91">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5D211E9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59542843">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完善以排污许可制为核心的固定污染源监管制度体系，做好排污许可制度与碳排放权交易制度的衔接，推动将温室气体管控纳入环评管理。开展钢铁行业建设项目碳排放环境影响评价。落实排污许可“一证式”管理，建立以排污许可证为主要依据的生态环境日常执法监督工作体系，推动排污许可监管、监测、监察联动</w:t>
                  </w:r>
                </w:p>
              </w:tc>
              <w:tc>
                <w:tcPr>
                  <w:tcW w:w="5169" w:type="dxa"/>
                  <w:vAlign w:val="center"/>
                </w:tcPr>
                <w:p w14:paraId="48369EB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项目不属于钢铁行业，不涉及碳排放环境影响评价。</w:t>
                  </w:r>
                </w:p>
              </w:tc>
              <w:tc>
                <w:tcPr>
                  <w:tcW w:w="415" w:type="dxa"/>
                  <w:vAlign w:val="center"/>
                </w:tcPr>
                <w:p w14:paraId="23DCBD3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7DA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780C41FB">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113C5F11">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500AF355">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严格危险废物源头管控：积极推动源头减量，以钢铁、石化、化工、焦化、电镀等行业为重点，实施强制性清洁生产审核，年产生危险废物量100吨以上的危险废物相关企业完成强制性清洁生产审核。依法关闭规模小、污染重、危险废物治理难度大的企业。严格执行危险废物名录管理制度，动态更新危险废物环境重点监管单位清单。严把涉危险废物工业项目环境准入关，落实工业危险废物排污许可制度。鼓励生产者责任延伸，支持研发、推广减少工业危险废物产生量和降低工业危险废物危害性的生产工艺和设备。</w:t>
                  </w:r>
                </w:p>
              </w:tc>
              <w:tc>
                <w:tcPr>
                  <w:tcW w:w="5169" w:type="dxa"/>
                  <w:vAlign w:val="center"/>
                </w:tcPr>
                <w:p w14:paraId="1F44832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项目产生的危废在危废间暂存后定期交资质单位处置</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3D20DCA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F59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39D4B540">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147254FB">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7346C245">
                  <w:pPr>
                    <w:keepNext w:val="0"/>
                    <w:keepLines w:val="0"/>
                    <w:pageBreakBefore w:val="0"/>
                    <w:widowControl/>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0"/>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pacing w:val="0"/>
                      <w:kern w:val="0"/>
                      <w:sz w:val="18"/>
                      <w:szCs w:val="18"/>
                      <w:highlight w:val="none"/>
                      <w:lang w:bidi="ar"/>
                      <w14:textFill>
                        <w14:solidFill>
                          <w14:schemeClr w14:val="tx1"/>
                        </w14:solidFill>
                      </w14:textFill>
                    </w:rPr>
                    <w:t>完善以排污许可制为核心的固定污染源监管制度体系，做好排污许可制度与碳排放权交易制度的衔接，推动将温室气体管控纳入环评管理。开展钢铁行业建设项目碳排放环境影响评价。落实排污许可“一证式”管理，建立以排污许可证为主要依据的生态环境日常执法监督工作体系，推动排污许可监管、监测、监察联动</w:t>
                  </w:r>
                </w:p>
              </w:tc>
              <w:tc>
                <w:tcPr>
                  <w:tcW w:w="5169" w:type="dxa"/>
                  <w:vAlign w:val="center"/>
                </w:tcPr>
                <w:p w14:paraId="1318D62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本次评价不涉及碳排放环境影响评价</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59D96AC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2D8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vAlign w:val="center"/>
                </w:tcPr>
                <w:p w14:paraId="249F4A21">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t>5</w:t>
                  </w:r>
                </w:p>
              </w:tc>
              <w:tc>
                <w:tcPr>
                  <w:tcW w:w="0" w:type="auto"/>
                  <w:vMerge w:val="restart"/>
                  <w:vAlign w:val="center"/>
                </w:tcPr>
                <w:p w14:paraId="5C8A316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《唐山市土壤与地下水污染防治“十四五”规划》</w:t>
                  </w:r>
                </w:p>
              </w:tc>
              <w:tc>
                <w:tcPr>
                  <w:tcW w:w="0" w:type="auto"/>
                  <w:gridSpan w:val="2"/>
                  <w:vAlign w:val="center"/>
                </w:tcPr>
                <w:p w14:paraId="570C9E73">
                  <w:pPr>
                    <w:keepNext w:val="0"/>
                    <w:keepLines w:val="0"/>
                    <w:pageBreakBefore w:val="0"/>
                    <w:suppressLineNumbers w:val="0"/>
                    <w:kinsoku w:val="0"/>
                    <w:wordWrap/>
                    <w:overflowPunct w:val="0"/>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强化空间布局优化与管理。衔接国土空间规划和用途管控，推进重点行业统一规划、集聚发展，推动重点行业企业退城搬迁，引导产业集群入园区。严格落实环境影响评价制度，涉及排放有毒有害物质可能造成土壤污染的新</w:t>
                  </w:r>
                  <w:r>
                    <w:rPr>
                      <w:rFonts w:hint="default" w:ascii="Times New Roman" w:hAnsi="Times New Roman"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改、扩</w:t>
                  </w:r>
                  <w:r>
                    <w:rPr>
                      <w:rFonts w:hint="default" w:ascii="Times New Roman" w:hAnsi="Times New Roman"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建项目，依法进行环境影响评价，提出并落实防腐蚀、防渗漏、防遗撒等土壤污染防治具体措施。</w:t>
                  </w:r>
                </w:p>
              </w:tc>
              <w:tc>
                <w:tcPr>
                  <w:tcW w:w="5169" w:type="dxa"/>
                  <w:vAlign w:val="center"/>
                </w:tcPr>
                <w:p w14:paraId="13C2DF2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w:t>
                  </w:r>
                  <w:r>
                    <w:rPr>
                      <w:rFonts w:hint="default" w:ascii="Times New Roman" w:hAnsi="Times New Roman" w:cs="Times New Roman"/>
                      <w:b w:val="0"/>
                      <w:bCs/>
                      <w:color w:val="000000" w:themeColor="text1"/>
                      <w:spacing w:val="0"/>
                      <w:sz w:val="18"/>
                      <w:szCs w:val="18"/>
                      <w:highlight w:val="none"/>
                      <w:lang w:val="en-US" w:eastAsia="zh-CN"/>
                      <w14:textFill>
                        <w14:solidFill>
                          <w14:schemeClr w14:val="tx1"/>
                        </w14:solidFill>
                      </w14:textFill>
                    </w:rPr>
                    <w:t>租赁现有厂房</w:t>
                  </w: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，不新增占地；项目针对土壤污染源采取了完善的防治措施</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59555D3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BA3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vAlign w:val="center"/>
                </w:tcPr>
                <w:p w14:paraId="15BA42B2">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vertAlign w:val="baseline"/>
                      <w:lang w:val="en-US" w:eastAsia="zh-CN"/>
                      <w14:textFill>
                        <w14:solidFill>
                          <w14:schemeClr w14:val="tx1"/>
                        </w14:solidFill>
                      </w14:textFill>
                    </w:rPr>
                  </w:pPr>
                </w:p>
              </w:tc>
              <w:tc>
                <w:tcPr>
                  <w:tcW w:w="0" w:type="auto"/>
                  <w:vMerge w:val="continue"/>
                  <w:vAlign w:val="center"/>
                </w:tcPr>
                <w:p w14:paraId="107477D9">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00" w:lineRule="exact"/>
                    <w:ind w:left="-105" w:leftChars="-50" w:right="-105" w:rightChars="-50" w:firstLine="0" w:firstLineChars="0"/>
                    <w:jc w:val="center"/>
                    <w:textAlignment w:val="auto"/>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p>
              </w:tc>
              <w:tc>
                <w:tcPr>
                  <w:tcW w:w="0" w:type="auto"/>
                  <w:gridSpan w:val="2"/>
                  <w:vAlign w:val="center"/>
                </w:tcPr>
                <w:p w14:paraId="66950B92">
                  <w:pPr>
                    <w:keepNext w:val="0"/>
                    <w:keepLines w:val="0"/>
                    <w:pageBreakBefore w:val="0"/>
                    <w:suppressLineNumbers w:val="0"/>
                    <w:kinsoku w:val="0"/>
                    <w:wordWrap/>
                    <w:overflowPunct w:val="0"/>
                    <w:topLinePunct w:val="0"/>
                    <w:autoSpaceDE/>
                    <w:autoSpaceDN/>
                    <w:bidi w:val="0"/>
                    <w:adjustRightInd w:val="0"/>
                    <w:snapToGrid w:val="0"/>
                    <w:spacing w:before="0" w:beforeAutospacing="0" w:after="0" w:afterAutospacing="0" w:line="300" w:lineRule="exact"/>
                    <w:ind w:left="-105" w:leftChars="-50" w:right="-105" w:rightChars="-50" w:firstLine="0" w:firstLineChars="0"/>
                    <w:jc w:val="left"/>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推动实施绿色改造：以重有色金属及黑色金属采选、冶炼等行业为重点，鼓励企业推进工艺技术设备清洁化改造，率先在电镀、制革行业实施清洁生产技术改造，进一步减少污染物排放。鼓励推动金属制品业、化学原料和化学制品制造业等行业企业实施管道化、密闭化改造，实施物料、污水、废气管线架空建设和重点区域防腐防渗改造。开展工业固体废物堆存和废旧资源再生利用活动场所及企业危废贮存场所的防扬散、防流失、防渗漏等环境风险排查整治</w:t>
                  </w:r>
                </w:p>
              </w:tc>
              <w:tc>
                <w:tcPr>
                  <w:tcW w:w="5169" w:type="dxa"/>
                  <w:vAlign w:val="center"/>
                </w:tcPr>
                <w:p w14:paraId="10E93A0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t>项目原料储存于封闭库房；项目一般工业固体废物和危险废物储存场所做到了防扬散、防流失、防渗漏</w:t>
                  </w:r>
                  <w:r>
                    <w:rPr>
                      <w:rFonts w:hint="default" w:ascii="Times New Roman" w:hAnsi="Times New Roman" w:eastAsia="宋体" w:cs="Times New Roman"/>
                      <w:b w:val="0"/>
                      <w:bCs/>
                      <w:color w:val="000000" w:themeColor="text1"/>
                      <w:spacing w:val="0"/>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符合要求</w:t>
                  </w:r>
                </w:p>
              </w:tc>
              <w:tc>
                <w:tcPr>
                  <w:tcW w:w="415" w:type="dxa"/>
                  <w:vAlign w:val="center"/>
                </w:tcPr>
                <w:p w14:paraId="138EE3B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105" w:leftChars="-50" w:right="-105" w:rightChars="-50" w:firstLine="0" w:firstLineChars="0"/>
                    <w:jc w:val="center"/>
                    <w:textAlignment w:val="baseline"/>
                    <w:rPr>
                      <w:rFonts w:hint="default" w:ascii="Times New Roman" w:hAnsi="Times New Roman" w:eastAsia="宋体" w:cs="Times New Roman"/>
                      <w:b w:val="0"/>
                      <w:bCs/>
                      <w:color w:val="000000" w:themeColor="text1"/>
                      <w:spacing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850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tcPr>
                <w:p w14:paraId="3BAD969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z w:val="18"/>
                      <w:szCs w:val="18"/>
                      <w:highlight w:val="none"/>
                      <w:lang w:val="en-US" w:eastAsia="zh-CN"/>
                    </w:rPr>
                  </w:pPr>
                  <w:r>
                    <w:rPr>
                      <w:rFonts w:hint="default" w:ascii="Times New Roman" w:hAnsi="Times New Roman" w:cs="Times New Roman"/>
                      <w:sz w:val="18"/>
                      <w:szCs w:val="18"/>
                      <w:highlight w:val="none"/>
                      <w:lang w:val="en-US" w:eastAsia="zh-CN"/>
                    </w:rPr>
                    <w:t>6</w:t>
                  </w:r>
                </w:p>
              </w:tc>
              <w:tc>
                <w:tcPr>
                  <w:tcW w:w="0" w:type="auto"/>
                  <w:vMerge w:val="restart"/>
                  <w:shd w:val="clear" w:color="auto" w:fill="auto"/>
                  <w:vAlign w:val="center"/>
                </w:tcPr>
                <w:p w14:paraId="20ED67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固体废物再生利用污染防治技术导则</w:t>
                  </w:r>
                </w:p>
              </w:tc>
              <w:tc>
                <w:tcPr>
                  <w:tcW w:w="0" w:type="auto"/>
                  <w:shd w:val="clear" w:color="auto" w:fill="auto"/>
                  <w:vAlign w:val="center"/>
                </w:tcPr>
                <w:p w14:paraId="747B6B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总体要求</w:t>
                  </w:r>
                </w:p>
              </w:tc>
              <w:tc>
                <w:tcPr>
                  <w:tcW w:w="0" w:type="auto"/>
                  <w:shd w:val="clear" w:color="auto" w:fill="auto"/>
                  <w:vAlign w:val="center"/>
                </w:tcPr>
                <w:p w14:paraId="049EE9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固体废物再生利用应遵循环境安全优先的原则，保证固体废物再生利用全过程的环境安全与人体健康。</w:t>
                  </w:r>
                </w:p>
                <w:p w14:paraId="7B4DDE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进行固体废物再生利用技术选择时，应在固体废物再生利用技术生命周期评价结果的基础上，结合相关法规及行业的产业政策要求。</w:t>
                  </w:r>
                </w:p>
                <w:p w14:paraId="6C1C91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固体废物再生利用建设项目的选址应符合区域性环境保护规划和当地的城乡总体规划。</w:t>
                  </w:r>
                </w:p>
                <w:p w14:paraId="03A0C7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体废物再生利用建设项目的设计、施工、验收和运行应遵守国家现行的相关法规的规定，同时建立完善的环境管理制度，包括环境影响评价、环境管理计划、环境保护责任、排污许可、监测、信息公开、环境应急预案和环境保护档案管理等制度。</w:t>
                  </w:r>
                </w:p>
                <w:p w14:paraId="3AD741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应对固体废物再生利用各技术环节的环境污染因子进行识别，采取有效污染控制措施，配备污染物监测设备设施，避免污染物的无组织排放，防止发生二次污染，妥善处置产生的废物。</w:t>
                  </w:r>
                </w:p>
                <w:p w14:paraId="4B0456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固体废物再生利用过程产生的各种污染物的排放应满足国家和地方的污染物排放</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控制</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标准与排污许可要求。</w:t>
                  </w:r>
                </w:p>
                <w:p w14:paraId="66BD88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固体废物再生利用产物作为产品的，应符合GB34330中要求的国家、地方制定或行业通行的产品质量标准，与国家相关污染控制标准或技术规范要求，包括该产物生产过程中排放到环境中的特征污染物含量标准和该产物中特征污染物的含量标准。</w:t>
                  </w:r>
                </w:p>
              </w:tc>
              <w:tc>
                <w:tcPr>
                  <w:tcW w:w="5169" w:type="dxa"/>
                  <w:shd w:val="clear" w:color="auto" w:fill="auto"/>
                  <w:vAlign w:val="center"/>
                </w:tcPr>
                <w:p w14:paraId="057F5A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本项目符合相关法律法规及行业相关政策，选址符合园区规划要求，项目严格执行环保“三同时”，按要求编制突发环境事件应急预案，按要求填报排污许可按要求进行自行监测。项目产品满足相关产品标准，各项污染均可满足相关排放标准。</w:t>
                  </w:r>
                </w:p>
              </w:tc>
              <w:tc>
                <w:tcPr>
                  <w:tcW w:w="415" w:type="dxa"/>
                  <w:shd w:val="clear" w:color="auto" w:fill="auto"/>
                  <w:vAlign w:val="center"/>
                </w:tcPr>
                <w:p w14:paraId="2A400F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1AB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4CF064E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z w:val="18"/>
                      <w:szCs w:val="18"/>
                      <w:highlight w:val="none"/>
                      <w:lang w:val="en-US" w:eastAsia="zh-CN"/>
                    </w:rPr>
                  </w:pPr>
                </w:p>
              </w:tc>
              <w:tc>
                <w:tcPr>
                  <w:tcW w:w="0" w:type="auto"/>
                  <w:vMerge w:val="continue"/>
                </w:tcPr>
                <w:p w14:paraId="5156C58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z w:val="18"/>
                      <w:szCs w:val="18"/>
                      <w:highlight w:val="none"/>
                      <w:lang w:eastAsia="zh-CN"/>
                    </w:rPr>
                  </w:pPr>
                </w:p>
              </w:tc>
              <w:tc>
                <w:tcPr>
                  <w:tcW w:w="0" w:type="auto"/>
                  <w:shd w:val="clear" w:color="auto" w:fill="auto"/>
                  <w:vAlign w:val="center"/>
                </w:tcPr>
                <w:p w14:paraId="0CF343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主要工艺单元污染防治技术要求</w:t>
                  </w:r>
                </w:p>
              </w:tc>
              <w:tc>
                <w:tcPr>
                  <w:tcW w:w="0" w:type="auto"/>
                  <w:shd w:val="clear" w:color="auto" w:fill="auto"/>
                  <w:vAlign w:val="center"/>
                </w:tcPr>
                <w:p w14:paraId="53BEA3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应根据固体废物的特性设置必要的防扬撒、防渗漏、防腐蚀设施。</w:t>
                  </w:r>
                </w:p>
                <w:p w14:paraId="4095AD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产生粉尘和有毒有害气体的作业区应采取除尘和有毒有害气体收集措施。扬尘点应设置吸尘罩和收尘设备，有毒有害气体逸散区应设置吸附</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吸收</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转化装置，保证作业区粉尘、有害气体浓度满足GBZ2.1的要求。</w:t>
                  </w:r>
                </w:p>
                <w:p w14:paraId="0672B0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应采取大气污染控制措施，大气污染物排放应满足特定行业排放</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控制</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标准的要求。没有特定行业污染排放</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控制</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标准的，应满足GB16297的要求，特征污染物排放</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控制</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应满足环境影响评价要求。</w:t>
                  </w:r>
                </w:p>
                <w:p w14:paraId="54FAC1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应防止噪声污染。设备运转时厂界噪声应符合GB12348的要求，作业车间噪声应符合GBZ2.2的要求。</w:t>
                  </w:r>
                </w:p>
              </w:tc>
              <w:tc>
                <w:tcPr>
                  <w:tcW w:w="5169" w:type="dxa"/>
                  <w:shd w:val="clear" w:color="auto" w:fill="auto"/>
                  <w:vAlign w:val="center"/>
                </w:tcPr>
                <w:p w14:paraId="2EF1DD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本项目水泥采用罐车运输，筒仓储存，螺旋输送机输送，符合要求；项目各</w:t>
                  </w:r>
                  <w:r>
                    <w:rPr>
                      <w:rFonts w:hint="default" w:ascii="Times New Roman" w:hAnsi="Times New Roman" w:cs="Times New Roman"/>
                      <w:color w:val="auto"/>
                      <w:sz w:val="18"/>
                      <w:szCs w:val="18"/>
                      <w:highlight w:val="none"/>
                      <w:lang w:val="en-US" w:eastAsia="zh-CN"/>
                    </w:rPr>
                    <w:t>产</w:t>
                  </w:r>
                  <w:r>
                    <w:rPr>
                      <w:rFonts w:hint="default" w:ascii="Times New Roman" w:hAnsi="Times New Roman" w:eastAsia="宋体" w:cs="Times New Roman"/>
                      <w:color w:val="auto"/>
                      <w:sz w:val="18"/>
                      <w:szCs w:val="18"/>
                      <w:highlight w:val="none"/>
                      <w:lang w:val="en-US" w:eastAsia="zh-CN"/>
                    </w:rPr>
                    <w:t>尘点设置集气罩或集气管道，引入脉冲布袋除尘器中进行处理，排放浓度满足要求，噪声满足噪声排放标准</w:t>
                  </w:r>
                </w:p>
              </w:tc>
              <w:tc>
                <w:tcPr>
                  <w:tcW w:w="415" w:type="dxa"/>
                  <w:shd w:val="clear" w:color="auto" w:fill="auto"/>
                  <w:vAlign w:val="center"/>
                </w:tcPr>
                <w:p w14:paraId="4FB692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41D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7F06E96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z w:val="18"/>
                      <w:szCs w:val="18"/>
                      <w:highlight w:val="none"/>
                      <w:lang w:val="en-US" w:eastAsia="zh-CN"/>
                    </w:rPr>
                  </w:pPr>
                </w:p>
              </w:tc>
              <w:tc>
                <w:tcPr>
                  <w:tcW w:w="0" w:type="auto"/>
                  <w:vMerge w:val="continue"/>
                </w:tcPr>
                <w:p w14:paraId="4443F15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z w:val="18"/>
                      <w:szCs w:val="18"/>
                      <w:highlight w:val="none"/>
                      <w:lang w:eastAsia="zh-CN"/>
                    </w:rPr>
                  </w:pPr>
                </w:p>
              </w:tc>
              <w:tc>
                <w:tcPr>
                  <w:tcW w:w="0" w:type="auto"/>
                  <w:shd w:val="clear" w:color="auto" w:fill="auto"/>
                  <w:vAlign w:val="center"/>
                </w:tcPr>
                <w:p w14:paraId="6B266F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固体废物建材利用污染防治技术要求</w:t>
                  </w:r>
                </w:p>
              </w:tc>
              <w:tc>
                <w:tcPr>
                  <w:tcW w:w="0" w:type="auto"/>
                  <w:shd w:val="clear" w:color="auto" w:fill="auto"/>
                  <w:vAlign w:val="center"/>
                </w:tcPr>
                <w:p w14:paraId="355CF2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固体废物建材利用设施应配备必要的废气处理、防止或降低噪声与粉尘处理等污染防治装置。</w:t>
                  </w:r>
                </w:p>
                <w:p w14:paraId="599004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利用固体废物生产水泥过程及产品的污染控制应满足GB30485、HJ662与GB30760的要求。</w:t>
                  </w:r>
                </w:p>
                <w:p w14:paraId="3455AA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利用固体废物生产砖瓦、轻骨料、集料、玻璃、陶瓷、陶粒、路基材料等建材过程的污染控制执行相关行业污染物排放标准，相关产品中有害物质含量参照GB30760的要求执行。</w:t>
                  </w:r>
                </w:p>
                <w:p w14:paraId="0E6175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360" w:firstLineChars="20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固体废物建材利用过程中的再生利用工艺单元的污染控制应分别满足本标准中相应再生利用工艺单元的要求。</w:t>
                  </w:r>
                </w:p>
              </w:tc>
              <w:tc>
                <w:tcPr>
                  <w:tcW w:w="5169" w:type="dxa"/>
                  <w:shd w:val="clear" w:color="auto" w:fill="auto"/>
                  <w:vAlign w:val="center"/>
                </w:tcPr>
                <w:p w14:paraId="7B9723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项目各</w:t>
                  </w:r>
                  <w:r>
                    <w:rPr>
                      <w:rFonts w:hint="default" w:ascii="Times New Roman" w:hAnsi="Times New Roman" w:cs="Times New Roman"/>
                      <w:color w:val="auto"/>
                      <w:sz w:val="18"/>
                      <w:szCs w:val="18"/>
                      <w:highlight w:val="none"/>
                      <w:lang w:val="en-US" w:eastAsia="zh-CN"/>
                    </w:rPr>
                    <w:t>产</w:t>
                  </w:r>
                  <w:r>
                    <w:rPr>
                      <w:rFonts w:hint="default" w:ascii="Times New Roman" w:hAnsi="Times New Roman" w:eastAsia="宋体" w:cs="Times New Roman"/>
                      <w:color w:val="auto"/>
                      <w:sz w:val="18"/>
                      <w:szCs w:val="18"/>
                      <w:highlight w:val="none"/>
                      <w:lang w:val="en-US" w:eastAsia="zh-CN"/>
                    </w:rPr>
                    <w:t>尘点设置集气罩或集气管道，引入脉冲布袋除尘器中进行处理；项目为</w:t>
                  </w:r>
                  <w:r>
                    <w:rPr>
                      <w:rFonts w:hint="default" w:ascii="Times New Roman" w:hAnsi="Times New Roman" w:cs="Times New Roman"/>
                      <w:color w:val="auto"/>
                      <w:sz w:val="18"/>
                      <w:szCs w:val="18"/>
                      <w:highlight w:val="none"/>
                      <w:lang w:val="en-US" w:eastAsia="zh-CN"/>
                    </w:rPr>
                    <w:t>一般固废</w:t>
                  </w:r>
                  <w:r>
                    <w:rPr>
                      <w:rFonts w:hint="default" w:ascii="Times New Roman" w:hAnsi="Times New Roman" w:eastAsia="宋体" w:cs="Times New Roman"/>
                      <w:color w:val="auto"/>
                      <w:sz w:val="18"/>
                      <w:szCs w:val="18"/>
                      <w:highlight w:val="none"/>
                      <w:lang w:val="en-US" w:eastAsia="zh-CN"/>
                    </w:rPr>
                    <w:t>制砖项目，不生产水泥；废气执行《水泥工业大气污染物超低排放标准》</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DB13/2167-2020</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；项目投产后，企业按要求定期对产品进行监测，最终产品水泥砖应满足GB30760要求；</w:t>
                  </w:r>
                  <w:r>
                    <w:rPr>
                      <w:rFonts w:hint="default" w:ascii="Times New Roman" w:hAnsi="Times New Roman" w:cs="Times New Roman"/>
                      <w:color w:val="auto"/>
                      <w:sz w:val="18"/>
                      <w:szCs w:val="18"/>
                      <w:highlight w:val="none"/>
                      <w:lang w:val="en-US" w:eastAsia="zh-CN"/>
                    </w:rPr>
                    <w:t>项目</w:t>
                  </w:r>
                  <w:r>
                    <w:rPr>
                      <w:rFonts w:hint="default" w:ascii="Times New Roman" w:hAnsi="Times New Roman" w:eastAsia="宋体" w:cs="Times New Roman"/>
                      <w:color w:val="auto"/>
                      <w:sz w:val="18"/>
                      <w:szCs w:val="18"/>
                      <w:highlight w:val="none"/>
                      <w:lang w:val="en-US" w:eastAsia="zh-CN"/>
                    </w:rPr>
                    <w:t>不涉及再生工艺</w:t>
                  </w:r>
                </w:p>
              </w:tc>
              <w:tc>
                <w:tcPr>
                  <w:tcW w:w="415" w:type="dxa"/>
                  <w:shd w:val="clear" w:color="auto" w:fill="auto"/>
                  <w:vAlign w:val="center"/>
                </w:tcPr>
                <w:p w14:paraId="3D7346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15C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2426D7C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z w:val="18"/>
                      <w:szCs w:val="18"/>
                      <w:highlight w:val="none"/>
                      <w:lang w:val="en-US" w:eastAsia="zh-CN"/>
                    </w:rPr>
                  </w:pPr>
                </w:p>
              </w:tc>
              <w:tc>
                <w:tcPr>
                  <w:tcW w:w="0" w:type="auto"/>
                  <w:vMerge w:val="continue"/>
                </w:tcPr>
                <w:p w14:paraId="78D6B56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z w:val="18"/>
                      <w:szCs w:val="18"/>
                      <w:highlight w:val="none"/>
                      <w:lang w:eastAsia="zh-CN"/>
                    </w:rPr>
                  </w:pPr>
                </w:p>
              </w:tc>
              <w:tc>
                <w:tcPr>
                  <w:tcW w:w="0" w:type="auto"/>
                  <w:shd w:val="clear" w:color="auto" w:fill="auto"/>
                  <w:vAlign w:val="center"/>
                </w:tcPr>
                <w:p w14:paraId="3A3DDF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监测</w:t>
                  </w:r>
                </w:p>
              </w:tc>
              <w:tc>
                <w:tcPr>
                  <w:tcW w:w="0" w:type="auto"/>
                  <w:shd w:val="clear" w:color="auto" w:fill="auto"/>
                  <w:vAlign w:val="center"/>
                </w:tcPr>
                <w:p w14:paraId="05DAAB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固体废物再生利用企业应定期对固体废物再生利用产品进行采样监测，监测频次应满足以下要求：</w:t>
                  </w:r>
                </w:p>
                <w:p w14:paraId="1B5F39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当首次再生利用除危险废物外的某种固体废物时，针对再生利用产品中的特征污染物监测频次不低于每周3次；连续二周监测结果均不超出环境风险评价结果时，在该废物来源及投加量稳定的前提下，频次可减为每月1次；连续三个月监测结果均不超出环境风险评价结果时，频次可减为每年1次；若在此期间监测结果出现异常或固体废物来源发生变化或再生利用中断半年</w:t>
                  </w:r>
                  <w:r>
                    <w:rPr>
                      <w:rFonts w:hint="eastAsia" w:cs="Times New Roman"/>
                      <w:color w:val="auto"/>
                      <w:sz w:val="18"/>
                      <w:szCs w:val="18"/>
                      <w:highlight w:val="none"/>
                      <w:lang w:val="en-US" w:eastAsia="zh-CN"/>
                    </w:rPr>
                    <w:t>以上</w:t>
                  </w:r>
                  <w:r>
                    <w:rPr>
                      <w:rFonts w:hint="default" w:ascii="Times New Roman" w:hAnsi="Times New Roman" w:eastAsia="宋体" w:cs="Times New Roman"/>
                      <w:color w:val="auto"/>
                      <w:sz w:val="18"/>
                      <w:szCs w:val="18"/>
                      <w:highlight w:val="none"/>
                      <w:lang w:val="en-US" w:eastAsia="zh-CN"/>
                    </w:rPr>
                    <w:t>，则监测频次重新调整为不低于每周3次，依次重复。</w:t>
                  </w:r>
                  <w:bookmarkStart w:id="14" w:name="_GoBack"/>
                  <w:bookmarkEnd w:id="14"/>
                </w:p>
              </w:tc>
              <w:tc>
                <w:tcPr>
                  <w:tcW w:w="5169" w:type="dxa"/>
                  <w:shd w:val="clear" w:color="auto" w:fill="auto"/>
                  <w:vAlign w:val="center"/>
                </w:tcPr>
                <w:p w14:paraId="72BCED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项目投产后，企业按要求定期对</w:t>
                  </w:r>
                  <w:r>
                    <w:rPr>
                      <w:rFonts w:hint="default" w:ascii="Times New Roman" w:hAnsi="Times New Roman" w:cs="Times New Roman"/>
                      <w:color w:val="auto"/>
                      <w:sz w:val="18"/>
                      <w:szCs w:val="18"/>
                      <w:highlight w:val="none"/>
                      <w:lang w:val="en-US" w:eastAsia="zh-CN"/>
                    </w:rPr>
                    <w:t>一般固废</w:t>
                  </w:r>
                  <w:r>
                    <w:rPr>
                      <w:rFonts w:hint="default" w:ascii="Times New Roman" w:hAnsi="Times New Roman" w:eastAsia="宋体" w:cs="Times New Roman"/>
                      <w:color w:val="auto"/>
                      <w:sz w:val="18"/>
                      <w:szCs w:val="18"/>
                      <w:highlight w:val="none"/>
                      <w:lang w:val="en-US" w:eastAsia="zh-CN"/>
                    </w:rPr>
                    <w:t>来料进行监测</w:t>
                  </w:r>
                </w:p>
              </w:tc>
              <w:tc>
                <w:tcPr>
                  <w:tcW w:w="415" w:type="dxa"/>
                  <w:shd w:val="clear" w:color="auto" w:fill="auto"/>
                  <w:vAlign w:val="center"/>
                </w:tcPr>
                <w:p w14:paraId="40921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D78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tcPr>
                <w:p w14:paraId="23D6855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9</w:t>
                  </w:r>
                </w:p>
              </w:tc>
              <w:tc>
                <w:tcPr>
                  <w:tcW w:w="0" w:type="auto"/>
                  <w:vMerge w:val="restart"/>
                  <w:shd w:val="clear" w:color="auto" w:fill="auto"/>
                  <w:vAlign w:val="top"/>
                </w:tcPr>
                <w:p w14:paraId="728060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《唐山市“十四五”时期“无废城市”建设工作方案》</w:t>
                  </w:r>
                </w:p>
              </w:tc>
              <w:tc>
                <w:tcPr>
                  <w:tcW w:w="0" w:type="auto"/>
                  <w:vMerge w:val="restart"/>
                  <w:shd w:val="clear" w:color="auto" w:fill="auto"/>
                  <w:vAlign w:val="center"/>
                </w:tcPr>
                <w:p w14:paraId="33196B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（一）强化顶层设计引领，完善固体废物污染防治制度体系</w:t>
                  </w:r>
                </w:p>
              </w:tc>
              <w:tc>
                <w:tcPr>
                  <w:tcW w:w="0" w:type="auto"/>
                  <w:shd w:val="clear" w:color="auto" w:fill="auto"/>
                  <w:vAlign w:val="center"/>
                </w:tcPr>
                <w:p w14:paraId="63D1E7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1.强化政府目标责任制。</w:t>
                  </w:r>
                </w:p>
              </w:tc>
              <w:tc>
                <w:tcPr>
                  <w:tcW w:w="5169" w:type="dxa"/>
                  <w:shd w:val="clear" w:color="auto" w:fill="auto"/>
                  <w:vAlign w:val="center"/>
                </w:tcPr>
                <w:p w14:paraId="6420BF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39E09B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64B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03A7B25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2489421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75CBD4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5FDFF4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2.健全监督约束机制。</w:t>
                  </w:r>
                </w:p>
              </w:tc>
              <w:tc>
                <w:tcPr>
                  <w:tcW w:w="5169" w:type="dxa"/>
                  <w:shd w:val="clear" w:color="auto" w:fill="auto"/>
                  <w:vAlign w:val="center"/>
                </w:tcPr>
                <w:p w14:paraId="146D60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3F80EF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9AE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2E1B1D4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7FE7B42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1FFDCD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11D8A2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3.完善标准体系建设。支持企业、社会团体及有关单位参与国家固体废物综合利用标准体系建设，鼓励有关单位申报固体废物综合利用产物相关地方标准制修订项目，促进上下游产业间标准衔接。</w:t>
                  </w:r>
                </w:p>
              </w:tc>
              <w:tc>
                <w:tcPr>
                  <w:tcW w:w="5169" w:type="dxa"/>
                  <w:shd w:val="clear" w:color="auto" w:fill="auto"/>
                  <w:vAlign w:val="center"/>
                </w:tcPr>
                <w:p w14:paraId="6A9055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项目建成后积极参与国家固体废物综合利用标准体系建设工作</w:t>
                  </w:r>
                </w:p>
              </w:tc>
              <w:tc>
                <w:tcPr>
                  <w:tcW w:w="415" w:type="dxa"/>
                  <w:shd w:val="clear" w:color="auto" w:fill="auto"/>
                  <w:vAlign w:val="center"/>
                </w:tcPr>
                <w:p w14:paraId="64B7FE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76BD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2F23332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049774A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32B978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089F81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4.健全固体废物分类统计。建立健全固体废物统计制度，完善各类固体废物数据统计范围、口径和方法。</w:t>
                  </w:r>
                </w:p>
              </w:tc>
              <w:tc>
                <w:tcPr>
                  <w:tcW w:w="5169" w:type="dxa"/>
                  <w:shd w:val="clear" w:color="auto" w:fill="auto"/>
                  <w:vAlign w:val="center"/>
                </w:tcPr>
                <w:p w14:paraId="42066C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本项目运行过</w:t>
                  </w:r>
                  <w:r>
                    <w:rPr>
                      <w:rFonts w:hint="eastAsia" w:cs="Times New Roman"/>
                      <w:color w:val="000000" w:themeColor="text1"/>
                      <w:sz w:val="18"/>
                      <w:szCs w:val="18"/>
                      <w:highlight w:val="none"/>
                      <w:lang w:val="en-US" w:eastAsia="zh-CN"/>
                      <w14:textFill>
                        <w14:solidFill>
                          <w14:schemeClr w14:val="tx1"/>
                        </w14:solidFill>
                      </w14:textFill>
                    </w:rPr>
                    <w:t>程中</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固体废物入厂及固体废物产生、贮存、出厂均按要求填报固体废物相关台账</w:t>
                  </w:r>
                </w:p>
              </w:tc>
              <w:tc>
                <w:tcPr>
                  <w:tcW w:w="415" w:type="dxa"/>
                  <w:shd w:val="clear" w:color="auto" w:fill="auto"/>
                  <w:vAlign w:val="center"/>
                </w:tcPr>
                <w:p w14:paraId="2127BF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0AF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1B3854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0610A4A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restart"/>
                  <w:shd w:val="clear" w:color="auto" w:fill="auto"/>
                  <w:vAlign w:val="center"/>
                </w:tcPr>
                <w:p w14:paraId="65E632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（二）加快工业绿色升级，降低工业固体废物处置压力</w:t>
                  </w:r>
                </w:p>
              </w:tc>
              <w:tc>
                <w:tcPr>
                  <w:tcW w:w="0" w:type="auto"/>
                  <w:shd w:val="clear" w:color="auto" w:fill="auto"/>
                  <w:vAlign w:val="center"/>
                </w:tcPr>
                <w:p w14:paraId="497267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1.推进重点行业绿色转型升级。严把新上项目碳排放关，坚决遏制“两高”项目盲目发展，严格执行钢铁、水泥、平板玻璃、焦化等行业产能置换规定，严禁新增产能。</w:t>
                  </w:r>
                </w:p>
              </w:tc>
              <w:tc>
                <w:tcPr>
                  <w:tcW w:w="5169" w:type="dxa"/>
                  <w:vMerge w:val="restart"/>
                  <w:shd w:val="clear" w:color="auto" w:fill="auto"/>
                  <w:vAlign w:val="center"/>
                </w:tcPr>
                <w:p w14:paraId="022F7B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本项目不涉及以上行业</w:t>
                  </w:r>
                </w:p>
              </w:tc>
              <w:tc>
                <w:tcPr>
                  <w:tcW w:w="415" w:type="dxa"/>
                  <w:shd w:val="clear" w:color="auto" w:fill="auto"/>
                  <w:vAlign w:val="center"/>
                </w:tcPr>
                <w:p w14:paraId="5A3EC6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3E4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05973B8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5D04AFE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485078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5BB17B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推进固体废物源头减量。依法对钢铁、煤电、焦化、水泥、平板玻璃、陶瓷等行业企业实施强制性清洁生产审核。石化、化工、焦化、水泥等重点行业制定“一行一策”清洁生产改造提升计划，重点行业清洁生产审核实现全覆盖。</w:t>
                  </w:r>
                </w:p>
              </w:tc>
              <w:tc>
                <w:tcPr>
                  <w:tcW w:w="5169" w:type="dxa"/>
                  <w:vMerge w:val="continue"/>
                </w:tcPr>
                <w:p w14:paraId="3D8D65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415" w:type="dxa"/>
                  <w:shd w:val="clear" w:color="auto" w:fill="auto"/>
                  <w:vAlign w:val="center"/>
                </w:tcPr>
                <w:p w14:paraId="1C8302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20C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09C17F7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10719C4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281054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7EAAA8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3.以钢铁产业为重点引领减污降碳协同增效。</w:t>
                  </w:r>
                </w:p>
              </w:tc>
              <w:tc>
                <w:tcPr>
                  <w:tcW w:w="5169" w:type="dxa"/>
                  <w:vMerge w:val="continue"/>
                </w:tcPr>
                <w:p w14:paraId="722355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415" w:type="dxa"/>
                  <w:shd w:val="clear" w:color="auto" w:fill="auto"/>
                  <w:vAlign w:val="center"/>
                </w:tcPr>
                <w:p w14:paraId="33665F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364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332166C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0A75475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60882E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358A6B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4.促进大宗工业固体废物综合利用。以煤矸石、粉煤灰、尾矿（共伴生矿）、冶炼渣、工业副产石膏、化工废渣等大宗工业固体废物为重点，支持大掺量、规模化、高值化利用，扩大在生态修复、绿色建材、交通工程等领域的利用规模。推动工业固体废物在厂区内、园区内、市域内协同循环利用，培育一批示范园区、企业。加快唐山市大宗固体废弃物综合利用示范基地建设，推进钢渣、</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沉泥</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等冶金固废，尾矿、废石等矿山固废在绿色建材、路基材料中的应用，提升工业固体废物综合利用率。</w:t>
                  </w:r>
                </w:p>
              </w:tc>
              <w:tc>
                <w:tcPr>
                  <w:tcW w:w="5169" w:type="dxa"/>
                  <w:shd w:val="clear" w:color="auto" w:fill="auto"/>
                  <w:vAlign w:val="center"/>
                </w:tcPr>
                <w:p w14:paraId="66AE75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优先选择</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以同一园区内企业</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粉煤灰、脱硫石膏等一般固废</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为原料的，满足要求</w:t>
                  </w:r>
                </w:p>
              </w:tc>
              <w:tc>
                <w:tcPr>
                  <w:tcW w:w="415" w:type="dxa"/>
                  <w:shd w:val="clear" w:color="auto" w:fill="auto"/>
                  <w:vAlign w:val="center"/>
                </w:tcPr>
                <w:p w14:paraId="6FEB33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623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D797DF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062CEA1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2FE5B7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45CCBC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5.推进再生资源高效利用。</w:t>
                  </w:r>
                </w:p>
              </w:tc>
              <w:tc>
                <w:tcPr>
                  <w:tcW w:w="5169" w:type="dxa"/>
                  <w:shd w:val="clear" w:color="auto" w:fill="auto"/>
                  <w:vAlign w:val="center"/>
                </w:tcPr>
                <w:p w14:paraId="62D9FE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5501D8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5E1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AD0D07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5412989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3B87FE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（三）加快形成绿色生活方式，推动生活固体废物源头减量</w:t>
                  </w:r>
                </w:p>
              </w:tc>
              <w:tc>
                <w:tcPr>
                  <w:tcW w:w="0" w:type="auto"/>
                  <w:shd w:val="clear" w:color="auto" w:fill="auto"/>
                  <w:vAlign w:val="center"/>
                </w:tcPr>
                <w:p w14:paraId="7949D7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1.倡导绿色生活方式。</w:t>
                  </w:r>
                </w:p>
                <w:p w14:paraId="2AA1E3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2.加强生活垃圾管理。</w:t>
                  </w:r>
                </w:p>
                <w:p w14:paraId="7863B7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3.多点打造特色“无废”细胞工程。</w:t>
                  </w:r>
                </w:p>
              </w:tc>
              <w:tc>
                <w:tcPr>
                  <w:tcW w:w="5169" w:type="dxa"/>
                  <w:shd w:val="clear" w:color="auto" w:fill="auto"/>
                  <w:vAlign w:val="center"/>
                </w:tcPr>
                <w:p w14:paraId="42866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48779F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2FF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36E819C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2536575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restart"/>
                  <w:shd w:val="clear" w:color="auto" w:fill="auto"/>
                  <w:vAlign w:val="center"/>
                </w:tcPr>
                <w:p w14:paraId="412917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（四）加强重点环节管控，推进建筑垃圾多维综合利用</w:t>
                  </w:r>
                </w:p>
              </w:tc>
              <w:tc>
                <w:tcPr>
                  <w:tcW w:w="0" w:type="auto"/>
                  <w:shd w:val="clear" w:color="auto" w:fill="auto"/>
                  <w:vAlign w:val="center"/>
                </w:tcPr>
                <w:p w14:paraId="41598A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1.推进建筑垃圾源头减量。</w:t>
                  </w:r>
                </w:p>
              </w:tc>
              <w:tc>
                <w:tcPr>
                  <w:tcW w:w="5169" w:type="dxa"/>
                  <w:shd w:val="clear" w:color="auto" w:fill="auto"/>
                  <w:vAlign w:val="center"/>
                </w:tcPr>
                <w:p w14:paraId="5EFB60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1A589C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8DD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3687A5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4C440D2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4553C9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07F846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2.推进建筑垃圾多渠道消纳。</w:t>
                  </w:r>
                </w:p>
              </w:tc>
              <w:tc>
                <w:tcPr>
                  <w:tcW w:w="5169" w:type="dxa"/>
                  <w:shd w:val="clear" w:color="auto" w:fill="auto"/>
                  <w:vAlign w:val="center"/>
                </w:tcPr>
                <w:p w14:paraId="36B293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239281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3C4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3735167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7B3C471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restart"/>
                  <w:shd w:val="clear" w:color="auto" w:fill="auto"/>
                  <w:vAlign w:val="center"/>
                </w:tcPr>
                <w:p w14:paraId="3855B6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（五）严格环境风险防控，提升危险废物综合治理能力</w:t>
                  </w:r>
                </w:p>
              </w:tc>
              <w:tc>
                <w:tcPr>
                  <w:tcW w:w="0" w:type="auto"/>
                  <w:shd w:val="clear" w:color="auto" w:fill="auto"/>
                  <w:vAlign w:val="center"/>
                </w:tcPr>
                <w:p w14:paraId="1F1334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严格危险废物源头管控。严格执行危险废物名录管理制度，加强可能具有或不确定是否具有危险特性的固体废物鉴别。严把涉危险废物工业项目环境准入关，落实工业危险废物排污许可制度。落实涉危险废物企业法人主体责任承诺制，增强风险内控力。以危险废物规范化环境管理评估为抓手，推动日常管理向深度、广度拓展，着力提升规范化管理水平。积极推动源头减量，年产生危险废物100吨以上的企业完成强制性清洁生产审核。支持研发、推广减少工业危险废物产生量和降低工业危险废物危害性的生产工艺和设备。</w:t>
                  </w:r>
                </w:p>
              </w:tc>
              <w:tc>
                <w:tcPr>
                  <w:tcW w:w="5169" w:type="dxa"/>
                  <w:shd w:val="clear" w:color="auto" w:fill="auto"/>
                  <w:vAlign w:val="center"/>
                </w:tcPr>
                <w:p w14:paraId="6424C6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项目危险废物严格遵守要求进行管理、收集、贮存等，定期由有资质的</w:t>
                  </w:r>
                  <w:r>
                    <w:rPr>
                      <w:rFonts w:hint="eastAsia" w:cs="Times New Roman"/>
                      <w:color w:val="000000" w:themeColor="text1"/>
                      <w:sz w:val="18"/>
                      <w:szCs w:val="18"/>
                      <w:highlight w:val="none"/>
                      <w:lang w:val="en-US" w:eastAsia="zh-CN"/>
                      <w14:textFill>
                        <w14:solidFill>
                          <w14:schemeClr w14:val="tx1"/>
                        </w14:solidFill>
                      </w14:textFill>
                    </w:rPr>
                    <w:t>单位</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进行处置</w:t>
                  </w:r>
                </w:p>
              </w:tc>
              <w:tc>
                <w:tcPr>
                  <w:tcW w:w="415" w:type="dxa"/>
                  <w:shd w:val="clear" w:color="auto" w:fill="auto"/>
                  <w:vAlign w:val="center"/>
                </w:tcPr>
                <w:p w14:paraId="57F3AD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BB1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6059FB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10CA750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381C33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4FBAE8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2.加强危险废物利用、处置能力建设。</w:t>
                  </w:r>
                </w:p>
              </w:tc>
              <w:tc>
                <w:tcPr>
                  <w:tcW w:w="5169" w:type="dxa"/>
                  <w:shd w:val="clear" w:color="auto" w:fill="auto"/>
                  <w:vAlign w:val="center"/>
                </w:tcPr>
                <w:p w14:paraId="0E08A6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项目不属于危险废物利用、处置项目，不涉及</w:t>
                  </w:r>
                </w:p>
              </w:tc>
              <w:tc>
                <w:tcPr>
                  <w:tcW w:w="415" w:type="dxa"/>
                  <w:shd w:val="clear" w:color="auto" w:fill="auto"/>
                  <w:vAlign w:val="center"/>
                </w:tcPr>
                <w:p w14:paraId="6EBAB5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D75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2CADB07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40ED7CF5">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03701E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06AAFF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3.优化提升医疗废物处置能力。</w:t>
                  </w:r>
                </w:p>
              </w:tc>
              <w:tc>
                <w:tcPr>
                  <w:tcW w:w="5169" w:type="dxa"/>
                  <w:shd w:val="clear" w:color="auto" w:fill="auto"/>
                  <w:vAlign w:val="center"/>
                </w:tcPr>
                <w:p w14:paraId="781A80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44EC20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687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7CD6ED0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79F9318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2B1000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062702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4.切实提高应急保障能力。将涉危险废物突发生态环境事件应急处置纳入政府应急响应体系，督促指导危险废物相关企业制定突发环境事件防范措施和应急预案。全面实施危险废物电子转移联单制度，依法加强道路运输安全管理。</w:t>
                  </w:r>
                </w:p>
              </w:tc>
              <w:tc>
                <w:tcPr>
                  <w:tcW w:w="5169" w:type="dxa"/>
                  <w:shd w:val="clear" w:color="auto" w:fill="auto"/>
                  <w:vAlign w:val="center"/>
                </w:tcPr>
                <w:p w14:paraId="5F6006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企业按要求编制突发环境事件应急预案，危险废物转移严格执行危险废物电子转移联单制度</w:t>
                  </w:r>
                </w:p>
              </w:tc>
              <w:tc>
                <w:tcPr>
                  <w:tcW w:w="415" w:type="dxa"/>
                  <w:shd w:val="clear" w:color="auto" w:fill="auto"/>
                  <w:vAlign w:val="center"/>
                </w:tcPr>
                <w:p w14:paraId="479D48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053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233D3C7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199B7FB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restart"/>
                  <w:shd w:val="clear" w:color="auto" w:fill="auto"/>
                  <w:vAlign w:val="center"/>
                </w:tcPr>
                <w:p w14:paraId="23986D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（六）发展生态循环农业，促进农业农村废物资源利用</w:t>
                  </w:r>
                </w:p>
              </w:tc>
              <w:tc>
                <w:tcPr>
                  <w:tcW w:w="0" w:type="auto"/>
                  <w:shd w:val="clear" w:color="auto" w:fill="auto"/>
                  <w:vAlign w:val="center"/>
                </w:tcPr>
                <w:p w14:paraId="6B87D9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1.推进农业面源污染治理。</w:t>
                  </w:r>
                </w:p>
              </w:tc>
              <w:tc>
                <w:tcPr>
                  <w:tcW w:w="5169" w:type="dxa"/>
                  <w:shd w:val="clear" w:color="auto" w:fill="auto"/>
                  <w:vAlign w:val="center"/>
                </w:tcPr>
                <w:p w14:paraId="18299B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11A682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B28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EED8FA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0440D9F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094753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21CDAF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2.提升农业废弃物综合利用。</w:t>
                  </w:r>
                </w:p>
              </w:tc>
              <w:tc>
                <w:tcPr>
                  <w:tcW w:w="5169" w:type="dxa"/>
                  <w:shd w:val="clear" w:color="auto" w:fill="auto"/>
                  <w:vAlign w:val="center"/>
                </w:tcPr>
                <w:p w14:paraId="77D1C6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47B298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464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72B76CD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1C0929F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6064E9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07752F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3.加快农村固体废物治理。</w:t>
                  </w:r>
                </w:p>
              </w:tc>
              <w:tc>
                <w:tcPr>
                  <w:tcW w:w="5169" w:type="dxa"/>
                  <w:shd w:val="clear" w:color="auto" w:fill="auto"/>
                  <w:vAlign w:val="center"/>
                </w:tcPr>
                <w:p w14:paraId="7B6CA6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20B060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056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39D89C4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274B6AA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26BC12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105" w:leftChars="-50" w:right="-105" w:rightChars="-5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（七）激发市场主体活力，建立健全环境管理市场体系</w:t>
                  </w:r>
                </w:p>
              </w:tc>
              <w:tc>
                <w:tcPr>
                  <w:tcW w:w="0" w:type="auto"/>
                  <w:shd w:val="clear" w:color="auto" w:fill="auto"/>
                  <w:vAlign w:val="center"/>
                </w:tcPr>
                <w:p w14:paraId="3D20B2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1.加大财税扶持力度。</w:t>
                  </w:r>
                </w:p>
                <w:p w14:paraId="703903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2.大力发展绿色金融。</w:t>
                  </w:r>
                </w:p>
                <w:p w14:paraId="5C55C1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3.积极培育市场主体。</w:t>
                  </w:r>
                </w:p>
              </w:tc>
              <w:tc>
                <w:tcPr>
                  <w:tcW w:w="5169" w:type="dxa"/>
                  <w:shd w:val="clear" w:color="auto" w:fill="auto"/>
                  <w:vAlign w:val="center"/>
                </w:tcPr>
                <w:p w14:paraId="3F7A7D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本项目不涉及</w:t>
                  </w:r>
                </w:p>
              </w:tc>
              <w:tc>
                <w:tcPr>
                  <w:tcW w:w="415" w:type="dxa"/>
                  <w:shd w:val="clear" w:color="auto" w:fill="auto"/>
                  <w:vAlign w:val="center"/>
                </w:tcPr>
                <w:p w14:paraId="70E5A3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577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7275771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2731B47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restart"/>
                  <w:shd w:val="clear" w:color="auto" w:fill="auto"/>
                  <w:vAlign w:val="center"/>
                </w:tcPr>
                <w:p w14:paraId="5BF775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（八）加强科技创新支撑，推动形成环境管理技术体系</w:t>
                  </w:r>
                </w:p>
              </w:tc>
              <w:tc>
                <w:tcPr>
                  <w:tcW w:w="0" w:type="auto"/>
                  <w:shd w:val="clear" w:color="auto" w:fill="auto"/>
                  <w:vAlign w:val="center"/>
                </w:tcPr>
                <w:p w14:paraId="1EFBEC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1.加速成果转化。组织推荐国家重大环保装备技术名录和环保装备技术规范管理企业，优先将先进绿色环保产品列入首台（套）政策支持范围。大力推广应用工业资源综合利用先进适用工艺技术设备，持续扩大工业固体废物减量化和综合利用渠道。</w:t>
                  </w:r>
                </w:p>
              </w:tc>
              <w:tc>
                <w:tcPr>
                  <w:tcW w:w="5169" w:type="dxa"/>
                  <w:vMerge w:val="restart"/>
                  <w:shd w:val="clear" w:color="auto" w:fill="auto"/>
                  <w:vAlign w:val="center"/>
                </w:tcPr>
                <w:p w14:paraId="73EB23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对一般固废进行再利用</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，根据相关资料，项目原料及产品均满足相关标准要求</w:t>
                  </w:r>
                </w:p>
              </w:tc>
              <w:tc>
                <w:tcPr>
                  <w:tcW w:w="415" w:type="dxa"/>
                  <w:shd w:val="clear" w:color="auto" w:fill="auto"/>
                  <w:vAlign w:val="center"/>
                </w:tcPr>
                <w:p w14:paraId="098FA3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781E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228B247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tcPr>
                <w:p w14:paraId="245E14B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vMerge w:val="continue"/>
                </w:tcPr>
                <w:p w14:paraId="1F679E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0" w:type="auto"/>
                  <w:shd w:val="clear" w:color="auto" w:fill="auto"/>
                  <w:vAlign w:val="center"/>
                </w:tcPr>
                <w:p w14:paraId="6DEBD8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left"/>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2.强化示范带动。以转炉炉渣、工业副产石膏、化工废渣、除尘灰、废酸、飞灰、废盐、生物质等产生量大、难利用废物为重点，引进国内外先进成熟技术，建设一批可复制推广的示范项目。依托龙头骨干企业，培育建设固体废物资源化利用相关技术创新中心、产业技术研究院等创新平台，促进关键核心技术攻关和成果转移转化。</w:t>
                  </w:r>
                </w:p>
              </w:tc>
              <w:tc>
                <w:tcPr>
                  <w:tcW w:w="5169" w:type="dxa"/>
                  <w:vMerge w:val="continue"/>
                  <w:shd w:val="clear" w:color="auto" w:fill="auto"/>
                  <w:vAlign w:val="center"/>
                </w:tcPr>
                <w:p w14:paraId="1CCA74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p>
              </w:tc>
              <w:tc>
                <w:tcPr>
                  <w:tcW w:w="415" w:type="dxa"/>
                  <w:shd w:val="clear" w:color="auto" w:fill="auto"/>
                  <w:vAlign w:val="center"/>
                </w:tcPr>
                <w:p w14:paraId="54770A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4ECC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tcPr>
                <w:p w14:paraId="02BF335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10</w:t>
                  </w:r>
                </w:p>
              </w:tc>
              <w:tc>
                <w:tcPr>
                  <w:tcW w:w="0" w:type="auto"/>
                  <w:vMerge w:val="restart"/>
                  <w:shd w:val="clear" w:color="auto" w:fill="auto"/>
                  <w:vAlign w:val="top"/>
                </w:tcPr>
                <w:p w14:paraId="22760D50">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《固体废物综合治理行动计划》（国发〔2025〕14号）</w:t>
                  </w:r>
                </w:p>
              </w:tc>
              <w:tc>
                <w:tcPr>
                  <w:tcW w:w="0" w:type="auto"/>
                  <w:shd w:val="clear" w:color="auto" w:fill="auto"/>
                  <w:vAlign w:val="center"/>
                </w:tcPr>
                <w:p w14:paraId="08E5276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二、推动源头管控和减量</w:t>
                  </w:r>
                </w:p>
              </w:tc>
              <w:tc>
                <w:tcPr>
                  <w:tcW w:w="0" w:type="auto"/>
                  <w:shd w:val="clear" w:color="auto" w:fill="auto"/>
                  <w:vAlign w:val="center"/>
                </w:tcPr>
                <w:p w14:paraId="5648244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一）加强工业固体废物源头减量。严格落实产业、环保、节能等政策，依法依规淘汰落后产能。强化工业园区固体废物源头管控。大力推行绿色设计，支持企业改进生产工艺和装备，强化工业生产精细化管控，降低固体废物产生强度。推动重有色金属矿采选一体化建设，促进尾矿就近充填回填，原则上不再批准建设无自建矿山、无配套尾矿利用处置设施的选矿项目。推动重点行业固体废物产生量与综合消纳量逐步实现动态平衡。</w:t>
                  </w:r>
                </w:p>
                <w:p w14:paraId="71BABB7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（二）实施城镇固体废物源头管控。</w:t>
                  </w:r>
                </w:p>
                <w:p w14:paraId="34D076B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（三）减少农林固体废物产生。</w:t>
                  </w:r>
                </w:p>
              </w:tc>
              <w:tc>
                <w:tcPr>
                  <w:tcW w:w="5169" w:type="dxa"/>
                  <w:shd w:val="clear" w:color="auto" w:fill="auto"/>
                  <w:vAlign w:val="center"/>
                </w:tcPr>
                <w:p w14:paraId="0D46C5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对</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一般固废进行再利用</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，不属于落后产能，除尘灰</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、废布袋</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收集后回用于生产，洗车</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沉泥</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回用于生产</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，不合格产品回用于生产</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；其他不涉及</w:t>
                  </w:r>
                </w:p>
              </w:tc>
              <w:tc>
                <w:tcPr>
                  <w:tcW w:w="415" w:type="dxa"/>
                  <w:shd w:val="clear" w:color="auto" w:fill="auto"/>
                  <w:vAlign w:val="center"/>
                </w:tcPr>
                <w:p w14:paraId="4EC13F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F31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850C54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450B7581">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49E1E64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三、规范收集转运和贮存</w:t>
                  </w:r>
                </w:p>
                <w:p w14:paraId="12BCB9C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p>
              </w:tc>
              <w:tc>
                <w:tcPr>
                  <w:tcW w:w="0" w:type="auto"/>
                  <w:shd w:val="clear" w:color="auto" w:fill="auto"/>
                  <w:vAlign w:val="center"/>
                </w:tcPr>
                <w:p w14:paraId="700EE81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四）加强工业固体废物规范化管理。完善工业固体废物管理台账制度，强化全链条跟踪管控。推行工业固体废物分类收集贮存，防范混堆混排。禁止向生活垃圾收集设施中投放工业固体废物。严格执行工业固体废物、危险废物跨省转移审批制度。规范各类企业危险废物收集管理。</w:t>
                  </w:r>
                </w:p>
                <w:p w14:paraId="636FC9A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（五）规范城镇固体废物回收转运体系。</w:t>
                  </w:r>
                </w:p>
                <w:p w14:paraId="4F1150B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（六）提高农林固体废物收集转运能力。</w:t>
                  </w:r>
                </w:p>
              </w:tc>
              <w:tc>
                <w:tcPr>
                  <w:tcW w:w="5169" w:type="dxa"/>
                  <w:shd w:val="clear" w:color="auto" w:fill="auto"/>
                  <w:vAlign w:val="center"/>
                </w:tcPr>
                <w:p w14:paraId="154D5D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项目按要求进行固体废物管理，严格执行台账制度，</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一般固废分类收集、合理处置</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；危险废物委托有资质的单位进行处置，按要求进行危险废物收集、管理，实施危险废物转移联单制度；其他不涉及</w:t>
                  </w:r>
                </w:p>
              </w:tc>
              <w:tc>
                <w:tcPr>
                  <w:tcW w:w="415" w:type="dxa"/>
                  <w:shd w:val="clear" w:color="auto" w:fill="auto"/>
                  <w:vAlign w:val="center"/>
                </w:tcPr>
                <w:p w14:paraId="65D6B3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DC2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641C1F8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7ADDE26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0E05D0D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四、提升资源化利用水平</w:t>
                  </w:r>
                </w:p>
              </w:tc>
              <w:tc>
                <w:tcPr>
                  <w:tcW w:w="0" w:type="auto"/>
                  <w:shd w:val="clear" w:color="auto" w:fill="auto"/>
                  <w:vAlign w:val="center"/>
                </w:tcPr>
                <w:p w14:paraId="0EB1018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七）加强大宗固体废弃物综合利用。提升冶炼渣、尾矿、共伴生矿、赤泥、建筑垃圾综合利用能力，加强有价组分高效提取及整体利用，因地制宜推动煤矸石多元化利用。拓宽秸秆综合利用途径，提高秸秆还田科学化、规范化水平。推进畜禽养殖废弃物资源化利用。</w:t>
                  </w:r>
                </w:p>
                <w:p w14:paraId="44FB2EC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八）提升再生资源循环利用水平。强化再生资源综合利用行业规范管理。开展“城市矿产”示范基地升级行动。深入实施生产者责任延伸制度，引导电器电子产品、汽车、动力电池等生产企业参与回收利用。完善旧货交易管理制度。鼓励“互联网＋二手”模式发展。大力发展再制造产业。在确保固体废物零进口的前提下，有序推进海外优质再生资源进口利用。</w:t>
                  </w:r>
                </w:p>
                <w:p w14:paraId="4D98112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九）加强再生材料应用推广。建立完善再生材料标准和认证制度。研究实施再生材料和产品碳足迹认证。引导生产企业提高再生材料应用比例。推动将再生材料应用情况纳入企业履行社会责任范围。将更多符合条件的再生材料和产品</w:t>
                  </w:r>
                </w:p>
              </w:tc>
              <w:tc>
                <w:tcPr>
                  <w:tcW w:w="5169" w:type="dxa"/>
                  <w:shd w:val="clear" w:color="auto" w:fill="auto"/>
                  <w:vAlign w:val="center"/>
                </w:tcPr>
                <w:p w14:paraId="0D2D5F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对一般固废进行再利用</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，根据相关资料，项目原料及产品均满足相关标准要求</w:t>
                  </w:r>
                </w:p>
              </w:tc>
              <w:tc>
                <w:tcPr>
                  <w:tcW w:w="415" w:type="dxa"/>
                  <w:shd w:val="clear" w:color="auto" w:fill="auto"/>
                  <w:vAlign w:val="center"/>
                </w:tcPr>
                <w:p w14:paraId="79F104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2FC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68D9859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53E76B8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6ADFD84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五、增加无害化治理能力</w:t>
                  </w:r>
                </w:p>
              </w:tc>
              <w:tc>
                <w:tcPr>
                  <w:tcW w:w="0" w:type="auto"/>
                  <w:shd w:val="clear" w:color="auto" w:fill="auto"/>
                  <w:vAlign w:val="center"/>
                </w:tcPr>
                <w:p w14:paraId="7F87200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提升全过程无害化水平。加强大宗工业固体废物无害化预处理，降低贮存填埋量和环境污染风险。因地制宜确定生活垃圾处理方式，合理布局建设生活垃圾焚烧处理设施，鼓励在确保安全稳定运行前提下，协同处置城镇污水处理厂污泥和工业固体废物。新建生活垃圾焚烧项目应同步落实飞灰处理途径，逐步减少飞灰填埋量。优化污泥处理处置结构，压减填埋规模。</w:t>
                  </w:r>
                </w:p>
                <w:p w14:paraId="0208FA3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一）稳妥有序探索规模化消纳利用渠道。在符合环境质量标准、污染风险管控要求和安全生产要求前提下，探索通过井下充填、矿坑回填、生态修复等方式规模化消纳利用大宗工业固体废物。建立统一规范的管理制度，加强部门协同，严格履行相关审批和决策程序，坚决防范以规模化消纳利用名义非法倾倒。</w:t>
                  </w:r>
                </w:p>
              </w:tc>
              <w:tc>
                <w:tcPr>
                  <w:tcW w:w="5169" w:type="dxa"/>
                  <w:shd w:val="clear" w:color="auto" w:fill="auto"/>
                  <w:vAlign w:val="center"/>
                </w:tcPr>
                <w:p w14:paraId="64D23F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对一般固废进行再利用</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，根据相关资料，项目原料及产品均满足相关标准要求</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，不属于垃圾焚烧处理项目</w:t>
                  </w:r>
                </w:p>
              </w:tc>
              <w:tc>
                <w:tcPr>
                  <w:tcW w:w="415" w:type="dxa"/>
                  <w:shd w:val="clear" w:color="auto" w:fill="auto"/>
                  <w:vAlign w:val="center"/>
                </w:tcPr>
                <w:p w14:paraId="10D9E1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CC1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008EF9D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68FE688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5013420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六、实施重点领域专项整治</w:t>
                  </w:r>
                </w:p>
              </w:tc>
              <w:tc>
                <w:tcPr>
                  <w:tcW w:w="0" w:type="auto"/>
                  <w:shd w:val="clear" w:color="auto" w:fill="auto"/>
                  <w:vAlign w:val="center"/>
                </w:tcPr>
                <w:p w14:paraId="4E95C74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（十二）开展非法倾倒处置固体废物专项整治。深入开展重点区域非法倾倒处置固体废物排查，及时发现问题并逐一限时整改。依法依规严肃查处违法单位和个人，斩断黑色利益链条。</w:t>
                  </w:r>
                </w:p>
                <w:p w14:paraId="3116CF9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（十三）开展生活垃圾填埋场环境污染隐患专项整治。</w:t>
                  </w:r>
                </w:p>
                <w:p w14:paraId="258EA89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（十四）深入推进建筑垃圾专项整治。</w:t>
                  </w:r>
                </w:p>
                <w:p w14:paraId="0853EFEC">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（十五）开展历史遗留固体废物堆存场所专项整治。</w:t>
                  </w:r>
                </w:p>
                <w:p w14:paraId="23E80FC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（十六）深入推进磷石膏综合治理。</w:t>
                  </w:r>
                </w:p>
              </w:tc>
              <w:tc>
                <w:tcPr>
                  <w:tcW w:w="5169" w:type="dxa"/>
                  <w:shd w:val="clear" w:color="auto" w:fill="auto"/>
                  <w:vAlign w:val="center"/>
                </w:tcPr>
                <w:p w14:paraId="4870A5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项目建成后严格固体废物合理处置，不非法倾倒；不涉及生活垃圾填埋场、建筑垃圾、历史遗留固体废物堆存场所、磷石膏等</w:t>
                  </w:r>
                </w:p>
              </w:tc>
              <w:tc>
                <w:tcPr>
                  <w:tcW w:w="415" w:type="dxa"/>
                  <w:shd w:val="clear" w:color="auto" w:fill="auto"/>
                  <w:vAlign w:val="center"/>
                </w:tcPr>
                <w:p w14:paraId="7CA531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2046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37516F1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69CE9CE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35B7232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七、严格全过程监管和执法督察</w:t>
                  </w:r>
                </w:p>
              </w:tc>
              <w:tc>
                <w:tcPr>
                  <w:tcW w:w="0" w:type="auto"/>
                  <w:shd w:val="clear" w:color="auto" w:fill="auto"/>
                  <w:vAlign w:val="center"/>
                </w:tcPr>
                <w:p w14:paraId="18D0AC2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七）提升信息化监管能力。加强固体废物全生命周期信息化监管，依法强化生活垃圾焚烧处理、固体废物填埋、危险废物焚烧和工业窑炉协同处置、重金属重点行业企业自动监测，推进危险废物全过程实时动态监控。推动企业开展数智监控设备升级改造。</w:t>
                  </w:r>
                </w:p>
                <w:p w14:paraId="3103042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八）强化环境执法督察。严格落实固体废物污染防治相关法律法规，加强从生产到处置各环节全链条监管。严厉打击固体废物环境违法犯罪行为，依法依规追究责任，强化对私设暗管偷排等主观恶意明显、环境危害严重的违法违规行为的惩治。生态环境部门对造成严重生态破坏和环境污染的案件实行挂牌督办。持续开展重点区域“清废行动”。建立健全跨部门跨地区联合监管执法机制，加大对跨省非法倾倒固体废物等行为的打击力度。将违法违规处置固体废物等突出生态环境问题纳入生态环境保护督察。</w:t>
                  </w:r>
                </w:p>
              </w:tc>
              <w:tc>
                <w:tcPr>
                  <w:tcW w:w="5169" w:type="dxa"/>
                  <w:shd w:val="clear" w:color="auto" w:fill="auto"/>
                  <w:vAlign w:val="center"/>
                </w:tcPr>
                <w:p w14:paraId="44B3BB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项目危险废物委托有资质的单位进行处置；原料为一般废物，落实固体废物污染防治相关法律法规，加强从生产到处置各环节全链条监管，严禁非法倾倒固体废物</w:t>
                  </w:r>
                </w:p>
              </w:tc>
              <w:tc>
                <w:tcPr>
                  <w:tcW w:w="415" w:type="dxa"/>
                  <w:shd w:val="clear" w:color="auto" w:fill="auto"/>
                  <w:vAlign w:val="center"/>
                </w:tcPr>
                <w:p w14:paraId="22B7F1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012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3897EE4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3CE6DDF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3F7EBA9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八、完善法规标准和技术体系</w:t>
                  </w:r>
                </w:p>
              </w:tc>
              <w:tc>
                <w:tcPr>
                  <w:tcW w:w="0" w:type="auto"/>
                  <w:shd w:val="clear" w:color="auto" w:fill="auto"/>
                  <w:vAlign w:val="center"/>
                </w:tcPr>
                <w:p w14:paraId="42137774">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九）健全法律法规制度体系。推动生态环境法典编纂和循环经济促进法修订。推动排污单位依法披露工业固体废物环境信息，并将其纳入环境信用评价。修订废弃电器电子产品回收处理、危险废物经营许可、建筑垃圾等方面法规规章。加快出台新能源汽车动力电池综合利用管理办法。完善大宗固体废弃物和再生资源等统计调查制度，健全循环经济统计体系和评价制度。</w:t>
                  </w:r>
                </w:p>
                <w:p w14:paraId="3D57FFF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发挥标准牵引作用。修订产业结构调整指导目录，加大落后工艺装备限制和淘汰力度。分类制修订固体废物污染控制标准，完善建筑垃圾等固体废物资源化利用技术和产品质量标准，明确再生原料和固体废物判定条件。积极参与固体废物治理国际标准制修订，加强标准和认证体系国际衔接。</w:t>
                  </w:r>
                </w:p>
                <w:p w14:paraId="0131EE6B">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一）强化科技创新支撑。加强固体废物循环利用及重金属污染治理关键技术研发，开展资源循环利用重大技术装备攻关。制定生态环境技术指导目录。修订矿产资源、工业资源等综合利用先进适用工艺技术设备目录。</w:t>
                  </w:r>
                </w:p>
              </w:tc>
              <w:tc>
                <w:tcPr>
                  <w:tcW w:w="5169" w:type="dxa"/>
                  <w:shd w:val="clear" w:color="auto" w:fill="auto"/>
                  <w:vAlign w:val="center"/>
                </w:tcPr>
                <w:p w14:paraId="2B2B77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项目不</w:t>
                  </w:r>
                  <w:r>
                    <w:rPr>
                      <w:rFonts w:hint="eastAsia" w:cs="Times New Roman"/>
                      <w:color w:val="000000" w:themeColor="text1"/>
                      <w:kern w:val="2"/>
                      <w:sz w:val="18"/>
                      <w:szCs w:val="18"/>
                      <w:highlight w:val="none"/>
                      <w:lang w:val="en-US" w:eastAsia="zh-CN" w:bidi="ar-SA"/>
                      <w14:textFill>
                        <w14:solidFill>
                          <w14:schemeClr w14:val="tx1"/>
                        </w14:solidFill>
                      </w14:textFill>
                    </w:rPr>
                    <w:t>属于</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废弃电器电子产品回收处理、危险废物经营许可、建筑垃圾等行业，项目投产后依法进行信息公开，项目为产业结构调整目录的</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鼓励类</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建设项目；</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对一般固废进行再利用</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，根据相关资料，项目原料及产品均满足相关标准要求</w:t>
                  </w:r>
                </w:p>
              </w:tc>
              <w:tc>
                <w:tcPr>
                  <w:tcW w:w="415" w:type="dxa"/>
                  <w:shd w:val="clear" w:color="auto" w:fill="auto"/>
                  <w:vAlign w:val="center"/>
                </w:tcPr>
                <w:p w14:paraId="425EB9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3154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12CA48A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76B7A39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272EA14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九、加强政策保障</w:t>
                  </w:r>
                </w:p>
              </w:tc>
              <w:tc>
                <w:tcPr>
                  <w:tcW w:w="0" w:type="auto"/>
                  <w:shd w:val="clear" w:color="auto" w:fill="auto"/>
                  <w:vAlign w:val="center"/>
                </w:tcPr>
                <w:p w14:paraId="041BDFC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二）强化用地保障。科学规划固体废物回填矿山采坑项目。将生活垃圾分类收集、中转贮存等项目纳入公共基础设施用地保障范围。各地加强资源循环利用项目用地保障，安排不少于1%的产业用地用于支持资源循环利用设施建设。</w:t>
                  </w:r>
                </w:p>
                <w:p w14:paraId="55546A3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三）强化投资财税金融政策支持。用好各级各类资金，支持符合条件的固体废物综合治理、资源循环利用项目建设，尽快补齐固体废物无害化贮存、转运、处置等设施设备短板。大力发展绿色金融，引导金融机构和社会资本加大投入。完善固体废物环境保护税的政策执行口径，引导经营主体加强循环利用和无害化处置。推广资源回收企业向自然人报废产品出售者“反向开票”做法。建立科学合理的价格机制，引导有关企业加大固体废物综合治理技术研发投入，形成可持续的商业模式，发挥市场力量促进循环经济发展。</w:t>
                  </w:r>
                </w:p>
                <w:p w14:paraId="25AB335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（二十四）完善收费制度。实行垃圾处理收费制度，合理制定和调整垃圾处理收费标准。支持地方完善收费模式，结合垃圾分类情况，探索差别化生活垃圾处理费制度。推进非居民厨余垃圾处理计量收费。</w:t>
                  </w:r>
                </w:p>
              </w:tc>
              <w:tc>
                <w:tcPr>
                  <w:tcW w:w="5169" w:type="dxa"/>
                  <w:shd w:val="clear" w:color="auto" w:fill="auto"/>
                  <w:vAlign w:val="center"/>
                </w:tcPr>
                <w:p w14:paraId="4F328C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项目用地为工业用地，不属于固体废物回填矿山采坑项目、生活垃圾分类收集、中转贮存等项目；其他不涉及</w:t>
                  </w:r>
                </w:p>
              </w:tc>
              <w:tc>
                <w:tcPr>
                  <w:tcW w:w="415" w:type="dxa"/>
                  <w:shd w:val="clear" w:color="auto" w:fill="auto"/>
                  <w:vAlign w:val="center"/>
                </w:tcPr>
                <w:p w14:paraId="6CA3BC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ACF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0DBE87D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44D38B8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7DD11BD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十、强化实施保障</w:t>
                  </w:r>
                </w:p>
              </w:tc>
              <w:tc>
                <w:tcPr>
                  <w:tcW w:w="0" w:type="auto"/>
                  <w:shd w:val="clear" w:color="auto" w:fill="auto"/>
                  <w:vAlign w:val="center"/>
                </w:tcPr>
                <w:p w14:paraId="78A3EA9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right="0" w:firstLine="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五）加强组织领导。各地区各有关部门在党中央集中统一领导下，结合实际抓好贯彻落实。地方各级政府切实履行主体责任，完善工作制度，细化目标任务，确保落地见效。严格规范涉企行政检查。国家发展改革委、生态环境部加强统筹协调，推动本行动计划各项任务落实并及时评估进展成效。生态环境部加强统一监督管理，加快推进“无废城市”建设，推动落实固体废物污染环境防治目标责任制和考核评价制度。各有关部门按照职责分工，落实重点任务，形成工作合力。厘清政府和企业的责任边界，坚持“谁污染、谁治理”，压实固体废物污染主体的防治责任。重大事项及时按程序请示报告。</w:t>
                  </w:r>
                </w:p>
                <w:p w14:paraId="0C1B123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十六）深化宣传引导和国际合作。将循环经济知识和“无废”理念纳入有关教育培训体系。结合全国生态日、全国节能宣传周、六五环境日等活动，开展形式多样的宣传教育，推广先进经验做法，形成全社会共同参与的良好氛围。深化多双边国际合作，强化国际公约履约工作，推动形成更多务实成果。</w:t>
                  </w:r>
                </w:p>
              </w:tc>
              <w:tc>
                <w:tcPr>
                  <w:tcW w:w="5169" w:type="dxa"/>
                  <w:shd w:val="clear" w:color="auto" w:fill="auto"/>
                  <w:vAlign w:val="center"/>
                </w:tcPr>
                <w:p w14:paraId="20DBD4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项目不涉及</w:t>
                  </w:r>
                </w:p>
              </w:tc>
              <w:tc>
                <w:tcPr>
                  <w:tcW w:w="415" w:type="dxa"/>
                  <w:shd w:val="clear" w:color="auto" w:fill="auto"/>
                  <w:vAlign w:val="center"/>
                </w:tcPr>
                <w:p w14:paraId="4BE8DE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0630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vAlign w:val="center"/>
                </w:tcPr>
                <w:p w14:paraId="1DD04D7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11</w:t>
                  </w:r>
                </w:p>
              </w:tc>
              <w:tc>
                <w:tcPr>
                  <w:tcW w:w="0" w:type="auto"/>
                  <w:vMerge w:val="restart"/>
                  <w:shd w:val="clear" w:color="auto" w:fill="auto"/>
                </w:tcPr>
                <w:p w14:paraId="5243288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cs="Times New Roman"/>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一般工业固体废物环境管理工作指南</w:t>
                  </w:r>
                  <w:r>
                    <w:rPr>
                      <w:rFonts w:hint="default" w:ascii="Times New Roman" w:hAnsi="Times New Roman" w:cs="Times New Roman"/>
                      <w:color w:val="000000" w:themeColor="text1"/>
                      <w:sz w:val="18"/>
                      <w:szCs w:val="18"/>
                      <w:highlight w:val="none"/>
                      <w:lang w:eastAsia="zh-CN"/>
                      <w14:textFill>
                        <w14:solidFill>
                          <w14:schemeClr w14:val="tx1"/>
                        </w14:solidFill>
                      </w14:textFill>
                    </w:rPr>
                    <w:t>》（环办固体函[2026]18号）</w:t>
                  </w:r>
                </w:p>
              </w:tc>
              <w:tc>
                <w:tcPr>
                  <w:tcW w:w="0" w:type="auto"/>
                  <w:shd w:val="clear" w:color="auto" w:fill="auto"/>
                  <w:vAlign w:val="center"/>
                </w:tcPr>
                <w:p w14:paraId="3BEA98E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(一)落实主体责任。</w:t>
                  </w:r>
                </w:p>
              </w:tc>
              <w:tc>
                <w:tcPr>
                  <w:tcW w:w="0" w:type="auto"/>
                  <w:shd w:val="clear" w:color="auto" w:fill="auto"/>
                  <w:vAlign w:val="center"/>
                </w:tcPr>
                <w:p w14:paraId="04CD348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坚持污染担责原则，产废单位应建立健全一般工业固体废物产生、收集、贮存、运输、利用、处置全过程污染环境防治责任制度，减少固体废物产生量，促进固体废物综合利用，降低固体废物危害性。规范建立一般工业固体废物环境管理台账，鼓励使用电子台账，强化全过程跟踪管控。产废单位不得擅自倾倒、堆放、丢弃、遗撒一般工业固体废物。</w:t>
                  </w:r>
                </w:p>
              </w:tc>
              <w:tc>
                <w:tcPr>
                  <w:tcW w:w="5169" w:type="dxa"/>
                  <w:shd w:val="clear" w:color="auto" w:fill="auto"/>
                  <w:vAlign w:val="center"/>
                </w:tcPr>
                <w:p w14:paraId="6E9BF9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企业按照要求健全相关责任制度，建立相关电子台账，禁止</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擅自倾倒、堆放、丢弃、遗撒一般工业固体废物</w:t>
                  </w:r>
                </w:p>
              </w:tc>
              <w:tc>
                <w:tcPr>
                  <w:tcW w:w="415" w:type="dxa"/>
                  <w:shd w:val="clear" w:color="auto" w:fill="auto"/>
                  <w:vAlign w:val="center"/>
                </w:tcPr>
                <w:p w14:paraId="5D0ABB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BCA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06C91BA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2B4803D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4158067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(二)注重源头管理。</w:t>
                  </w:r>
                </w:p>
              </w:tc>
              <w:tc>
                <w:tcPr>
                  <w:tcW w:w="0" w:type="auto"/>
                  <w:shd w:val="clear" w:color="auto" w:fill="auto"/>
                  <w:vAlign w:val="center"/>
                </w:tcPr>
                <w:p w14:paraId="5D978FB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在建设项目环境影响评价文件中明确工业固体废物的种类、名称、产生量、利用和处置方式等内容。提高排污许可证和执行报告以及排放源统计年报中一般工业固体废物信息填报的准确率。推进产废单位依法实施清洁生产审核。依法限期淘汰产生严重污染环境的工业固体废物的落后生产工艺和设备。产废单位应当按照工业固体废物的污染特性进行分类管理，采取必要措施防止工业固体废物污染。</w:t>
                  </w:r>
                </w:p>
              </w:tc>
              <w:tc>
                <w:tcPr>
                  <w:tcW w:w="5169" w:type="dxa"/>
                  <w:shd w:val="clear" w:color="auto" w:fill="auto"/>
                  <w:vAlign w:val="center"/>
                </w:tcPr>
                <w:p w14:paraId="00EEFD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项目已明确</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固体废物的种类、名称、产生量、利用和处置方式等</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相关</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内容</w:t>
                  </w:r>
                </w:p>
              </w:tc>
              <w:tc>
                <w:tcPr>
                  <w:tcW w:w="415" w:type="dxa"/>
                  <w:shd w:val="clear" w:color="auto" w:fill="auto"/>
                  <w:vAlign w:val="center"/>
                </w:tcPr>
                <w:p w14:paraId="57BEEA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D0F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4BB258E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1140D01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3D925FF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(三)规范转移管理。</w:t>
                  </w:r>
                </w:p>
              </w:tc>
              <w:tc>
                <w:tcPr>
                  <w:tcW w:w="0" w:type="auto"/>
                  <w:shd w:val="clear" w:color="auto" w:fill="auto"/>
                  <w:vAlign w:val="center"/>
                </w:tcPr>
                <w:p w14:paraId="381145B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产废单位委托他人运输、利用、处置一般工业固体废物的，应当对受托方的主体资格和技术能力进行核实。涉及转委托的，应按照民法典相关规定履行有关义务。跨省转移贮存、处置一般工业固体废物的，应依法履行申请批准程序。</w:t>
                  </w:r>
                </w:p>
              </w:tc>
              <w:tc>
                <w:tcPr>
                  <w:tcW w:w="5169" w:type="dxa"/>
                  <w:shd w:val="clear" w:color="auto" w:fill="auto"/>
                  <w:vAlign w:val="center"/>
                </w:tcPr>
                <w:p w14:paraId="200769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公司在后续生产运行过程中，应按照要求进行管理</w:t>
                  </w:r>
                </w:p>
              </w:tc>
              <w:tc>
                <w:tcPr>
                  <w:tcW w:w="415" w:type="dxa"/>
                  <w:shd w:val="clear" w:color="auto" w:fill="auto"/>
                  <w:vAlign w:val="center"/>
                </w:tcPr>
                <w:p w14:paraId="05F613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55A6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6207DD3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0198FE3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3891601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(四)加强利用处置管理。</w:t>
                  </w:r>
                </w:p>
              </w:tc>
              <w:tc>
                <w:tcPr>
                  <w:tcW w:w="0" w:type="auto"/>
                  <w:shd w:val="clear" w:color="auto" w:fill="auto"/>
                  <w:vAlign w:val="center"/>
                </w:tcPr>
                <w:p w14:paraId="2A9A47B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产废单位依法依规对一般工业固体废物加以利用，减少贮存量和填埋量。产废单位利用、处置一般工业固体废物的，应当遵守生态环境法律法规，符合有关环境保护标准规范要求。鼓励产废单位按照“科学论证、制定规范、主动公开、全程监督”等程序，积极开展一般工业固体废物规模化消纳利用。</w:t>
                  </w:r>
                </w:p>
              </w:tc>
              <w:tc>
                <w:tcPr>
                  <w:tcW w:w="5169" w:type="dxa"/>
                  <w:shd w:val="clear" w:color="auto" w:fill="auto"/>
                  <w:vAlign w:val="center"/>
                </w:tcPr>
                <w:p w14:paraId="65500D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项目除尘灰、沉泥及不合格品全部回用，减少固废的</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贮存量和填埋量</w:t>
                  </w:r>
                </w:p>
              </w:tc>
              <w:tc>
                <w:tcPr>
                  <w:tcW w:w="415" w:type="dxa"/>
                  <w:shd w:val="clear" w:color="auto" w:fill="auto"/>
                  <w:vAlign w:val="center"/>
                </w:tcPr>
                <w:p w14:paraId="38C570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6BD1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tcPr>
                <w:p w14:paraId="5C1D45C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12</w:t>
                  </w:r>
                </w:p>
              </w:tc>
              <w:tc>
                <w:tcPr>
                  <w:tcW w:w="0" w:type="auto"/>
                  <w:vMerge w:val="restart"/>
                  <w:shd w:val="clear" w:color="auto" w:fill="auto"/>
                </w:tcPr>
                <w:p w14:paraId="419ECC8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r>
                    <w:rPr>
                      <w:rFonts w:hint="default" w:ascii="Times New Roman" w:hAnsi="Times New Roman" w:cs="Times New Roman"/>
                      <w:color w:val="000000" w:themeColor="text1"/>
                      <w:sz w:val="18"/>
                      <w:szCs w:val="18"/>
                      <w:highlight w:val="none"/>
                      <w:lang w:eastAsia="zh-CN"/>
                      <w14:textFill>
                        <w14:solidFill>
                          <w14:schemeClr w14:val="tx1"/>
                        </w14:solidFill>
                      </w14:textFill>
                    </w:rPr>
                    <w:t>《污泥无害化处理和资源化利用实施方案》（发改环资〔2022〕1453号）</w:t>
                  </w:r>
                </w:p>
              </w:tc>
              <w:tc>
                <w:tcPr>
                  <w:tcW w:w="0" w:type="auto"/>
                  <w:shd w:val="clear" w:color="auto" w:fill="auto"/>
                  <w:vAlign w:val="center"/>
                </w:tcPr>
                <w:p w14:paraId="33C670E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规范污泥处理方式</w:t>
                  </w:r>
                </w:p>
              </w:tc>
              <w:tc>
                <w:tcPr>
                  <w:tcW w:w="0" w:type="auto"/>
                  <w:shd w:val="clear" w:color="auto" w:fill="auto"/>
                  <w:vAlign w:val="center"/>
                </w:tcPr>
                <w:p w14:paraId="40066F7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根据本地污泥来源、产量和泥质，综合考虑各地自然地理条件、用地条件、环境承载能力和经济发展水平等实际情况，因地制宜合理选择污泥处理路径和技术路线。鼓励采用厌氧消化、好氧发酵、干化焚烧、土地利用、建材利用等多元化组合方式处理污泥。除焚烧处理方式外，严禁将不符合泥质控制指标要求的工业污泥与城镇污水处理厂污泥混合处理</w:t>
                  </w:r>
                </w:p>
              </w:tc>
              <w:tc>
                <w:tcPr>
                  <w:tcW w:w="5169" w:type="dxa"/>
                  <w:shd w:val="clear" w:color="auto" w:fill="auto"/>
                  <w:vAlign w:val="center"/>
                </w:tcPr>
                <w:p w14:paraId="472E7F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本项目利用城镇生活污水处理厂污泥，采用</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好氧发酵方式处理</w:t>
                  </w:r>
                </w:p>
              </w:tc>
              <w:tc>
                <w:tcPr>
                  <w:tcW w:w="415" w:type="dxa"/>
                  <w:shd w:val="clear" w:color="auto" w:fill="auto"/>
                  <w:vAlign w:val="center"/>
                </w:tcPr>
                <w:p w14:paraId="1F2827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0"/>
                      <w:sz w:val="18"/>
                      <w:szCs w:val="18"/>
                      <w:highlight w:val="none"/>
                      <w:lang w:val="en-US" w:eastAsia="zh-CN"/>
                      <w14:textFill>
                        <w14:solidFill>
                          <w14:schemeClr w14:val="tx1"/>
                        </w14:solidFill>
                      </w14:textFill>
                    </w:rPr>
                    <w:t>符合</w:t>
                  </w:r>
                </w:p>
              </w:tc>
            </w:tr>
            <w:tr w14:paraId="1E92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548340F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710FD32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7A37C00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积极推广污泥土地利用</w:t>
                  </w:r>
                </w:p>
              </w:tc>
              <w:tc>
                <w:tcPr>
                  <w:tcW w:w="0" w:type="auto"/>
                  <w:shd w:val="clear" w:color="auto" w:fill="auto"/>
                  <w:vAlign w:val="center"/>
                </w:tcPr>
                <w:p w14:paraId="1608157B">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鼓励将城镇生活污水处理厂产生的污泥经厌氧消化或好氧发酵处理后，作为肥料或土壤改良剂，用于国土绿化、园林建设、废弃矿场以及非农用的盐碱地和沙化地。污泥作为肥料或土壤改良剂时，应严格执行相关国家、行业和地方标准。用于林地、草地、国土绿化时，应根据不同地域的土质和植物习性等，确定合理的施用范围、施用量、施用方法和施用时间。对于含有毒有害水污染物的工业废水和生活污水混合处理的污水处理厂产生的污泥，不能采用土地利用方式</w:t>
                  </w:r>
                </w:p>
              </w:tc>
              <w:tc>
                <w:tcPr>
                  <w:tcW w:w="5169" w:type="dxa"/>
                  <w:shd w:val="clear" w:color="auto" w:fill="auto"/>
                  <w:vAlign w:val="center"/>
                </w:tcPr>
                <w:p w14:paraId="57F20F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本项目利用城镇生活污水处理厂污泥，采用</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好氧发酵方式处理，采用作为营养土，产品严格执行相关行业标准，不涉及工业废水处理产生的污泥</w:t>
                  </w:r>
                </w:p>
              </w:tc>
              <w:tc>
                <w:tcPr>
                  <w:tcW w:w="415" w:type="dxa"/>
                  <w:shd w:val="clear" w:color="auto" w:fill="auto"/>
                  <w:vAlign w:val="center"/>
                </w:tcPr>
                <w:p w14:paraId="0D816F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符合</w:t>
                  </w:r>
                </w:p>
              </w:tc>
            </w:tr>
            <w:tr w14:paraId="5683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Pr>
                <w:p w14:paraId="4C626384">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vMerge w:val="continue"/>
                  <w:shd w:val="clear" w:color="auto" w:fill="auto"/>
                </w:tcPr>
                <w:p w14:paraId="5E653FB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2C3B579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强化运输储存管理</w:t>
                  </w:r>
                </w:p>
              </w:tc>
              <w:tc>
                <w:tcPr>
                  <w:tcW w:w="0" w:type="auto"/>
                  <w:shd w:val="clear" w:color="auto" w:fill="auto"/>
                  <w:vAlign w:val="center"/>
                </w:tcPr>
                <w:p w14:paraId="0D42002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污泥运输应当采用管道、密闭车辆和密闭驳船等方式，运输过程中采用密封、防水、防渗漏和防遗撒等措施。推行污泥转运联单跟踪制度。需要设置污泥中转站和储存设施的，应充分考虑周边人群防护距离，采取恶臭污染防治措施，依法建设运行维护。严禁偷排、随意倾倒污泥，杜绝二次污染。</w:t>
                  </w:r>
                </w:p>
              </w:tc>
              <w:tc>
                <w:tcPr>
                  <w:tcW w:w="5169" w:type="dxa"/>
                  <w:shd w:val="clear" w:color="auto" w:fill="auto"/>
                  <w:vAlign w:val="center"/>
                </w:tcPr>
                <w:p w14:paraId="2FCD4D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项目污泥运输委托第三方专业运输团队，采用密闭车辆运输，</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运输过程中采用密封、防水、防渗漏和防遗撒等措施</w:t>
                  </w:r>
                </w:p>
              </w:tc>
              <w:tc>
                <w:tcPr>
                  <w:tcW w:w="415" w:type="dxa"/>
                  <w:shd w:val="clear" w:color="auto" w:fill="auto"/>
                  <w:vAlign w:val="center"/>
                </w:tcPr>
                <w:p w14:paraId="2823EE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符合</w:t>
                  </w:r>
                </w:p>
              </w:tc>
            </w:tr>
            <w:tr w14:paraId="7CA5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restart"/>
                </w:tcPr>
                <w:p w14:paraId="0761D04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13</w:t>
                  </w:r>
                </w:p>
              </w:tc>
              <w:tc>
                <w:tcPr>
                  <w:tcW w:w="1850" w:type="dxa"/>
                  <w:vMerge w:val="restart"/>
                  <w:shd w:val="clear" w:color="auto" w:fill="auto"/>
                </w:tcPr>
                <w:p w14:paraId="5CE3BED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r>
                    <w:rPr>
                      <w:rFonts w:hint="default" w:ascii="Times New Roman" w:hAnsi="Times New Roman" w:cs="Times New Roman"/>
                      <w:color w:val="000000" w:themeColor="text1"/>
                      <w:sz w:val="18"/>
                      <w:szCs w:val="18"/>
                      <w:highlight w:val="none"/>
                      <w:lang w:eastAsia="zh-CN"/>
                      <w14:textFill>
                        <w14:solidFill>
                          <w14:schemeClr w14:val="tx1"/>
                        </w14:solidFill>
                      </w14:textFill>
                    </w:rPr>
                    <w:t>《生物质成型燃料工程设计规范》（NY/T2881-2015）</w:t>
                  </w:r>
                </w:p>
              </w:tc>
              <w:tc>
                <w:tcPr>
                  <w:tcW w:w="0" w:type="auto"/>
                  <w:shd w:val="clear" w:color="auto" w:fill="auto"/>
                  <w:vAlign w:val="center"/>
                </w:tcPr>
                <w:p w14:paraId="0B2CDBC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选址与总体布置</w:t>
                  </w:r>
                </w:p>
              </w:tc>
              <w:tc>
                <w:tcPr>
                  <w:tcW w:w="0" w:type="auto"/>
                  <w:shd w:val="clear" w:color="auto" w:fill="auto"/>
                  <w:vAlign w:val="center"/>
                </w:tcPr>
                <w:p w14:paraId="5073E18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4.1选址</w:t>
                  </w:r>
                </w:p>
                <w:p w14:paraId="6A7847E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应符合国家政策、当地城乡建设规划要求，充分考虑原料的分布及收储运条件，满足生产条件。4.1.14.1.2应远离易燃易爆物品生产工厂与仓库、高压输电线路等。</w:t>
                  </w:r>
                </w:p>
                <w:p w14:paraId="6BBDC2A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4.1.3优先选取便于利用已有公路、水路、铁路等交通设施，供水、供电等公共设施比较完备的地区。应处于居民区的全年最大频率风向的下风向或侧风向，并远离居民区。</w:t>
                  </w:r>
                </w:p>
                <w:p w14:paraId="71D9256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4.1.5应有与生产规模相匹配的足够的可利用的面积和较适宜的地形，满足厂区总体合理布局，厂区以矩形为宜。</w:t>
                  </w:r>
                </w:p>
                <w:p w14:paraId="3239EA5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4.1.6应有利于环境保护和生态平衡，便于废弃物处理，做到清洁生产</w:t>
                  </w:r>
                </w:p>
                <w:p w14:paraId="568E1A73">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4.2总体布置</w:t>
                  </w:r>
                </w:p>
                <w:p w14:paraId="016F98B3">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4.2.1总平面布置应符合的要求</w:t>
                  </w:r>
                </w:p>
                <w:p w14:paraId="34E65E76">
                  <w:pPr>
                    <w:pStyle w:val="26"/>
                    <w:keepNext w:val="0"/>
                    <w:keepLines w:val="0"/>
                    <w:numPr>
                      <w:ilvl w:val="0"/>
                      <w:numId w:val="13"/>
                    </w:numPr>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设计任务书和城乡建设规划部门对已选定厂址的要求</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12AE7941">
                  <w:pPr>
                    <w:keepNext w:val="0"/>
                    <w:keepLines w:val="0"/>
                    <w:suppressLineNumbers w:val="0"/>
                    <w:spacing w:before="0" w:beforeAutospacing="0" w:after="0" w:afterAutospacing="0"/>
                    <w:ind w:left="0" w:right="0"/>
                    <w:rPr>
                      <w:rFonts w:hint="default" w:ascii="Times New Roman" w:hAnsi="Times New Roman" w:cs="Times New Roman"/>
                    </w:rPr>
                  </w:pPr>
                </w:p>
                <w:p w14:paraId="6D3F6A7F">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b)总平面布置应符合GB50187的规定</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0D91E566">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c)主、辅建筑布局合理，生产作业线紧凑规范，做到人流、物流分开</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2623EFEB">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lang w:val="en-US" w:eastAsia="zh-CN"/>
                      <w14:textFill>
                        <w14:solidFill>
                          <w14:schemeClr w14:val="tx1"/>
                        </w14:solidFill>
                      </w14:textFill>
                    </w:rPr>
                    <w:t>d)</w:t>
                  </w:r>
                  <w:r>
                    <w:rPr>
                      <w:rFonts w:hint="default" w:ascii="Times New Roman" w:hAnsi="Times New Roman" w:cs="Times New Roman"/>
                      <w:color w:val="000000" w:themeColor="text1"/>
                      <w:kern w:val="2"/>
                      <w:sz w:val="18"/>
                      <w:szCs w:val="18"/>
                      <w14:textFill>
                        <w14:solidFill>
                          <w14:schemeClr w14:val="tx1"/>
                        </w14:solidFill>
                      </w14:textFill>
                    </w:rPr>
                    <w:t>在满足生产要求前提下，应注意节约用地，减少土石方工程量</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0BD484F4">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e)对建筑布局、运输、道路、供电线路、上下水和工业管道、消防、绿化、环保等进行综合考虑，必须获得消防与环保等合格证书</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0225089F">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f)应立足近期工程，兼顾扩建项目，但平面规划应一次完成。</w:t>
                  </w:r>
                </w:p>
                <w:p w14:paraId="58349C05">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4.2.2建筑布局应符合的要求</w:t>
                  </w:r>
                </w:p>
                <w:p w14:paraId="60E63B31">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a)建筑物之间距离，应满足防火要求，生物质成型燃料工程的生产车间火灾危险性按照GB50016的规定应属丙类，厂房和库房耐火等级为二级</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469F9D73">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b)建筑物的朝向应有良好的自然通风</w:t>
                  </w:r>
                  <w:r>
                    <w:rPr>
                      <w:rFonts w:hint="eastAsia" w:ascii="Times New Roman" w:hAnsi="Times New Roman" w:cs="Times New Roman"/>
                      <w:color w:val="000000" w:themeColor="text1"/>
                      <w:kern w:val="2"/>
                      <w:sz w:val="18"/>
                      <w:szCs w:val="18"/>
                      <w:lang w:eastAsia="zh-CN"/>
                      <w14:textFill>
                        <w14:solidFill>
                          <w14:schemeClr w14:val="tx1"/>
                        </w14:solidFill>
                      </w14:textFill>
                    </w:rPr>
                    <w:t>；</w:t>
                  </w:r>
                  <w:r>
                    <w:rPr>
                      <w:rFonts w:hint="default" w:ascii="Times New Roman" w:hAnsi="Times New Roman" w:cs="Times New Roman"/>
                      <w:color w:val="000000" w:themeColor="text1"/>
                      <w:kern w:val="2"/>
                      <w:sz w:val="18"/>
                      <w:szCs w:val="18"/>
                      <w14:textFill>
                        <w14:solidFill>
                          <w14:schemeClr w14:val="tx1"/>
                        </w14:solidFill>
                      </w14:textFill>
                    </w:rPr>
                    <w:t>建筑布局应考虑生产车间噪声和粉尘对整体环境的影响</w:t>
                  </w:r>
                  <w:r>
                    <w:rPr>
                      <w:rFonts w:hint="eastAsia" w:ascii="Times New Roman" w:hAnsi="Times New Roman" w:cs="Times New Roman"/>
                      <w:color w:val="000000" w:themeColor="text1"/>
                      <w:kern w:val="2"/>
                      <w:sz w:val="18"/>
                      <w:szCs w:val="18"/>
                      <w:lang w:eastAsia="zh-CN"/>
                      <w14:textFill>
                        <w14:solidFill>
                          <w14:schemeClr w14:val="tx1"/>
                        </w14:solidFill>
                      </w14:textFill>
                    </w:rPr>
                    <w:t>；</w:t>
                  </w:r>
                  <w:r>
                    <w:rPr>
                      <w:rFonts w:hint="default" w:ascii="Times New Roman" w:hAnsi="Times New Roman" w:cs="Times New Roman"/>
                      <w:color w:val="000000" w:themeColor="text1"/>
                      <w:kern w:val="2"/>
                      <w:sz w:val="18"/>
                      <w:szCs w:val="18"/>
                      <w14:textFill>
                        <w14:solidFill>
                          <w14:schemeClr w14:val="tx1"/>
                        </w14:solidFill>
                      </w14:textFill>
                    </w:rPr>
                    <w:t>c)</w:t>
                  </w:r>
                </w:p>
                <w:p w14:paraId="27091880">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d）对厂区生产设备、生产设施等应有明显的警示标志，特别是禁止烟火标志。</w:t>
                  </w:r>
                </w:p>
                <w:p w14:paraId="403F4575">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4.2.3厂区分区与厂区道路应</w:t>
                  </w:r>
                  <w:r>
                    <w:rPr>
                      <w:rFonts w:hint="eastAsia" w:ascii="Times New Roman" w:hAnsi="Times New Roman" w:cs="Times New Roman"/>
                      <w:color w:val="000000" w:themeColor="text1"/>
                      <w:kern w:val="2"/>
                      <w:sz w:val="18"/>
                      <w:szCs w:val="18"/>
                      <w:lang w:eastAsia="zh-CN"/>
                      <w14:textFill>
                        <w14:solidFill>
                          <w14:schemeClr w14:val="tx1"/>
                        </w14:solidFill>
                      </w14:textFill>
                    </w:rPr>
                    <w:t>符合</w:t>
                  </w:r>
                  <w:r>
                    <w:rPr>
                      <w:rFonts w:hint="default" w:ascii="Times New Roman" w:hAnsi="Times New Roman" w:cs="Times New Roman"/>
                      <w:color w:val="000000" w:themeColor="text1"/>
                      <w:kern w:val="2"/>
                      <w:sz w:val="18"/>
                      <w:szCs w:val="18"/>
                      <w14:textFill>
                        <w14:solidFill>
                          <w14:schemeClr w14:val="tx1"/>
                        </w14:solidFill>
                      </w14:textFill>
                    </w:rPr>
                    <w:t>要求</w:t>
                  </w:r>
                </w:p>
                <w:p w14:paraId="7E8E9152">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a)生物质成型燃料厂分区应布局合理</w:t>
                  </w:r>
                  <w:r>
                    <w:rPr>
                      <w:rFonts w:hint="eastAsia" w:ascii="Times New Roman" w:hAnsi="Times New Roman" w:cs="Times New Roman"/>
                      <w:color w:val="000000" w:themeColor="text1"/>
                      <w:kern w:val="2"/>
                      <w:sz w:val="18"/>
                      <w:szCs w:val="18"/>
                      <w:lang w:eastAsia="zh-CN"/>
                      <w14:textFill>
                        <w14:solidFill>
                          <w14:schemeClr w14:val="tx1"/>
                        </w14:solidFill>
                      </w14:textFill>
                    </w:rPr>
                    <w:t>，</w:t>
                  </w:r>
                  <w:r>
                    <w:rPr>
                      <w:rFonts w:hint="default" w:ascii="Times New Roman" w:hAnsi="Times New Roman" w:cs="Times New Roman"/>
                      <w:color w:val="000000" w:themeColor="text1"/>
                      <w:kern w:val="2"/>
                      <w:sz w:val="18"/>
                      <w:szCs w:val="18"/>
                      <w14:textFill>
                        <w14:solidFill>
                          <w14:schemeClr w14:val="tx1"/>
                        </w14:solidFill>
                      </w14:textFill>
                    </w:rPr>
                    <w:t>按照生产流程及功能，划分为行政服务区、原料区、生产区和成品区，各区域之间既有紧密联系又须适当分隔</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25FFA99F">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b)厂区</w:t>
                  </w:r>
                  <w:r>
                    <w:rPr>
                      <w:rFonts w:hint="eastAsia" w:ascii="Times New Roman" w:hAnsi="Times New Roman" w:cs="Times New Roman"/>
                      <w:color w:val="000000" w:themeColor="text1"/>
                      <w:kern w:val="2"/>
                      <w:sz w:val="18"/>
                      <w:szCs w:val="18"/>
                      <w:lang w:eastAsia="zh-CN"/>
                      <w14:textFill>
                        <w14:solidFill>
                          <w14:schemeClr w14:val="tx1"/>
                        </w14:solidFill>
                      </w14:textFill>
                    </w:rPr>
                    <w:t>出入口</w:t>
                  </w:r>
                  <w:r>
                    <w:rPr>
                      <w:rFonts w:hint="default" w:ascii="Times New Roman" w:hAnsi="Times New Roman" w:cs="Times New Roman"/>
                      <w:color w:val="000000" w:themeColor="text1"/>
                      <w:kern w:val="2"/>
                      <w:sz w:val="18"/>
                      <w:szCs w:val="18"/>
                      <w14:textFill>
                        <w14:solidFill>
                          <w14:schemeClr w14:val="tx1"/>
                        </w14:solidFill>
                      </w14:textFill>
                    </w:rPr>
                    <w:t>设置应根据城乡道路规划和人货分流原则合理确定，出入口不少于2个，应设消防通道和紧急出口，并有明确标志</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726D92C7">
                  <w:pPr>
                    <w:pStyle w:val="26"/>
                    <w:keepNext w:val="0"/>
                    <w:keepLines w:val="0"/>
                    <w:suppressLineNumbers w:val="0"/>
                    <w:adjustRightInd w:val="0"/>
                    <w:snapToGrid w:val="0"/>
                    <w:spacing w:before="0" w:beforeAutospacing="0" w:after="0" w:afterAutospacing="0" w:line="280" w:lineRule="exact"/>
                    <w:ind w:left="0" w:right="0"/>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c)厂区交通系统应根据人流、物流线路和全厂运输量计算和设计。厂区道路应畅通，便于车辆通行。原料、成品运输及主要人流的道路应采用双向车道</w:t>
                  </w:r>
                  <w:r>
                    <w:rPr>
                      <w:rFonts w:hint="eastAsia" w:ascii="Times New Roman" w:hAnsi="Times New Roman" w:cs="Times New Roman"/>
                      <w:color w:val="000000" w:themeColor="text1"/>
                      <w:kern w:val="2"/>
                      <w:sz w:val="18"/>
                      <w:szCs w:val="18"/>
                      <w:lang w:eastAsia="zh-CN"/>
                      <w14:textFill>
                        <w14:solidFill>
                          <w14:schemeClr w14:val="tx1"/>
                        </w14:solidFill>
                      </w14:textFill>
                    </w:rPr>
                    <w:t>；</w:t>
                  </w:r>
                </w:p>
                <w:p w14:paraId="1A86244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14:textFill>
                        <w14:solidFill>
                          <w14:schemeClr w14:val="tx1"/>
                        </w14:solidFill>
                      </w14:textFill>
                    </w:rPr>
                    <w:t>d）厂区道路应为硬化路面，不宜采用沥青材料，并应有良好的排水系统。</w:t>
                  </w:r>
                </w:p>
              </w:tc>
              <w:tc>
                <w:tcPr>
                  <w:tcW w:w="5169" w:type="dxa"/>
                  <w:shd w:val="clear" w:color="auto" w:fill="auto"/>
                  <w:vAlign w:val="center"/>
                </w:tcPr>
                <w:p w14:paraId="6EF904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项目选址位于河北迁安经济开发区，符合园区产业发展方向，周边不涉及</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易燃易爆物品生产工厂、高压输电线路；项目所在园区具备完善的供水、供电设施；项目周边500m范围内无居民区；厂区总体合理布局，厂区为矩形；项目产生的固体废物得到合理处置；项目按照相关的消防、安全要求建设，设置相应的提示标志</w:t>
                  </w:r>
                </w:p>
              </w:tc>
              <w:tc>
                <w:tcPr>
                  <w:tcW w:w="415" w:type="dxa"/>
                  <w:shd w:val="clear" w:color="auto" w:fill="auto"/>
                  <w:vAlign w:val="center"/>
                </w:tcPr>
                <w:p w14:paraId="5968A1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符合</w:t>
                  </w:r>
                </w:p>
              </w:tc>
            </w:tr>
            <w:tr w14:paraId="47D3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00BBE8B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shd w:val="clear" w:color="auto" w:fill="auto"/>
                </w:tcPr>
                <w:p w14:paraId="4B0859B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shd w:val="clear" w:color="auto" w:fill="auto"/>
                  <w:vAlign w:val="center"/>
                </w:tcPr>
                <w:p w14:paraId="5359803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环境保护</w:t>
                  </w:r>
                </w:p>
              </w:tc>
              <w:tc>
                <w:tcPr>
                  <w:tcW w:w="0" w:type="auto"/>
                  <w:shd w:val="clear" w:color="auto" w:fill="auto"/>
                  <w:vAlign w:val="center"/>
                </w:tcPr>
                <w:p w14:paraId="5D69857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11.1.1厂区规划应符合环境保护要求。厂区布置应加强绿化的规划设计。</w:t>
                  </w:r>
                </w:p>
                <w:p w14:paraId="7A9C119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11.1.2应执行环境影响报告书</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表</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的编制规定，执行防治污染设施与主体工程同时设计、同时施工、同时投产的</w:t>
                  </w:r>
                  <w:r>
                    <w:rPr>
                      <w:rFonts w:hint="eastAsia"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三同时</w:t>
                  </w:r>
                  <w:r>
                    <w:rPr>
                      <w:rFonts w:hint="eastAsia"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制度。</w:t>
                  </w:r>
                </w:p>
                <w:p w14:paraId="72F2B56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11.1.3生产线上的设备和装置应采取措施减少粉尘的散发量，并采用有效的捕集与分离粉尘的装置。</w:t>
                  </w:r>
                </w:p>
                <w:p w14:paraId="68509BD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11.1.4排放的粉尘浓度应符合GB16297的排放标准。</w:t>
                  </w:r>
                </w:p>
                <w:p w14:paraId="51E454C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11.1.5对振动较大的设备，如粉碎机等应采取有效的隔声、吸声、消声、隔振等措施。炉渣、砂石、生活垃圾等废弃物应综合利用或妥善处理，应防止二次污染</w:t>
                  </w:r>
                </w:p>
              </w:tc>
              <w:tc>
                <w:tcPr>
                  <w:tcW w:w="5169" w:type="dxa"/>
                  <w:shd w:val="clear" w:color="auto" w:fill="auto"/>
                  <w:vAlign w:val="center"/>
                </w:tcPr>
                <w:p w14:paraId="10D835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厂区内采取相应的硬化、绿化设施，各产尘点设置集气罩，收集废气并引入除尘器处理，废气排放满足相应标准要求；项目产噪设备均位于生产车间内，产生的各项固体废物得到合理处置</w:t>
                  </w:r>
                </w:p>
              </w:tc>
              <w:tc>
                <w:tcPr>
                  <w:tcW w:w="415" w:type="dxa"/>
                  <w:shd w:val="clear" w:color="auto" w:fill="auto"/>
                  <w:vAlign w:val="center"/>
                </w:tcPr>
                <w:p w14:paraId="069C96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符合</w:t>
                  </w:r>
                </w:p>
              </w:tc>
            </w:tr>
            <w:tr w14:paraId="5ABC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restart"/>
                </w:tcPr>
                <w:p w14:paraId="046DA0B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14</w:t>
                  </w:r>
                </w:p>
              </w:tc>
              <w:tc>
                <w:tcPr>
                  <w:tcW w:w="1850" w:type="dxa"/>
                  <w:vMerge w:val="restart"/>
                  <w:shd w:val="clear" w:color="auto" w:fill="auto"/>
                </w:tcPr>
                <w:p w14:paraId="4F6257F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r>
                    <w:rPr>
                      <w:rFonts w:hint="default" w:ascii="Times New Roman" w:hAnsi="Times New Roman" w:cs="Times New Roman"/>
                      <w:color w:val="000000" w:themeColor="text1"/>
                      <w:sz w:val="18"/>
                      <w:szCs w:val="18"/>
                      <w:highlight w:val="none"/>
                      <w:lang w:eastAsia="zh-CN"/>
                      <w14:textFill>
                        <w14:solidFill>
                          <w14:schemeClr w14:val="tx1"/>
                        </w14:solidFill>
                      </w14:textFill>
                    </w:rPr>
                    <w:t>《农林生物质原料收储运通用技术规范》</w:t>
                  </w:r>
                </w:p>
                <w:p w14:paraId="035833F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r>
                    <w:rPr>
                      <w:rFonts w:hint="eastAsia" w:cs="Times New Roman"/>
                      <w:color w:val="000000" w:themeColor="text1"/>
                      <w:sz w:val="18"/>
                      <w:szCs w:val="18"/>
                      <w:highlight w:val="none"/>
                      <w:lang w:eastAsia="zh-CN"/>
                      <w14:textFill>
                        <w14:solidFill>
                          <w14:schemeClr w14:val="tx1"/>
                        </w14:solidFill>
                      </w14:textFill>
                    </w:rPr>
                    <w:t>(</w:t>
                  </w:r>
                  <w:r>
                    <w:rPr>
                      <w:rFonts w:hint="default" w:ascii="Times New Roman" w:hAnsi="Times New Roman" w:cs="Times New Roman"/>
                      <w:color w:val="000000" w:themeColor="text1"/>
                      <w:sz w:val="18"/>
                      <w:szCs w:val="18"/>
                      <w:highlight w:val="none"/>
                      <w:lang w:eastAsia="zh-CN"/>
                      <w14:textFill>
                        <w14:solidFill>
                          <w14:schemeClr w14:val="tx1"/>
                        </w14:solidFill>
                      </w14:textFill>
                    </w:rPr>
                    <w:t>GB/T40511-2021</w:t>
                  </w:r>
                  <w:r>
                    <w:rPr>
                      <w:rFonts w:hint="eastAsia" w:cs="Times New Roman"/>
                      <w:color w:val="000000" w:themeColor="text1"/>
                      <w:sz w:val="18"/>
                      <w:szCs w:val="18"/>
                      <w:highlight w:val="none"/>
                      <w:lang w:eastAsia="zh-CN"/>
                      <w14:textFill>
                        <w14:solidFill>
                          <w14:schemeClr w14:val="tx1"/>
                        </w14:solidFill>
                      </w14:textFill>
                    </w:rPr>
                    <w:t>)</w:t>
                  </w:r>
                </w:p>
              </w:tc>
              <w:tc>
                <w:tcPr>
                  <w:tcW w:w="5103" w:type="dxa"/>
                  <w:gridSpan w:val="2"/>
                  <w:shd w:val="clear" w:color="auto" w:fill="auto"/>
                  <w:vAlign w:val="center"/>
                </w:tcPr>
                <w:p w14:paraId="2DF2397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4总则</w:t>
                  </w:r>
                </w:p>
                <w:p w14:paraId="6AABF53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4.1从事原料收集、储存、运输等经营活动的单位，应建立相应的操作流程、人员培训、安全管理和污染防治措施等规章制度。涉及安全卫生的，应按照GB/T12801、GBZ1的要求执行。</w:t>
                  </w:r>
                </w:p>
                <w:p w14:paraId="1284BEF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4.2从事原料收集、储存、运输等经营活动的单位，应编制应急预案，包括但不限于消防安全应急预案、生产安全事故应急预案、极端天气应急预案。</w:t>
                  </w:r>
                </w:p>
                <w:p w14:paraId="0CE97F94">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4.3原料收集、储存和运输过程中，应按照农业剩余物和林业剩余物的种类及储存时间等，对其设置相应的标识。</w:t>
                  </w:r>
                </w:p>
                <w:p w14:paraId="2A3EFFC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4.4原料收集、储存和运输过程中，应对原料种类、来源地、品质、重量、运输车辆信息、运输单位、进厂时间等基本情况进行记录并存档。</w:t>
                  </w:r>
                </w:p>
                <w:p w14:paraId="634C0DC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4.5原料收集、储存和运输过程中，应有必备的检验计量设备、方法、场所、人员，严格执行国家的计量标准</w:t>
                  </w:r>
                </w:p>
                <w:p w14:paraId="6CF93E8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4.6由专业人员定期对农林生物质收储运仪器和设备进行检修与维护保养，发现异常情况及时处理</w:t>
                  </w:r>
                  <w:r>
                    <w:rPr>
                      <w:rFonts w:hint="eastAsia"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定期检查和更换安全、急救等防护设施和设备</w:t>
                  </w:r>
                </w:p>
              </w:tc>
              <w:tc>
                <w:tcPr>
                  <w:tcW w:w="5169" w:type="dxa"/>
                  <w:shd w:val="clear" w:color="auto" w:fill="auto"/>
                  <w:vAlign w:val="center"/>
                </w:tcPr>
                <w:p w14:paraId="1CC97F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本项目不涉及</w:t>
                  </w:r>
                  <w:r>
                    <w:rPr>
                      <w:rFonts w:hint="default" w:ascii="Times New Roman" w:hAnsi="Times New Roman" w:cs="Times New Roman"/>
                      <w:color w:val="000000" w:themeColor="text1"/>
                      <w:sz w:val="18"/>
                      <w:szCs w:val="18"/>
                      <w:highlight w:val="none"/>
                      <w:lang w:eastAsia="zh-CN"/>
                      <w14:textFill>
                        <w14:solidFill>
                          <w14:schemeClr w14:val="tx1"/>
                        </w14:solidFill>
                      </w14:textFill>
                    </w:rPr>
                    <w:t>农林生物质原料</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收集，仅涉及厂区内暂时储存。项目建成后，</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建立相应的操作流程、人员培训、安全管理和污染防治措施等规章制度；按要求编制突发环境事件应急预案</w:t>
                  </w:r>
                  <w:r>
                    <w:rPr>
                      <w:rFonts w:hint="eastAsia" w:cs="Times New Roman"/>
                      <w:color w:val="000000" w:themeColor="text1"/>
                      <w:kern w:val="2"/>
                      <w:sz w:val="18"/>
                      <w:szCs w:val="18"/>
                      <w:highlight w:val="none"/>
                      <w:lang w:val="en-US" w:eastAsia="zh-CN" w:bidi="ar-SA"/>
                      <w14:textFill>
                        <w14:solidFill>
                          <w14:schemeClr w14:val="tx1"/>
                        </w14:solidFill>
                      </w14:textFill>
                    </w:rPr>
                    <w:t>；在</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原料库内设置相应的标识；对原料种类、来源地、品质、重量、运输车辆信息、运输单位、进厂时间等基本情况进行记录并存档；配备必备的检验计量设备、方法、场所、人员，严格执行国家的计量标准；配备专业人员对相应的仪器进行检修与保养。</w:t>
                  </w:r>
                </w:p>
              </w:tc>
              <w:tc>
                <w:tcPr>
                  <w:tcW w:w="415" w:type="dxa"/>
                  <w:shd w:val="clear" w:color="auto" w:fill="auto"/>
                  <w:vAlign w:val="center"/>
                </w:tcPr>
                <w:p w14:paraId="0FF91B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符合</w:t>
                  </w:r>
                </w:p>
              </w:tc>
            </w:tr>
            <w:tr w14:paraId="5961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1E085507">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shd w:val="clear" w:color="auto" w:fill="auto"/>
                </w:tcPr>
                <w:p w14:paraId="25E14CD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5103" w:type="dxa"/>
                  <w:gridSpan w:val="2"/>
                  <w:shd w:val="clear" w:color="auto" w:fill="auto"/>
                  <w:vAlign w:val="center"/>
                </w:tcPr>
                <w:p w14:paraId="5D6DE5C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6原料储存技术要求</w:t>
                  </w:r>
                </w:p>
                <w:p w14:paraId="7228558C">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6.1储存场所要求</w:t>
                  </w:r>
                </w:p>
                <w:p w14:paraId="50C4985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6.1.1从事原料经营的单位或个体，应新建或改建专用的原料储存场所</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如库房、干料棚等</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w:t>
                  </w:r>
                </w:p>
                <w:p w14:paraId="3290EE73">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6.1.2储存场所应远离生产区和生活区，不同储存量的储存场所与生产区和生活区的距离，应符合</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GH/T1270</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中的要求。</w:t>
                  </w:r>
                </w:p>
                <w:p w14:paraId="6111D21F">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6.1.3储存场所的形式及容量应根据原料种类、数量、物理形态、周转次数和运输要求等因素确定。</w:t>
                  </w:r>
                </w:p>
                <w:p w14:paraId="6FBFCA8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6.1.4储存场所应按GB15562.2的规定设置标识。</w:t>
                  </w:r>
                </w:p>
                <w:p w14:paraId="0F122B1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6.1.5不符合使用要求和安全要求的原料不应</w:t>
                  </w: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进入</w:t>
                  </w: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储存场所。</w:t>
                  </w:r>
                </w:p>
                <w:p w14:paraId="426AA971">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6.1.6储存场所应配置干料棚、硬化地面、破碎或打包设备、监控和通信设备、照明设施、防雨设施、防雷电设施和消防设施。消防设施和消防车道的设计应符合GB50016的相关规定。6.1.7应定期检查和维护储存场所，发现火灾隐患、漏雨和积水应立即处理</w:t>
                  </w:r>
                </w:p>
              </w:tc>
              <w:tc>
                <w:tcPr>
                  <w:tcW w:w="5169" w:type="dxa"/>
                  <w:shd w:val="clear" w:color="auto" w:fill="auto"/>
                  <w:vAlign w:val="center"/>
                </w:tcPr>
                <w:p w14:paraId="1A092C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项目设置干原料库房用于储存相应原料，原料库内采用硬化地面，设置相应的标识，设置必要的消防、安全设施</w:t>
                  </w:r>
                </w:p>
              </w:tc>
              <w:tc>
                <w:tcPr>
                  <w:tcW w:w="415" w:type="dxa"/>
                  <w:shd w:val="clear" w:color="auto" w:fill="auto"/>
                  <w:vAlign w:val="center"/>
                </w:tcPr>
                <w:p w14:paraId="4474CD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t>符合</w:t>
                  </w:r>
                </w:p>
              </w:tc>
            </w:tr>
            <w:tr w14:paraId="77D9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restart"/>
                </w:tcPr>
                <w:p w14:paraId="02733EFD">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15</w:t>
                  </w:r>
                </w:p>
              </w:tc>
              <w:tc>
                <w:tcPr>
                  <w:tcW w:w="1850" w:type="dxa"/>
                  <w:vMerge w:val="restart"/>
                  <w:shd w:val="clear" w:color="auto" w:fill="auto"/>
                </w:tcPr>
                <w:p w14:paraId="62EA421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《煤场、料场、渣场扬尘污染控制技术规范》</w:t>
                  </w:r>
                  <w:r>
                    <w:rPr>
                      <w:rFonts w:hint="eastAsia" w:cs="Times New Roman"/>
                      <w:color w:val="000000" w:themeColor="text1"/>
                      <w:sz w:val="18"/>
                      <w:szCs w:val="18"/>
                      <w:highlight w:val="none"/>
                      <w:lang w:val="en-US" w:eastAsia="zh-CN"/>
                      <w14:textFill>
                        <w14:solidFill>
                          <w14:schemeClr w14:val="tx1"/>
                        </w14:solidFill>
                      </w14:textFill>
                    </w:rPr>
                    <w:t>（</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DB13/T2352－2016)</w:t>
                  </w:r>
                </w:p>
              </w:tc>
              <w:tc>
                <w:tcPr>
                  <w:tcW w:w="5103" w:type="dxa"/>
                  <w:gridSpan w:val="2"/>
                  <w:shd w:val="clear" w:color="auto" w:fill="auto"/>
                  <w:vAlign w:val="center"/>
                </w:tcPr>
                <w:p w14:paraId="19CF8531">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粉状物料</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如铁精粉、生石灰粉等干料</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运输车辆应采用密闭车斗或罐车</w:t>
                  </w:r>
                </w:p>
              </w:tc>
              <w:tc>
                <w:tcPr>
                  <w:tcW w:w="5169" w:type="dxa"/>
                  <w:shd w:val="clear" w:color="auto" w:fill="auto"/>
                  <w:vAlign w:val="center"/>
                </w:tcPr>
                <w:p w14:paraId="02FBAA3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eastAsia="zh-TW"/>
                    </w:rPr>
                    <w:t>项目</w:t>
                  </w:r>
                  <w:r>
                    <w:rPr>
                      <w:rFonts w:hint="default" w:ascii="Times New Roman" w:hAnsi="Times New Roman" w:cs="Times New Roman"/>
                      <w:sz w:val="18"/>
                      <w:szCs w:val="18"/>
                      <w:highlight w:val="none"/>
                      <w:lang w:val="en-US" w:eastAsia="zh-CN"/>
                    </w:rPr>
                    <w:t>粉状物料</w:t>
                  </w:r>
                  <w:r>
                    <w:rPr>
                      <w:rFonts w:hint="default" w:ascii="Times New Roman" w:hAnsi="Times New Roman" w:cs="Times New Roman"/>
                      <w:sz w:val="18"/>
                      <w:szCs w:val="18"/>
                      <w:highlight w:val="none"/>
                      <w:lang w:val="zh-TW"/>
                    </w:rPr>
                    <w:t>运输车辆均采用密闭</w:t>
                  </w:r>
                  <w:r>
                    <w:rPr>
                      <w:rFonts w:hint="default" w:ascii="Times New Roman" w:hAnsi="Times New Roman" w:cs="Times New Roman"/>
                      <w:sz w:val="18"/>
                      <w:szCs w:val="18"/>
                      <w:highlight w:val="none"/>
                      <w:lang w:val="en-US" w:eastAsia="zh-CN"/>
                    </w:rPr>
                    <w:t>车斗</w:t>
                  </w:r>
                </w:p>
              </w:tc>
              <w:tc>
                <w:tcPr>
                  <w:tcW w:w="415" w:type="dxa"/>
                  <w:shd w:val="clear" w:color="auto" w:fill="auto"/>
                  <w:vAlign w:val="center"/>
                </w:tcPr>
                <w:p w14:paraId="0425CD3A">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50A4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7C20A7B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1C4DB96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47D3C530">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块状物料</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如烧结矿、球团矿、焦炭等物料</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运输车辆装载高度最高点不得超过车辆槽帮上沿40cm，两侧边缘应当低于槽帮上缘10cm。车斗应用苫布覆盖，苫布边缘至少要遮住槽帮上沿以下15cm。物料转运时转运设施应采取密闭措施，转运站和落料点配套抽风收尘装置。</w:t>
                  </w:r>
                </w:p>
              </w:tc>
              <w:tc>
                <w:tcPr>
                  <w:tcW w:w="0" w:type="auto"/>
                  <w:shd w:val="clear" w:color="auto" w:fill="auto"/>
                  <w:vAlign w:val="center"/>
                </w:tcPr>
                <w:p w14:paraId="469686D2">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rPr>
                    <w:t>项目</w:t>
                  </w:r>
                  <w:r>
                    <w:rPr>
                      <w:rFonts w:hint="default" w:ascii="Times New Roman" w:hAnsi="Times New Roman" w:cs="Times New Roman"/>
                      <w:sz w:val="18"/>
                      <w:szCs w:val="18"/>
                      <w:highlight w:val="none"/>
                      <w:lang w:val="zh-TW"/>
                    </w:rPr>
                    <w:t>块状物料装载高度最高点不得超过车辆槽帮上沿40cm，两侧边缘低于槽帮上缘10cm。车斗应用苫布覆盖，苫布边缘至少要遮住槽帮上沿以下15cm。物料转运时转运设施应采取密闭措施，</w:t>
                  </w:r>
                  <w:r>
                    <w:rPr>
                      <w:rFonts w:hint="default" w:ascii="Times New Roman" w:hAnsi="Times New Roman" w:cs="Times New Roman"/>
                      <w:sz w:val="18"/>
                      <w:szCs w:val="18"/>
                      <w:highlight w:val="none"/>
                      <w:lang w:val="en-US" w:eastAsia="zh-CN"/>
                    </w:rPr>
                    <w:t>破碎</w:t>
                  </w:r>
                  <w:r>
                    <w:rPr>
                      <w:rFonts w:hint="default" w:ascii="Times New Roman" w:hAnsi="Times New Roman" w:cs="Times New Roman"/>
                      <w:sz w:val="18"/>
                      <w:szCs w:val="18"/>
                      <w:highlight w:val="none"/>
                      <w:lang w:val="zh-TW"/>
                    </w:rPr>
                    <w:t>落料点</w:t>
                  </w:r>
                  <w:r>
                    <w:rPr>
                      <w:rFonts w:hint="default" w:ascii="Times New Roman" w:hAnsi="Times New Roman" w:cs="Times New Roman"/>
                      <w:sz w:val="18"/>
                      <w:szCs w:val="18"/>
                      <w:highlight w:val="none"/>
                      <w:lang w:val="en-US" w:eastAsia="zh-CN"/>
                    </w:rPr>
                    <w:t>设置吸风装置</w:t>
                  </w:r>
                  <w:r>
                    <w:rPr>
                      <w:rFonts w:hint="default" w:ascii="Times New Roman" w:hAnsi="Times New Roman" w:cs="Times New Roman"/>
                      <w:sz w:val="18"/>
                      <w:szCs w:val="18"/>
                      <w:highlight w:val="none"/>
                      <w:lang w:val="zh-TW"/>
                    </w:rPr>
                    <w:t>。</w:t>
                  </w:r>
                </w:p>
              </w:tc>
              <w:tc>
                <w:tcPr>
                  <w:tcW w:w="0" w:type="auto"/>
                  <w:shd w:val="clear" w:color="auto" w:fill="auto"/>
                  <w:vAlign w:val="center"/>
                </w:tcPr>
                <w:p w14:paraId="27C57457">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0D0C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0F245C6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5FE898E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51D3B8E1">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应设置洗车平台，完善排水设施，防止泥土粘带。运输车辆在煤场、料场出口内侧设置洗车平台，车辆驶离煤场、料场前，应在洗车平台清洗轮胎及车身，不得带泥上路。洗车平台四周应设置防溢座、废水导流渠、废水收集池、沉砂池及其它防治设施，收集洗车以及降水过程中产生的废水和泥浆。</w:t>
                  </w:r>
                </w:p>
              </w:tc>
              <w:tc>
                <w:tcPr>
                  <w:tcW w:w="0" w:type="auto"/>
                  <w:shd w:val="clear" w:color="auto" w:fill="auto"/>
                  <w:vAlign w:val="center"/>
                </w:tcPr>
                <w:p w14:paraId="1DC5364F">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项目在厂区门口设置红外控制全自动洗车台一座。安装运输车辆侧向全覆盖式强制喷淋清洗设施，清洗水压高于1.0MPa，清洗设施应保证车辆冲洗效果，实现车底、车身喷淋全覆盖，地面至少设置一排花式喷射喷头。喷淋设施应充分考虑冷冻期结冰问题，合理优化地面基础设计，洗车平台应低于地面</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呈斜坡状</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清洗装置配备拦车杆，确保车辆清洗时间，清洗完成后车辆应在洗车槽内短暂停留，具备控水功能，配备抖水台，避免因车身带水过多造成道路湿滑和冬季积水结冰等安全隐患；冲洗介质可使用温水、添加防冻物质等有效防冻措施；洗车废水通过水篦子流入导流系统然后自流入沉淀系统，清洗废水由排水管进入沉淀池</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eastAsia="zh-CN"/>
                    </w:rPr>
                    <w:t>4</w:t>
                  </w:r>
                  <w:r>
                    <w:rPr>
                      <w:rFonts w:hint="default" w:ascii="Times New Roman" w:hAnsi="Times New Roman" w:cs="Times New Roman"/>
                      <w:sz w:val="18"/>
                      <w:szCs w:val="18"/>
                      <w:highlight w:val="none"/>
                      <w:lang w:val="en-US" w:eastAsia="zh-CN"/>
                    </w:rPr>
                    <w:t>m</w:t>
                  </w:r>
                  <w:r>
                    <w:rPr>
                      <w:rFonts w:hint="default" w:ascii="Times New Roman" w:hAnsi="Times New Roman" w:cs="Times New Roman"/>
                      <w:sz w:val="18"/>
                      <w:szCs w:val="18"/>
                      <w:highlight w:val="none"/>
                      <w:lang w:val="zh-TW" w:eastAsia="zh-CN"/>
                    </w:rPr>
                    <w:t>×4</w:t>
                  </w:r>
                  <w:r>
                    <w:rPr>
                      <w:rFonts w:hint="default" w:ascii="Times New Roman" w:hAnsi="Times New Roman" w:cs="Times New Roman"/>
                      <w:sz w:val="18"/>
                      <w:szCs w:val="18"/>
                      <w:highlight w:val="none"/>
                      <w:lang w:val="en-US" w:eastAsia="zh-CN"/>
                    </w:rPr>
                    <w:t>m</w:t>
                  </w:r>
                  <w:r>
                    <w:rPr>
                      <w:rFonts w:hint="default" w:ascii="Times New Roman" w:hAnsi="Times New Roman" w:cs="Times New Roman"/>
                      <w:sz w:val="18"/>
                      <w:szCs w:val="18"/>
                      <w:highlight w:val="none"/>
                      <w:lang w:val="zh-TW" w:eastAsia="zh-CN"/>
                    </w:rPr>
                    <w:t>×1.2</w:t>
                  </w:r>
                  <w:r>
                    <w:rPr>
                      <w:rFonts w:hint="default" w:ascii="Times New Roman" w:hAnsi="Times New Roman" w:cs="Times New Roman"/>
                      <w:sz w:val="18"/>
                      <w:szCs w:val="18"/>
                      <w:highlight w:val="none"/>
                      <w:lang w:val="en-US" w:eastAsia="zh-CN"/>
                    </w:rPr>
                    <w:t>m</w:t>
                  </w:r>
                  <w:r>
                    <w:rPr>
                      <w:rFonts w:hint="eastAsia" w:ascii="Times New Roman" w:cs="Times New Roman"/>
                      <w:sz w:val="18"/>
                      <w:szCs w:val="18"/>
                      <w:highlight w:val="none"/>
                      <w:lang w:val="en-US" w:eastAsia="zh-CN"/>
                    </w:rPr>
                    <w:t>）</w:t>
                  </w:r>
                  <w:r>
                    <w:rPr>
                      <w:rFonts w:hint="default" w:ascii="Times New Roman" w:hAnsi="Times New Roman" w:cs="Times New Roman"/>
                      <w:sz w:val="18"/>
                      <w:szCs w:val="18"/>
                      <w:highlight w:val="none"/>
                      <w:lang w:val="zh-TW"/>
                    </w:rPr>
                    <w:t>，沉淀后流入清水池</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en-US" w:eastAsia="zh-CN"/>
                    </w:rPr>
                    <w:t>5</w:t>
                  </w:r>
                  <w:r>
                    <w:rPr>
                      <w:rFonts w:hint="default" w:ascii="Times New Roman" w:hAnsi="Times New Roman" w:cs="Times New Roman"/>
                      <w:sz w:val="18"/>
                      <w:szCs w:val="18"/>
                      <w:highlight w:val="none"/>
                      <w:lang w:val="zh-TW"/>
                    </w:rPr>
                    <w:t>m×</w:t>
                  </w:r>
                  <w:r>
                    <w:rPr>
                      <w:rFonts w:hint="default" w:ascii="Times New Roman" w:hAnsi="Times New Roman" w:cs="Times New Roman"/>
                      <w:sz w:val="18"/>
                      <w:szCs w:val="18"/>
                      <w:highlight w:val="none"/>
                      <w:lang w:val="en-US" w:eastAsia="zh-CN"/>
                    </w:rPr>
                    <w:t>5</w:t>
                  </w:r>
                  <w:r>
                    <w:rPr>
                      <w:rFonts w:hint="default" w:ascii="Times New Roman" w:hAnsi="Times New Roman" w:cs="Times New Roman"/>
                      <w:sz w:val="18"/>
                      <w:szCs w:val="18"/>
                      <w:highlight w:val="none"/>
                      <w:lang w:val="zh-TW"/>
                    </w:rPr>
                    <w:t>m×1</w:t>
                  </w:r>
                  <w:r>
                    <w:rPr>
                      <w:rFonts w:hint="default" w:ascii="Times New Roman" w:hAnsi="Times New Roman" w:cs="Times New Roman"/>
                      <w:sz w:val="18"/>
                      <w:szCs w:val="18"/>
                      <w:highlight w:val="none"/>
                      <w:lang w:val="en-US" w:eastAsia="zh-CN"/>
                    </w:rPr>
                    <w:t>.2</w:t>
                  </w:r>
                  <w:r>
                    <w:rPr>
                      <w:rFonts w:hint="default" w:ascii="Times New Roman" w:hAnsi="Times New Roman" w:cs="Times New Roman"/>
                      <w:sz w:val="18"/>
                      <w:szCs w:val="18"/>
                      <w:highlight w:val="none"/>
                      <w:lang w:val="zh-TW"/>
                    </w:rPr>
                    <w:t>m</w:t>
                  </w:r>
                  <w:r>
                    <w:rPr>
                      <w:rFonts w:hint="eastAsia" w:ascii="Times New Roman" w:cs="Times New Roman"/>
                      <w:sz w:val="18"/>
                      <w:szCs w:val="18"/>
                      <w:highlight w:val="none"/>
                      <w:lang w:val="zh-TW" w:eastAsia="zh-CN"/>
                    </w:rPr>
                    <w:t>）</w:t>
                  </w:r>
                  <w:r>
                    <w:rPr>
                      <w:rFonts w:hint="default" w:ascii="Times New Roman" w:hAnsi="Times New Roman" w:cs="Times New Roman"/>
                      <w:sz w:val="18"/>
                      <w:szCs w:val="18"/>
                      <w:highlight w:val="none"/>
                      <w:lang w:val="zh-TW"/>
                    </w:rPr>
                    <w:t>，循环使用，不外排。沉淀池需定期清理，清理出的</w:t>
                  </w:r>
                  <w:r>
                    <w:rPr>
                      <w:rFonts w:hint="default" w:ascii="Times New Roman" w:hAnsi="Times New Roman" w:cs="Times New Roman"/>
                      <w:sz w:val="18"/>
                      <w:szCs w:val="18"/>
                      <w:highlight w:val="none"/>
                      <w:lang w:val="en-US" w:eastAsia="zh-CN"/>
                    </w:rPr>
                    <w:t>洗车沉淀池沉泥回用于生产</w:t>
                  </w:r>
                </w:p>
              </w:tc>
              <w:tc>
                <w:tcPr>
                  <w:tcW w:w="0" w:type="auto"/>
                  <w:shd w:val="clear" w:color="auto" w:fill="auto"/>
                  <w:vAlign w:val="center"/>
                </w:tcPr>
                <w:p w14:paraId="39C0A74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24E5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7E71C23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3F315EC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0357F2AD">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露天装卸物料应当采取洒水、喷淋等抑尘措施，密闭输送物料应在装卸处配备吸尘、喷淋等设施。</w:t>
                  </w:r>
                </w:p>
              </w:tc>
              <w:tc>
                <w:tcPr>
                  <w:tcW w:w="0" w:type="auto"/>
                  <w:shd w:val="clear" w:color="auto" w:fill="auto"/>
                  <w:vAlign w:val="center"/>
                </w:tcPr>
                <w:p w14:paraId="7600459F">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en-US" w:eastAsia="zh-CN"/>
                    </w:rPr>
                    <w:t>项目不存在露天装卸，</w:t>
                  </w:r>
                  <w:r>
                    <w:rPr>
                      <w:rFonts w:hint="default" w:ascii="Times New Roman" w:hAnsi="Times New Roman" w:cs="Times New Roman"/>
                      <w:sz w:val="18"/>
                      <w:szCs w:val="18"/>
                      <w:highlight w:val="none"/>
                      <w:lang w:val="zh-TW"/>
                    </w:rPr>
                    <w:t>在</w:t>
                  </w:r>
                  <w:r>
                    <w:rPr>
                      <w:rFonts w:hint="default" w:ascii="Times New Roman" w:hAnsi="Times New Roman" w:cs="Times New Roman"/>
                      <w:sz w:val="18"/>
                      <w:szCs w:val="18"/>
                      <w:highlight w:val="none"/>
                      <w:lang w:val="en-US" w:eastAsia="zh-CN"/>
                    </w:rPr>
                    <w:t>原料</w:t>
                  </w:r>
                  <w:r>
                    <w:rPr>
                      <w:rFonts w:hint="default" w:ascii="Times New Roman" w:hAnsi="Times New Roman" w:cs="Times New Roman"/>
                      <w:sz w:val="18"/>
                      <w:szCs w:val="18"/>
                      <w:highlight w:val="none"/>
                      <w:lang w:val="zh-TW"/>
                    </w:rPr>
                    <w:t>装卸处配备喷淋设施</w:t>
                  </w:r>
                </w:p>
              </w:tc>
              <w:tc>
                <w:tcPr>
                  <w:tcW w:w="0" w:type="auto"/>
                  <w:shd w:val="clear" w:color="auto" w:fill="auto"/>
                  <w:vAlign w:val="center"/>
                </w:tcPr>
                <w:p w14:paraId="340EDC9A">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5E6D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2ABB551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049F25A0">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229B95DF">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粉状物料储存可采用入棚、入仓储存，棚内设有喷淋装置，在物料装卸时洒水降尘，棚内应设置横向防雨天窗，也可采用防风抑尘网+喷淋装置进行储存。块状物料储存可采用入棚、入仓方式储存，也可采用防风抑尘网+喷淋装置储存，露天堆场贮存过程中，必须采取洒水、遮盖或喷洒抑尘剂等措施控制扬尘。</w:t>
                  </w:r>
                </w:p>
              </w:tc>
              <w:tc>
                <w:tcPr>
                  <w:tcW w:w="0" w:type="auto"/>
                  <w:shd w:val="clear" w:color="auto" w:fill="auto"/>
                  <w:vAlign w:val="center"/>
                </w:tcPr>
                <w:p w14:paraId="64A2CE9D">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项目汽车卸料及成品存储均在封闭车间内，同时</w:t>
                  </w:r>
                  <w:r>
                    <w:rPr>
                      <w:rFonts w:hint="default" w:ascii="Times New Roman" w:hAnsi="Times New Roman" w:cs="Times New Roman"/>
                      <w:sz w:val="18"/>
                      <w:szCs w:val="18"/>
                      <w:highlight w:val="none"/>
                      <w:lang w:val="en-US" w:eastAsia="zh-CN"/>
                    </w:rPr>
                    <w:t>装卸处</w:t>
                  </w:r>
                  <w:r>
                    <w:rPr>
                      <w:rFonts w:hint="default" w:ascii="Times New Roman" w:hAnsi="Times New Roman" w:cs="Times New Roman"/>
                      <w:sz w:val="18"/>
                      <w:szCs w:val="18"/>
                      <w:highlight w:val="none"/>
                      <w:lang w:val="zh-TW"/>
                    </w:rPr>
                    <w:t>配备喷雾抑尘装置，物料装卸时</w:t>
                  </w:r>
                  <w:r>
                    <w:rPr>
                      <w:rFonts w:hint="default" w:ascii="Times New Roman" w:hAnsi="Times New Roman" w:cs="Times New Roman"/>
                      <w:sz w:val="18"/>
                      <w:szCs w:val="18"/>
                      <w:highlight w:val="none"/>
                      <w:lang w:val="en-US" w:eastAsia="zh-CN"/>
                    </w:rPr>
                    <w:t>喷雾</w:t>
                  </w:r>
                  <w:r>
                    <w:rPr>
                      <w:rFonts w:hint="default" w:ascii="Times New Roman" w:hAnsi="Times New Roman" w:cs="Times New Roman"/>
                      <w:sz w:val="18"/>
                      <w:szCs w:val="18"/>
                      <w:highlight w:val="none"/>
                      <w:lang w:val="zh-TW"/>
                    </w:rPr>
                    <w:t>抑尘</w:t>
                  </w:r>
                </w:p>
              </w:tc>
              <w:tc>
                <w:tcPr>
                  <w:tcW w:w="0" w:type="auto"/>
                  <w:shd w:val="clear" w:color="auto" w:fill="auto"/>
                  <w:vAlign w:val="center"/>
                </w:tcPr>
                <w:p w14:paraId="6CC6EA7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096B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120A7FD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330AA0E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1213EE55">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对临时堆放的易产生扬尘的渣土堆、废渣等废弃物，应采用防尘网+喷淋装置和防尘布遮盖，必要时进行喷淋、固化处理，设置高于废弃物堆的围挡、防风网、挡风屏等，防止造成扬尘污染。对于长期堆放的废弃物，应在废弃物堆表面及四周种植植物，减少风蚀起尘。</w:t>
                  </w:r>
                </w:p>
              </w:tc>
              <w:tc>
                <w:tcPr>
                  <w:tcW w:w="0" w:type="auto"/>
                  <w:shd w:val="clear" w:color="auto" w:fill="auto"/>
                  <w:vAlign w:val="center"/>
                </w:tcPr>
                <w:p w14:paraId="25E25BAA">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项目汽车卸料及成品存储均在封闭车间内，</w:t>
                  </w:r>
                  <w:r>
                    <w:rPr>
                      <w:rFonts w:hint="default" w:ascii="Times New Roman" w:hAnsi="Times New Roman" w:cs="Times New Roman"/>
                      <w:sz w:val="18"/>
                      <w:szCs w:val="18"/>
                      <w:highlight w:val="none"/>
                      <w:lang w:val="en-US" w:eastAsia="zh-CN"/>
                    </w:rPr>
                    <w:t>装卸处</w:t>
                  </w:r>
                  <w:r>
                    <w:rPr>
                      <w:rFonts w:hint="default" w:ascii="Times New Roman" w:hAnsi="Times New Roman" w:cs="Times New Roman"/>
                      <w:sz w:val="18"/>
                      <w:szCs w:val="18"/>
                      <w:highlight w:val="none"/>
                      <w:lang w:val="zh-TW"/>
                    </w:rPr>
                    <w:t>配备喷雾抑尘装置，物料装卸时</w:t>
                  </w:r>
                  <w:r>
                    <w:rPr>
                      <w:rFonts w:hint="default" w:ascii="Times New Roman" w:hAnsi="Times New Roman" w:cs="Times New Roman"/>
                      <w:sz w:val="18"/>
                      <w:szCs w:val="18"/>
                      <w:highlight w:val="none"/>
                      <w:lang w:val="en-US" w:eastAsia="zh-CN"/>
                    </w:rPr>
                    <w:t>喷雾</w:t>
                  </w:r>
                  <w:r>
                    <w:rPr>
                      <w:rFonts w:hint="default" w:ascii="Times New Roman" w:hAnsi="Times New Roman" w:cs="Times New Roman"/>
                      <w:sz w:val="18"/>
                      <w:szCs w:val="18"/>
                      <w:highlight w:val="none"/>
                      <w:lang w:val="zh-TW"/>
                    </w:rPr>
                    <w:t>抑尘</w:t>
                  </w:r>
                </w:p>
              </w:tc>
              <w:tc>
                <w:tcPr>
                  <w:tcW w:w="0" w:type="auto"/>
                  <w:shd w:val="clear" w:color="auto" w:fill="auto"/>
                  <w:vAlign w:val="center"/>
                </w:tcPr>
                <w:p w14:paraId="5CF8B6EE">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6180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0820FED8">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7248F9C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28A53355">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根据节约资源，推进循环经济的原则，积极开发新工艺，将粉煤灰、工业粉尘、炉渣、矿渣等用于肥料、建筑材料制造、筑路等，减少堆放量。</w:t>
                  </w:r>
                </w:p>
              </w:tc>
              <w:tc>
                <w:tcPr>
                  <w:tcW w:w="0" w:type="auto"/>
                  <w:shd w:val="clear" w:color="auto" w:fill="auto"/>
                  <w:vAlign w:val="center"/>
                </w:tcPr>
                <w:p w14:paraId="2CC7FBA4">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en-US"/>
                    </w:rPr>
                    <w:t>项目</w:t>
                  </w:r>
                  <w:r>
                    <w:rPr>
                      <w:rFonts w:hint="default" w:ascii="Times New Roman" w:hAnsi="Times New Roman" w:cs="Times New Roman"/>
                      <w:sz w:val="18"/>
                      <w:szCs w:val="18"/>
                      <w:highlight w:val="none"/>
                      <w:lang w:val="en-US" w:eastAsia="zh-CN"/>
                    </w:rPr>
                    <w:t>洗车沉淀池沉泥回用于生产</w:t>
                  </w:r>
                </w:p>
              </w:tc>
              <w:tc>
                <w:tcPr>
                  <w:tcW w:w="0" w:type="auto"/>
                  <w:shd w:val="clear" w:color="auto" w:fill="auto"/>
                  <w:vAlign w:val="center"/>
                </w:tcPr>
                <w:p w14:paraId="76A070F3">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3F93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045B97C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09ADE26E">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0" w:type="auto"/>
                  <w:gridSpan w:val="2"/>
                  <w:shd w:val="clear" w:color="auto" w:fill="auto"/>
                  <w:vAlign w:val="center"/>
                </w:tcPr>
                <w:p w14:paraId="5EC75126">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各工业企业厂区道路应进行硬化，定期清扫、洒水，以保持道路积尘处于低负荷状态。</w:t>
                  </w:r>
                </w:p>
              </w:tc>
              <w:tc>
                <w:tcPr>
                  <w:tcW w:w="0" w:type="auto"/>
                  <w:shd w:val="clear" w:color="auto" w:fill="auto"/>
                  <w:vAlign w:val="center"/>
                </w:tcPr>
                <w:p w14:paraId="48D2EA8D">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厂区道路进行硬化，定期清扫、洒水，以保持道路积尘处于低负荷状态。</w:t>
                  </w:r>
                </w:p>
              </w:tc>
              <w:tc>
                <w:tcPr>
                  <w:tcW w:w="0" w:type="auto"/>
                  <w:shd w:val="clear" w:color="auto" w:fill="auto"/>
                  <w:vAlign w:val="center"/>
                </w:tcPr>
                <w:p w14:paraId="6EB13717">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sz w:val="18"/>
                      <w:szCs w:val="18"/>
                      <w:highlight w:val="none"/>
                      <w:lang w:val="zh-TW"/>
                    </w:rPr>
                    <w:t>符合</w:t>
                  </w:r>
                </w:p>
              </w:tc>
            </w:tr>
            <w:tr w14:paraId="6A9F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restart"/>
                </w:tcPr>
                <w:p w14:paraId="7C3BF2F3">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16</w:t>
                  </w:r>
                </w:p>
              </w:tc>
              <w:tc>
                <w:tcPr>
                  <w:tcW w:w="1850" w:type="dxa"/>
                  <w:vMerge w:val="restart"/>
                </w:tcPr>
                <w:p w14:paraId="1677F29F">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《固体废物污染防治</w:t>
                  </w:r>
                  <w:r>
                    <w:rPr>
                      <w:rFonts w:hint="eastAsia" w:cs="Times New Roman"/>
                      <w:color w:val="000000" w:themeColor="text1"/>
                      <w:sz w:val="18"/>
                      <w:szCs w:val="18"/>
                      <w:highlight w:val="none"/>
                      <w:lang w:val="en-US" w:eastAsia="zh-CN"/>
                      <w14:textFill>
                        <w14:solidFill>
                          <w14:schemeClr w14:val="tx1"/>
                        </w14:solidFill>
                      </w14:textFill>
                    </w:rPr>
                    <w:t>“十五五”规划</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w:t>
                  </w:r>
                </w:p>
              </w:tc>
              <w:tc>
                <w:tcPr>
                  <w:tcW w:w="0" w:type="auto"/>
                  <w:gridSpan w:val="2"/>
                  <w:shd w:val="clear" w:color="auto" w:fill="auto"/>
                  <w:vAlign w:val="center"/>
                </w:tcPr>
                <w:p w14:paraId="36AC20AB">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cs="Times New Roman"/>
                      <w:sz w:val="18"/>
                      <w:szCs w:val="18"/>
                      <w:highlight w:val="none"/>
                      <w:lang w:val="zh-TW"/>
                    </w:rPr>
                  </w:pPr>
                  <w:r>
                    <w:rPr>
                      <w:rFonts w:hint="default" w:ascii="Times New Roman" w:hAnsi="Times New Roman" w:cs="Times New Roman"/>
                      <w:sz w:val="18"/>
                      <w:szCs w:val="18"/>
                      <w:highlight w:val="none"/>
                      <w:lang w:val="zh-TW"/>
                    </w:rPr>
                    <w:t>（六）健全工业固体废物全链条环境监管体系。推动将工业固体废物环境污染风险较大的单位纳入排污许可重点管理范围，明确工业固体废物贮存、利用、处置要求。强化工业固体废物管理台账和排污单位环境管理台账、生态环境统计与排污许可统一信息报表数据的衔接。建设全国工业固体废物信息管理平台，逐步推行工业固体废物全链条信息实时采集和轨迹监控，90%以上的工业固体废物排污许可重点管理单位纳入平台监管。</w:t>
                  </w:r>
                </w:p>
              </w:tc>
              <w:tc>
                <w:tcPr>
                  <w:tcW w:w="0" w:type="auto"/>
                  <w:shd w:val="clear" w:color="auto" w:fill="auto"/>
                  <w:vAlign w:val="center"/>
                </w:tcPr>
                <w:p w14:paraId="609CEBAE">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本项目严格按照要求申请排污许可，并设置</w:t>
                  </w:r>
                  <w:r>
                    <w:rPr>
                      <w:rFonts w:hint="default" w:ascii="Times New Roman" w:hAnsi="Times New Roman" w:cs="Times New Roman"/>
                      <w:sz w:val="18"/>
                      <w:szCs w:val="18"/>
                      <w:highlight w:val="none"/>
                      <w:lang w:val="zh-TW"/>
                    </w:rPr>
                    <w:t>工业固体废物管理台账和排污单位环境管理台账</w:t>
                  </w:r>
                  <w:r>
                    <w:rPr>
                      <w:rFonts w:hint="default" w:ascii="Times New Roman" w:hAnsi="Times New Roman" w:cs="Times New Roman"/>
                      <w:sz w:val="18"/>
                      <w:szCs w:val="18"/>
                      <w:highlight w:val="none"/>
                      <w:lang w:val="zh-TW" w:eastAsia="zh-CN"/>
                    </w:rPr>
                    <w:t>，</w:t>
                  </w:r>
                  <w:r>
                    <w:rPr>
                      <w:rFonts w:hint="default" w:ascii="Times New Roman" w:hAnsi="Times New Roman" w:cs="Times New Roman"/>
                      <w:sz w:val="18"/>
                      <w:szCs w:val="18"/>
                      <w:highlight w:val="none"/>
                      <w:lang w:val="en-US" w:eastAsia="zh-CN"/>
                    </w:rPr>
                    <w:t>按要求进行</w:t>
                  </w:r>
                  <w:r>
                    <w:rPr>
                      <w:rFonts w:hint="default" w:ascii="Times New Roman" w:hAnsi="Times New Roman" w:cs="Times New Roman"/>
                      <w:sz w:val="18"/>
                      <w:szCs w:val="18"/>
                      <w:highlight w:val="none"/>
                      <w:lang w:val="zh-TW"/>
                    </w:rPr>
                    <w:t>工业固体废物全链条信息管理</w:t>
                  </w:r>
                </w:p>
              </w:tc>
              <w:tc>
                <w:tcPr>
                  <w:tcW w:w="0" w:type="auto"/>
                  <w:shd w:val="clear" w:color="auto" w:fill="auto"/>
                  <w:vAlign w:val="center"/>
                </w:tcPr>
                <w:p w14:paraId="68580FE5">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符合</w:t>
                  </w:r>
                </w:p>
              </w:tc>
            </w:tr>
            <w:tr w14:paraId="24C9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2EFCE82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60484A0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gridSpan w:val="2"/>
                  <w:shd w:val="clear" w:color="auto" w:fill="auto"/>
                  <w:vAlign w:val="center"/>
                </w:tcPr>
                <w:p w14:paraId="50C919EC">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cs="Times New Roman"/>
                      <w:sz w:val="18"/>
                      <w:szCs w:val="18"/>
                      <w:highlight w:val="none"/>
                      <w:lang w:val="zh-TW"/>
                    </w:rPr>
                  </w:pPr>
                  <w:r>
                    <w:rPr>
                      <w:rFonts w:hint="default" w:ascii="Times New Roman" w:hAnsi="Times New Roman" w:cs="Times New Roman"/>
                      <w:sz w:val="18"/>
                      <w:szCs w:val="18"/>
                      <w:highlight w:val="none"/>
                      <w:lang w:val="zh-TW"/>
                    </w:rPr>
                    <w:t>（七）加强工业固体废物综合利用环境监管。强化工业窑炉协同处理固体废物过程有毒有害物质排放管控。制定一般工业固体废物规模化消纳利用工作指南，明确相关项目审批程序及监测监管要求，严防不规范充填回填造成土壤和地下水污染；在国土空间规划实施管理中因地制宜保障大宗工业固体废物充填回填相关用地需求，稳妥有序推进规模化消纳利用。加强磷石膏等综合利用，推动无法利用的磷石膏、赤泥、锰渣等工业固体废物无害化预处理，降低贮存填埋环境风险。</w:t>
                  </w:r>
                </w:p>
              </w:tc>
              <w:tc>
                <w:tcPr>
                  <w:tcW w:w="0" w:type="auto"/>
                  <w:shd w:val="clear" w:color="auto" w:fill="auto"/>
                  <w:vAlign w:val="center"/>
                </w:tcPr>
                <w:p w14:paraId="52D392E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本项目不涉及</w:t>
                  </w:r>
                  <w:r>
                    <w:rPr>
                      <w:rFonts w:hint="default" w:ascii="Times New Roman" w:hAnsi="Times New Roman" w:cs="Times New Roman"/>
                      <w:sz w:val="18"/>
                      <w:szCs w:val="18"/>
                      <w:highlight w:val="none"/>
                      <w:lang w:val="zh-TW"/>
                    </w:rPr>
                    <w:t>工业窑炉协同处理固体废物</w:t>
                  </w:r>
                  <w:r>
                    <w:rPr>
                      <w:rFonts w:hint="default" w:ascii="Times New Roman" w:hAnsi="Times New Roman" w:cs="Times New Roman"/>
                      <w:sz w:val="18"/>
                      <w:szCs w:val="18"/>
                      <w:highlight w:val="none"/>
                      <w:lang w:val="zh-TW" w:eastAsia="zh-CN"/>
                    </w:rPr>
                    <w:t>，</w:t>
                  </w:r>
                  <w:r>
                    <w:rPr>
                      <w:rFonts w:hint="default" w:ascii="Times New Roman" w:hAnsi="Times New Roman" w:cs="Times New Roman"/>
                      <w:sz w:val="18"/>
                      <w:szCs w:val="18"/>
                      <w:highlight w:val="none"/>
                      <w:lang w:val="en-US" w:eastAsia="zh-CN"/>
                    </w:rPr>
                    <w:t>按要求进行环境影响评价及自行检测，按要求进行防渗施工，按要求编制突发环境事件应急预案并设置相应的环境风险防范措施</w:t>
                  </w:r>
                </w:p>
              </w:tc>
              <w:tc>
                <w:tcPr>
                  <w:tcW w:w="0" w:type="auto"/>
                  <w:shd w:val="clear" w:color="auto" w:fill="auto"/>
                  <w:vAlign w:val="center"/>
                </w:tcPr>
                <w:p w14:paraId="092DCDC0">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符合</w:t>
                  </w:r>
                </w:p>
              </w:tc>
            </w:tr>
            <w:tr w14:paraId="53DF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367E022A">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341E68AC">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gridSpan w:val="2"/>
                  <w:shd w:val="clear" w:color="auto" w:fill="auto"/>
                  <w:vAlign w:val="center"/>
                </w:tcPr>
                <w:p w14:paraId="246C1775">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cs="Times New Roman"/>
                      <w:sz w:val="18"/>
                      <w:szCs w:val="18"/>
                      <w:highlight w:val="none"/>
                      <w:lang w:val="zh-TW"/>
                    </w:rPr>
                  </w:pPr>
                  <w:r>
                    <w:rPr>
                      <w:rFonts w:hint="default" w:ascii="Times New Roman" w:hAnsi="Times New Roman" w:cs="Times New Roman"/>
                      <w:sz w:val="18"/>
                      <w:szCs w:val="18"/>
                      <w:highlight w:val="none"/>
                      <w:lang w:val="zh-TW"/>
                    </w:rPr>
                    <w:t>（十六）加强市政污泥污染防治。加强城镇污水处理厂污泥全过程管理，因地制宜推动污泥综合利用及协同处置，逐步减少填埋量。加强污泥处理处置过程管理，强化运输储存监管，落实污泥转运联单跟踪制度。</w:t>
                  </w:r>
                </w:p>
              </w:tc>
              <w:tc>
                <w:tcPr>
                  <w:tcW w:w="0" w:type="auto"/>
                  <w:shd w:val="clear" w:color="auto" w:fill="auto"/>
                  <w:vAlign w:val="center"/>
                </w:tcPr>
                <w:p w14:paraId="0607623C">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项目利用污泥生产营养土，不涉及污泥填埋，按要求试行</w:t>
                  </w:r>
                  <w:r>
                    <w:rPr>
                      <w:rFonts w:hint="default" w:ascii="Times New Roman" w:hAnsi="Times New Roman" w:cs="Times New Roman"/>
                      <w:sz w:val="18"/>
                      <w:szCs w:val="18"/>
                      <w:highlight w:val="none"/>
                      <w:lang w:val="zh-TW"/>
                    </w:rPr>
                    <w:t>转运联单跟踪制度</w:t>
                  </w:r>
                </w:p>
              </w:tc>
              <w:tc>
                <w:tcPr>
                  <w:tcW w:w="0" w:type="auto"/>
                  <w:shd w:val="clear" w:color="auto" w:fill="auto"/>
                  <w:vAlign w:val="center"/>
                </w:tcPr>
                <w:p w14:paraId="399CF06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符合</w:t>
                  </w:r>
                </w:p>
              </w:tc>
            </w:tr>
            <w:tr w14:paraId="75C2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7F0B0382">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1CAA7E16">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gridSpan w:val="2"/>
                  <w:shd w:val="clear" w:color="auto" w:fill="auto"/>
                  <w:vAlign w:val="center"/>
                </w:tcPr>
                <w:p w14:paraId="14824C15">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cs="Times New Roman"/>
                      <w:sz w:val="18"/>
                      <w:szCs w:val="18"/>
                      <w:highlight w:val="none"/>
                      <w:lang w:val="zh-TW"/>
                    </w:rPr>
                  </w:pPr>
                  <w:r>
                    <w:rPr>
                      <w:rFonts w:hint="default" w:ascii="Times New Roman" w:hAnsi="Times New Roman" w:cs="Times New Roman"/>
                      <w:sz w:val="18"/>
                      <w:szCs w:val="18"/>
                      <w:highlight w:val="none"/>
                      <w:lang w:val="zh-TW"/>
                    </w:rPr>
                    <w:t>（十七）加强农业固体废物污染防治。大力推动秸秆综合利用，依法加强焚烧管控。推动畜禽粪污资源化利用，鼓励因地制宜建立“小集中”收运利用体系。推动地膜科学使用及回收，加强农田地膜残留监测。</w:t>
                  </w:r>
                </w:p>
              </w:tc>
              <w:tc>
                <w:tcPr>
                  <w:tcW w:w="0" w:type="auto"/>
                  <w:shd w:val="clear" w:color="auto" w:fill="auto"/>
                  <w:vAlign w:val="center"/>
                </w:tcPr>
                <w:p w14:paraId="628E6920">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项目利用秸秆生产替代燃烧颗粒，利用畜禽粪污生产营养土</w:t>
                  </w:r>
                </w:p>
              </w:tc>
              <w:tc>
                <w:tcPr>
                  <w:tcW w:w="0" w:type="auto"/>
                  <w:shd w:val="clear" w:color="auto" w:fill="auto"/>
                  <w:vAlign w:val="center"/>
                </w:tcPr>
                <w:p w14:paraId="17FF8DDC">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符合</w:t>
                  </w:r>
                </w:p>
              </w:tc>
            </w:tr>
            <w:tr w14:paraId="73E7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6" w:type="dxa"/>
                  <w:vMerge w:val="continue"/>
                </w:tcPr>
                <w:p w14:paraId="05599F4B">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1850" w:type="dxa"/>
                  <w:vMerge w:val="continue"/>
                </w:tcPr>
                <w:p w14:paraId="499EC049">
                  <w:pPr>
                    <w:keepNext w:val="0"/>
                    <w:keepLines w:val="0"/>
                    <w:pageBreakBefore w:val="0"/>
                    <w:suppressLineNumbers w:val="0"/>
                    <w:wordWrap/>
                    <w:topLinePunct w:val="0"/>
                    <w:autoSpaceDE/>
                    <w:autoSpaceDN/>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c>
                <w:tcPr>
                  <w:tcW w:w="0" w:type="auto"/>
                  <w:gridSpan w:val="2"/>
                  <w:shd w:val="clear" w:color="auto" w:fill="auto"/>
                  <w:vAlign w:val="center"/>
                </w:tcPr>
                <w:p w14:paraId="6B652FCB">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cs="Times New Roman"/>
                      <w:sz w:val="18"/>
                      <w:szCs w:val="18"/>
                      <w:highlight w:val="none"/>
                      <w:lang w:val="zh-TW"/>
                    </w:rPr>
                  </w:pPr>
                  <w:r>
                    <w:rPr>
                      <w:rFonts w:hint="default" w:ascii="Times New Roman" w:hAnsi="Times New Roman" w:cs="Times New Roman"/>
                      <w:sz w:val="18"/>
                      <w:szCs w:val="18"/>
                      <w:highlight w:val="none"/>
                      <w:lang w:val="zh-TW"/>
                    </w:rPr>
                    <w:t>（二十一）强化贮存处置设施污染排放监测。加强固体废物贮存处置设施监督监测和自行监测监管。加快实现工业固体废物排污许可重点管理单位污染物排放自动监测设备联网，有序推进危险废物焚烧和水泥窑协同处置设施“装树联”。</w:t>
                  </w:r>
                </w:p>
              </w:tc>
              <w:tc>
                <w:tcPr>
                  <w:tcW w:w="0" w:type="auto"/>
                  <w:shd w:val="clear" w:color="auto" w:fill="auto"/>
                  <w:vAlign w:val="center"/>
                </w:tcPr>
                <w:p w14:paraId="17341829">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项目按要求进行自行监测</w:t>
                  </w:r>
                </w:p>
              </w:tc>
              <w:tc>
                <w:tcPr>
                  <w:tcW w:w="0" w:type="auto"/>
                  <w:shd w:val="clear" w:color="auto" w:fill="auto"/>
                  <w:vAlign w:val="center"/>
                </w:tcPr>
                <w:p w14:paraId="79C4B4D7">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符合</w:t>
                  </w:r>
                </w:p>
              </w:tc>
            </w:tr>
          </w:tbl>
          <w:p w14:paraId="7A9C5673">
            <w:pPr>
              <w:pStyle w:val="29"/>
              <w:keepNext w:val="0"/>
              <w:keepLines w:val="0"/>
              <w:suppressLineNumbers w:val="0"/>
              <w:spacing w:before="0" w:beforeAutospacing="0" w:afterAutospacing="0"/>
              <w:ind w:right="0"/>
              <w:rPr>
                <w:rFonts w:hint="default" w:ascii="Times New Roman" w:hAnsi="Times New Roman" w:cs="Times New Roman"/>
                <w:color w:val="000000" w:themeColor="text1"/>
                <w:spacing w:val="0"/>
                <w:sz w:val="24"/>
                <w:szCs w:val="24"/>
                <w:highlight w:val="green"/>
                <w14:textFill>
                  <w14:solidFill>
                    <w14:schemeClr w14:val="tx1"/>
                  </w14:solidFill>
                </w14:textFill>
              </w:rPr>
            </w:pPr>
          </w:p>
          <w:p w14:paraId="1F2C394F">
            <w:pPr>
              <w:pStyle w:val="40"/>
              <w:keepNext w:val="0"/>
              <w:keepLines w:val="0"/>
              <w:suppressLineNumbers w:val="0"/>
              <w:spacing w:before="0" w:beforeAutospacing="0" w:after="0" w:afterAutospacing="0"/>
              <w:ind w:left="0" w:right="0"/>
              <w:rPr>
                <w:rFonts w:hint="default" w:ascii="Times New Roman" w:hAnsi="Times New Roman" w:cs="Times New Roman"/>
                <w:color w:val="000000" w:themeColor="text1"/>
                <w:spacing w:val="0"/>
                <w:sz w:val="24"/>
                <w:szCs w:val="24"/>
                <w:highlight w:val="green"/>
                <w14:textFill>
                  <w14:solidFill>
                    <w14:schemeClr w14:val="tx1"/>
                  </w14:solidFill>
                </w14:textFill>
              </w:rPr>
            </w:pPr>
          </w:p>
          <w:p w14:paraId="7844EB06">
            <w:pPr>
              <w:pStyle w:val="40"/>
              <w:keepNext w:val="0"/>
              <w:keepLines w:val="0"/>
              <w:suppressLineNumbers w:val="0"/>
              <w:spacing w:before="0" w:beforeAutospacing="0" w:after="0" w:afterAutospacing="0"/>
              <w:ind w:left="0" w:right="0"/>
              <w:rPr>
                <w:rFonts w:hint="default" w:ascii="Times New Roman" w:hAnsi="Times New Roman" w:cs="Times New Roman"/>
                <w:color w:val="000000" w:themeColor="text1"/>
                <w:spacing w:val="0"/>
                <w:sz w:val="24"/>
                <w:szCs w:val="24"/>
                <w:highlight w:val="green"/>
                <w14:textFill>
                  <w14:solidFill>
                    <w14:schemeClr w14:val="tx1"/>
                  </w14:solidFill>
                </w14:textFill>
              </w:rPr>
            </w:pPr>
          </w:p>
          <w:p w14:paraId="7DFA6D00">
            <w:pPr>
              <w:pStyle w:val="40"/>
              <w:keepNext w:val="0"/>
              <w:keepLines w:val="0"/>
              <w:suppressLineNumbers w:val="0"/>
              <w:spacing w:before="0" w:beforeAutospacing="0" w:after="0" w:afterAutospacing="0"/>
              <w:ind w:left="0" w:right="0"/>
              <w:rPr>
                <w:rFonts w:hint="default" w:ascii="Times New Roman" w:hAnsi="Times New Roman" w:cs="Times New Roman"/>
                <w:color w:val="000000" w:themeColor="text1"/>
                <w:spacing w:val="0"/>
                <w:sz w:val="24"/>
                <w:szCs w:val="24"/>
                <w:highlight w:val="green"/>
                <w14:textFill>
                  <w14:solidFill>
                    <w14:schemeClr w14:val="tx1"/>
                  </w14:solidFill>
                </w14:textFill>
              </w:rPr>
            </w:pPr>
          </w:p>
          <w:p w14:paraId="1164633A">
            <w:pPr>
              <w:pStyle w:val="40"/>
              <w:keepNext w:val="0"/>
              <w:keepLines w:val="0"/>
              <w:suppressLineNumbers w:val="0"/>
              <w:spacing w:before="0" w:beforeAutospacing="0" w:after="0" w:afterAutospacing="0"/>
              <w:ind w:left="0" w:right="0"/>
              <w:rPr>
                <w:rFonts w:hint="default" w:ascii="Times New Roman" w:hAnsi="Times New Roman" w:cs="Times New Roman"/>
                <w:color w:val="000000" w:themeColor="text1"/>
                <w:spacing w:val="0"/>
                <w:sz w:val="24"/>
                <w:szCs w:val="24"/>
                <w:highlight w:val="green"/>
                <w14:textFill>
                  <w14:solidFill>
                    <w14:schemeClr w14:val="tx1"/>
                  </w14:solidFill>
                </w14:textFill>
              </w:rPr>
            </w:pPr>
          </w:p>
          <w:p w14:paraId="0C2B99DE">
            <w:pPr>
              <w:pStyle w:val="40"/>
              <w:keepNext w:val="0"/>
              <w:keepLines w:val="0"/>
              <w:suppressLineNumbers w:val="0"/>
              <w:spacing w:before="0" w:beforeAutospacing="0" w:after="0" w:afterAutospacing="0"/>
              <w:ind w:left="0" w:right="0"/>
              <w:rPr>
                <w:rFonts w:hint="default" w:ascii="Times New Roman" w:hAnsi="Times New Roman" w:cs="Times New Roman"/>
                <w:color w:val="000000" w:themeColor="text1"/>
                <w:spacing w:val="0"/>
                <w:sz w:val="24"/>
                <w:szCs w:val="24"/>
                <w:highlight w:val="green"/>
                <w14:textFill>
                  <w14:solidFill>
                    <w14:schemeClr w14:val="tx1"/>
                  </w14:solidFill>
                </w14:textFill>
              </w:rPr>
            </w:pPr>
          </w:p>
          <w:p w14:paraId="40CC0103">
            <w:pPr>
              <w:pStyle w:val="29"/>
              <w:keepNext w:val="0"/>
              <w:keepLines w:val="0"/>
              <w:suppressLineNumbers w:val="0"/>
              <w:spacing w:before="0" w:beforeAutospacing="0" w:afterAutospacing="0"/>
              <w:ind w:left="0" w:leftChars="0" w:right="0" w:firstLine="0" w:firstLineChars="0"/>
              <w:rPr>
                <w:rFonts w:hint="default" w:ascii="Times New Roman" w:hAnsi="Times New Roman" w:cs="Times New Roman"/>
                <w:color w:val="000000" w:themeColor="text1"/>
                <w:spacing w:val="0"/>
                <w:sz w:val="24"/>
                <w:szCs w:val="24"/>
                <w:highlight w:val="green"/>
                <w14:textFill>
                  <w14:solidFill>
                    <w14:schemeClr w14:val="tx1"/>
                  </w14:solidFill>
                </w14:textFill>
              </w:rPr>
            </w:pPr>
          </w:p>
        </w:tc>
      </w:tr>
    </w:tbl>
    <w:p w14:paraId="2AFC052E">
      <w:pPr>
        <w:pageBreakBefore w:val="0"/>
        <w:wordWrap/>
        <w:bidi w:val="0"/>
        <w:adjustRightInd w:val="0"/>
        <w:snapToGrid w:val="0"/>
        <w:rPr>
          <w:rFonts w:hint="default" w:ascii="Times New Roman" w:hAnsi="Times New Roman" w:cs="Times New Roman"/>
          <w:color w:val="000000" w:themeColor="text1"/>
          <w:spacing w:val="0"/>
          <w:sz w:val="24"/>
          <w:highlight w:val="green"/>
          <w14:textFill>
            <w14:solidFill>
              <w14:schemeClr w14:val="tx1"/>
            </w14:solidFill>
          </w14:textFill>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cols w:space="720" w:num="1"/>
          <w:docGrid w:linePitch="312" w:charSpace="0"/>
        </w:sectPr>
      </w:pPr>
    </w:p>
    <w:p w14:paraId="4206D7C3">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pPr>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二、建设项目工程分析</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8607"/>
      </w:tblGrid>
      <w:tr w14:paraId="14D4C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9" w:type="dxa"/>
            <w:noWrap w:val="0"/>
            <w:vAlign w:val="center"/>
          </w:tcPr>
          <w:p w14:paraId="7DDB3E18">
            <w:pPr>
              <w:pStyle w:val="26"/>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建设内容</w:t>
            </w:r>
          </w:p>
        </w:tc>
        <w:tc>
          <w:tcPr>
            <w:tcW w:w="8571" w:type="dxa"/>
            <w:noWrap w:val="0"/>
            <w:vAlign w:val="top"/>
          </w:tcPr>
          <w:p w14:paraId="44376D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auto"/>
                <w:spacing w:val="0"/>
                <w:sz w:val="24"/>
                <w:szCs w:val="24"/>
                <w:highlight w:val="none"/>
                <w:lang w:val="en-US" w:eastAsia="zh-CN"/>
              </w:rPr>
              <w:t>一</w:t>
            </w:r>
            <w:r>
              <w:rPr>
                <w:rFonts w:hint="default" w:ascii="Times New Roman" w:hAnsi="Times New Roman" w:eastAsia="宋体" w:cs="Times New Roman"/>
                <w:b/>
                <w:bCs/>
                <w:color w:val="auto"/>
                <w:spacing w:val="0"/>
                <w:sz w:val="24"/>
                <w:szCs w:val="24"/>
                <w:highlight w:val="none"/>
              </w:rPr>
              <w:t>、项目背景</w:t>
            </w:r>
          </w:p>
          <w:p w14:paraId="45BDC8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green"/>
                <w:lang w:val="en-US" w:eastAsia="zh-CN"/>
                <w14:textFill>
                  <w14:solidFill>
                    <w14:schemeClr w14:val="tx1"/>
                  </w14:solidFill>
                </w14:textFill>
              </w:rPr>
            </w:pPr>
            <w:r>
              <w:rPr>
                <w:rFonts w:hint="default" w:ascii="Times New Roman" w:hAnsi="Times New Roman" w:cs="Times New Roman"/>
                <w:snapToGrid w:val="0"/>
                <w:kern w:val="0"/>
                <w:sz w:val="24"/>
                <w:highlight w:val="none"/>
              </w:rPr>
              <w:t>随着城市化水平不断发展和工业经济的</w:t>
            </w:r>
            <w:r>
              <w:rPr>
                <w:rFonts w:hint="default" w:ascii="Times New Roman" w:hAnsi="Times New Roman" w:cs="Times New Roman"/>
                <w:snapToGrid w:val="0"/>
                <w:kern w:val="0"/>
                <w:sz w:val="24"/>
                <w:highlight w:val="none"/>
                <w:lang w:eastAsia="zh-CN"/>
              </w:rPr>
              <w:t>提升</w:t>
            </w:r>
            <w:r>
              <w:rPr>
                <w:rFonts w:hint="default" w:ascii="Times New Roman" w:hAnsi="Times New Roman" w:cs="Times New Roman"/>
                <w:snapToGrid w:val="0"/>
                <w:kern w:val="0"/>
                <w:sz w:val="24"/>
                <w:highlight w:val="none"/>
              </w:rPr>
              <w:t>，</w:t>
            </w:r>
            <w:r>
              <w:rPr>
                <w:rFonts w:hint="default" w:ascii="Times New Roman" w:hAnsi="Times New Roman" w:cs="Times New Roman"/>
                <w:sz w:val="24"/>
                <w:highlight w:val="none"/>
              </w:rPr>
              <w:t>一般固废的数量不断增长。一般固体废物如不采取合理、规范、严格的工艺流程和设施进行安全处</w:t>
            </w:r>
            <w:r>
              <w:rPr>
                <w:rFonts w:hint="eastAsia" w:cs="Times New Roman"/>
                <w:sz w:val="24"/>
                <w:highlight w:val="none"/>
                <w:lang w:eastAsia="zh-CN"/>
              </w:rPr>
              <w:t>理和</w:t>
            </w:r>
            <w:r>
              <w:rPr>
                <w:rFonts w:hint="default" w:ascii="Times New Roman" w:hAnsi="Times New Roman" w:cs="Times New Roman"/>
                <w:sz w:val="24"/>
                <w:highlight w:val="none"/>
              </w:rPr>
              <w:t>处置，将会对自然环境和生态环境产生严重的污染和破坏，影响经济的可持续发展</w:t>
            </w:r>
            <w:r>
              <w:rPr>
                <w:rFonts w:hint="default" w:ascii="Times New Roman" w:hAnsi="Times New Roman" w:cs="Times New Roman"/>
                <w:sz w:val="24"/>
                <w:highlight w:val="none"/>
                <w:lang w:eastAsia="zh-CN"/>
              </w:rPr>
              <w:t>。</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唐山市“十四五”时期“无废城市”建设工作方案》中提出：“促进大宗工业固体废物综合利用。以煤矸石、粉煤灰、尾矿（共伴生矿）、冶炼渣、工业副产石膏、化工废渣等大宗工业固体废物为重点，支持大掺量、规模化、高值化利用，扩大在生态修复、绿色建材、交通工程等领域的利用规模。推动工业固体废物在厂区内、园区内、市域内协同循环利用，培育一批示范园区、企业”。</w:t>
            </w:r>
          </w:p>
          <w:p w14:paraId="74DC79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cs="Times New Roman"/>
                <w:snapToGrid w:val="0"/>
                <w:kern w:val="0"/>
                <w:sz w:val="24"/>
                <w:highlight w:val="none"/>
                <w:lang w:val="en-US" w:eastAsia="zh-CN"/>
              </w:rPr>
              <w:t>为了响应</w:t>
            </w:r>
            <w:r>
              <w:rPr>
                <w:rFonts w:hint="eastAsia" w:cs="Times New Roman"/>
                <w:snapToGrid w:val="0"/>
                <w:kern w:val="0"/>
                <w:sz w:val="24"/>
                <w:highlight w:val="none"/>
                <w:lang w:val="en-US" w:eastAsia="zh-CN"/>
              </w:rPr>
              <w:t>“无废城市”</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建设的</w:t>
            </w:r>
            <w:r>
              <w:rPr>
                <w:rFonts w:hint="default" w:ascii="Times New Roman" w:hAnsi="Times New Roman" w:cs="Times New Roman"/>
                <w:snapToGrid w:val="0"/>
                <w:kern w:val="0"/>
                <w:sz w:val="24"/>
                <w:highlight w:val="none"/>
                <w:lang w:val="en-US" w:eastAsia="zh-CN"/>
              </w:rPr>
              <w:t>号召，</w:t>
            </w:r>
            <w:r>
              <w:rPr>
                <w:rFonts w:hint="default" w:ascii="Times New Roman" w:hAnsi="Times New Roman" w:cs="Times New Roman"/>
                <w:snapToGrid w:val="0"/>
                <w:kern w:val="0"/>
                <w:sz w:val="24"/>
                <w:highlight w:val="none"/>
              </w:rPr>
              <w:t>加强工业</w:t>
            </w:r>
            <w:r>
              <w:rPr>
                <w:rFonts w:hint="default" w:ascii="Times New Roman" w:hAnsi="Times New Roman" w:cs="Times New Roman"/>
                <w:snapToGrid w:val="0"/>
                <w:kern w:val="0"/>
                <w:sz w:val="24"/>
                <w:highlight w:val="none"/>
                <w:lang w:val="en-US" w:eastAsia="zh-CN"/>
              </w:rPr>
              <w:t>固废</w:t>
            </w:r>
            <w:r>
              <w:rPr>
                <w:rFonts w:hint="default" w:ascii="Times New Roman" w:hAnsi="Times New Roman" w:cs="Times New Roman"/>
                <w:snapToGrid w:val="0"/>
                <w:kern w:val="0"/>
                <w:sz w:val="24"/>
                <w:highlight w:val="none"/>
              </w:rPr>
              <w:t>综合利用，</w:t>
            </w:r>
            <w:r>
              <w:rPr>
                <w:rFonts w:hint="default" w:ascii="Times New Roman" w:hAnsi="Times New Roman" w:cs="Times New Roman"/>
                <w:snapToGrid w:val="0"/>
                <w:kern w:val="0"/>
                <w:sz w:val="24"/>
                <w:highlight w:val="none"/>
                <w:lang w:val="en-US" w:eastAsia="zh-CN"/>
              </w:rPr>
              <w:t>变废为宝，</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河北实远环保科技有限公司</w:t>
            </w:r>
            <w:r>
              <w:rPr>
                <w:rFonts w:hint="default" w:ascii="Times New Roman" w:hAnsi="Times New Roman" w:cs="Times New Roman"/>
                <w:color w:val="000000" w:themeColor="text1"/>
                <w:spacing w:val="0"/>
                <w:sz w:val="24"/>
                <w:szCs w:val="24"/>
                <w:highlight w:val="none"/>
                <w:lang w:val="en-US" w:eastAsia="zh-CN"/>
                <w14:textFill>
                  <w14:solidFill>
                    <w14:schemeClr w14:val="tx1"/>
                  </w14:solidFill>
                </w14:textFill>
              </w:rPr>
              <w:t>拟投资建设</w:t>
            </w:r>
            <w:r>
              <w:rPr>
                <w:rFonts w:hint="default" w:ascii="Times New Roman" w:hAnsi="Times New Roman" w:cs="Times New Roman"/>
                <w:color w:val="000000"/>
                <w:sz w:val="24"/>
                <w:szCs w:val="24"/>
                <w:highlight w:val="none"/>
                <w:lang w:eastAsia="zh-CN"/>
              </w:rPr>
              <w:t>河北实远环保科技有限公司固废无害化处置、再利用项目，</w:t>
            </w:r>
            <w:r>
              <w:rPr>
                <w:rFonts w:hint="default" w:ascii="Times New Roman" w:hAnsi="Times New Roman" w:cs="Times New Roman"/>
                <w:color w:val="000000"/>
                <w:sz w:val="24"/>
                <w:szCs w:val="24"/>
                <w:highlight w:val="none"/>
                <w:lang w:val="en-US" w:eastAsia="zh-CN"/>
              </w:rPr>
              <w:t>利用一般固废生产免烧砖、替代燃烧颗粒、营养土等。</w:t>
            </w:r>
          </w:p>
          <w:p w14:paraId="42C54EA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根据《中华人民共和国环境保护法</w:t>
            </w:r>
            <w:r>
              <w:rPr>
                <w:rFonts w:hint="eastAsia"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中华人民共和国环境影响评价法</w:t>
            </w:r>
            <w:r>
              <w:rPr>
                <w:rFonts w:hint="eastAsia" w:cs="Times New Roman"/>
                <w:color w:val="000000" w:themeColor="text1"/>
                <w:spacing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建设项目环境保护管理条例》及《建设项目环境影响评价分类管理名录》中的有关规定，本项目需进行环境影响评价。按照《建设项目环境影响评价分类管理名录》的有关规定，</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项目属于“</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四十七、生态保护和环境治理业-103一般工业固体废物（含污水处理污泥）建筑施工废弃物处置及综合利用</w:t>
            </w:r>
            <w:r>
              <w:rPr>
                <w:rFonts w:hint="default" w:ascii="Times New Roman" w:hAnsi="Times New Roman" w:cs="Times New Roman"/>
                <w:b w:val="0"/>
                <w:bCs w:val="0"/>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szCs w:val="24"/>
                <w:highlight w:val="none"/>
                <w:lang w:val="en-US" w:eastAsia="zh-CN"/>
                <w14:textFill>
                  <w14:solidFill>
                    <w14:schemeClr w14:val="tx1"/>
                  </w14:solidFill>
                </w14:textFill>
              </w:rPr>
              <w:t>其他</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需编制环境影响报告表。</w:t>
            </w:r>
          </w:p>
          <w:p w14:paraId="01EB49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受</w:t>
            </w:r>
            <w:r>
              <w:rPr>
                <w:rFonts w:hint="default" w:ascii="Times New Roman" w:hAnsi="Times New Roman" w:cs="Times New Roman"/>
                <w:color w:val="000000" w:themeColor="text1"/>
                <w:spacing w:val="0"/>
                <w:sz w:val="24"/>
                <w:szCs w:val="24"/>
                <w:highlight w:val="none"/>
                <w:lang w:eastAsia="zh-CN"/>
                <w14:textFill>
                  <w14:solidFill>
                    <w14:schemeClr w14:val="tx1"/>
                  </w14:solidFill>
                </w14:textFill>
              </w:rPr>
              <w:t>河北实远环保科技有限公司</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委托，我公司承担了本项目的环境影响评价工作，</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在</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接受任务后，经现场踏勘，收集相关资料后，编制完成了该项目环境影响报告表。</w:t>
            </w:r>
          </w:p>
          <w:p w14:paraId="5C4808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bCs/>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4"/>
                <w:szCs w:val="24"/>
                <w:highlight w:val="none"/>
                <w:lang w:val="en-US" w:eastAsia="zh-CN"/>
                <w14:textFill>
                  <w14:solidFill>
                    <w14:schemeClr w14:val="tx1"/>
                  </w14:solidFill>
                </w14:textFill>
              </w:rPr>
              <w:t>二、工程概况</w:t>
            </w:r>
          </w:p>
          <w:p w14:paraId="2C3BBF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yellow"/>
                <w:lang w:eastAsia="zh-CN"/>
              </w:rPr>
            </w:pPr>
            <w:r>
              <w:rPr>
                <w:rFonts w:hint="default" w:ascii="Times New Roman" w:hAnsi="Times New Roman" w:eastAsia="宋体" w:cs="Times New Roman"/>
                <w:color w:val="000000"/>
                <w:sz w:val="24"/>
                <w:szCs w:val="24"/>
                <w:highlight w:val="none"/>
              </w:rPr>
              <w:t>1、项目名称：</w:t>
            </w:r>
            <w:r>
              <w:rPr>
                <w:rFonts w:hint="default" w:ascii="Times New Roman" w:hAnsi="Times New Roman" w:cs="Times New Roman"/>
                <w:color w:val="000000"/>
                <w:sz w:val="24"/>
                <w:szCs w:val="24"/>
                <w:highlight w:val="none"/>
                <w:lang w:eastAsia="zh-CN"/>
              </w:rPr>
              <w:t>河北实远环保科技有限公司固废无害化处置、再利用项目</w:t>
            </w:r>
          </w:p>
          <w:p w14:paraId="5E7A1E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2、建设单位：</w:t>
            </w:r>
            <w:r>
              <w:rPr>
                <w:rFonts w:hint="default" w:ascii="Times New Roman" w:hAnsi="Times New Roman" w:cs="Times New Roman"/>
                <w:color w:val="000000"/>
                <w:sz w:val="24"/>
                <w:szCs w:val="24"/>
                <w:highlight w:val="none"/>
                <w:lang w:eastAsia="zh-CN"/>
              </w:rPr>
              <w:t>河北实远环保科技有限公司</w:t>
            </w:r>
          </w:p>
          <w:p w14:paraId="5C0C1F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3、建设性质：</w:t>
            </w:r>
            <w:r>
              <w:rPr>
                <w:rFonts w:hint="default" w:ascii="Times New Roman" w:hAnsi="Times New Roman" w:cs="Times New Roman"/>
                <w:color w:val="000000"/>
                <w:sz w:val="24"/>
                <w:szCs w:val="24"/>
                <w:highlight w:val="none"/>
                <w:lang w:val="en-US" w:eastAsia="zh-CN"/>
              </w:rPr>
              <w:t>新</w:t>
            </w:r>
            <w:r>
              <w:rPr>
                <w:rFonts w:hint="default" w:ascii="Times New Roman" w:hAnsi="Times New Roman" w:eastAsia="宋体" w:cs="Times New Roman"/>
                <w:color w:val="000000"/>
                <w:sz w:val="24"/>
                <w:szCs w:val="24"/>
                <w:highlight w:val="none"/>
                <w:lang w:val="en-US" w:eastAsia="zh-CN"/>
              </w:rPr>
              <w:t>建</w:t>
            </w:r>
          </w:p>
          <w:p w14:paraId="208DFF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kern w:val="24"/>
                <w:sz w:val="24"/>
                <w:szCs w:val="24"/>
                <w:highlight w:val="none"/>
                <w:lang w:eastAsia="zh-CN"/>
              </w:rPr>
            </w:pPr>
            <w:r>
              <w:rPr>
                <w:rFonts w:hint="default" w:ascii="Times New Roman" w:hAnsi="Times New Roman" w:eastAsia="宋体" w:cs="Times New Roman"/>
                <w:color w:val="000000"/>
                <w:sz w:val="24"/>
                <w:szCs w:val="24"/>
                <w:highlight w:val="none"/>
              </w:rPr>
              <w:t>4、建设地点：</w:t>
            </w:r>
            <w:r>
              <w:rPr>
                <w:rFonts w:hint="default" w:ascii="Times New Roman" w:hAnsi="Times New Roman" w:eastAsia="宋体" w:cs="Times New Roman"/>
                <w:color w:val="000000"/>
                <w:sz w:val="24"/>
                <w:szCs w:val="24"/>
                <w:highlight w:val="none"/>
                <w:lang w:eastAsia="zh-CN"/>
              </w:rPr>
              <w:t>河北迁安经济开发区纬九街北侧、经十一路东侧</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迁安市仁通金属制品有限公司院内</w:t>
            </w:r>
            <w:r>
              <w:rPr>
                <w:rFonts w:hint="default" w:ascii="Times New Roman" w:hAnsi="Times New Roman" w:cs="Times New Roman"/>
                <w:color w:val="000000"/>
                <w:sz w:val="24"/>
                <w:szCs w:val="24"/>
                <w:highlight w:val="none"/>
                <w:lang w:val="en-US" w:eastAsia="zh-CN"/>
              </w:rPr>
              <w:t>1</w:t>
            </w:r>
            <w:r>
              <w:rPr>
                <w:rFonts w:hint="default" w:ascii="Times New Roman" w:hAnsi="Times New Roman" w:eastAsia="宋体" w:cs="Times New Roman"/>
                <w:color w:val="000000"/>
                <w:sz w:val="24"/>
                <w:szCs w:val="24"/>
                <w:highlight w:val="none"/>
                <w:lang w:eastAsia="zh-CN"/>
              </w:rPr>
              <w:t>号</w:t>
            </w:r>
            <w:r>
              <w:rPr>
                <w:rFonts w:hint="default" w:ascii="Times New Roman" w:hAnsi="Times New Roman"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eastAsia="zh-CN"/>
              </w:rPr>
              <w:t>号厂房</w:t>
            </w:r>
            <w:r>
              <w:rPr>
                <w:rFonts w:hint="default" w:ascii="Times New Roman" w:hAnsi="Times New Roman" w:cs="Times New Roman"/>
                <w:color w:val="000000"/>
                <w:sz w:val="24"/>
                <w:szCs w:val="24"/>
                <w:highlight w:val="none"/>
                <w:lang w:eastAsia="zh-CN"/>
              </w:rPr>
              <w:t>）</w:t>
            </w:r>
          </w:p>
          <w:p w14:paraId="073431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green"/>
              </w:rPr>
            </w:pPr>
            <w:r>
              <w:rPr>
                <w:rFonts w:hint="default" w:ascii="Times New Roman" w:hAnsi="Times New Roman" w:eastAsia="宋体" w:cs="Times New Roman"/>
                <w:color w:val="000000"/>
                <w:sz w:val="24"/>
                <w:szCs w:val="24"/>
                <w:highlight w:val="none"/>
              </w:rPr>
              <w:t>5、</w:t>
            </w:r>
            <w:r>
              <w:rPr>
                <w:rFonts w:hint="default" w:ascii="Times New Roman" w:hAnsi="Times New Roman" w:eastAsia="宋体" w:cs="Times New Roman"/>
                <w:bCs/>
                <w:color w:val="000000"/>
                <w:sz w:val="24"/>
                <w:szCs w:val="24"/>
                <w:highlight w:val="none"/>
              </w:rPr>
              <w:t>工程投资：总投资</w:t>
            </w:r>
            <w:r>
              <w:rPr>
                <w:rFonts w:hint="default" w:ascii="Times New Roman" w:hAnsi="Times New Roman" w:eastAsia="宋体" w:cs="Times New Roman"/>
                <w:bCs/>
                <w:color w:val="000000"/>
                <w:sz w:val="24"/>
                <w:szCs w:val="24"/>
                <w:highlight w:val="none"/>
                <w:lang w:val="en-US" w:eastAsia="zh-CN"/>
              </w:rPr>
              <w:t>10</w:t>
            </w:r>
            <w:r>
              <w:rPr>
                <w:rFonts w:hint="default" w:ascii="Times New Roman" w:hAnsi="Times New Roman" w:cs="Times New Roman"/>
                <w:bCs/>
                <w:color w:val="000000"/>
                <w:sz w:val="24"/>
                <w:szCs w:val="24"/>
                <w:highlight w:val="none"/>
                <w:lang w:val="en-US" w:eastAsia="zh-CN"/>
              </w:rPr>
              <w:t>5</w:t>
            </w:r>
            <w:r>
              <w:rPr>
                <w:rFonts w:hint="default" w:ascii="Times New Roman" w:hAnsi="Times New Roman" w:eastAsia="宋体" w:cs="Times New Roman"/>
                <w:bCs/>
                <w:color w:val="000000"/>
                <w:sz w:val="24"/>
                <w:szCs w:val="24"/>
                <w:highlight w:val="none"/>
                <w:lang w:val="en-US" w:eastAsia="zh-CN"/>
              </w:rPr>
              <w:t>00万元</w:t>
            </w:r>
            <w:r>
              <w:rPr>
                <w:rFonts w:hint="default" w:ascii="Times New Roman" w:hAnsi="Times New Roman" w:eastAsia="宋体" w:cs="Times New Roman"/>
                <w:bCs/>
                <w:color w:val="000000"/>
                <w:sz w:val="24"/>
                <w:szCs w:val="24"/>
                <w:highlight w:val="none"/>
              </w:rPr>
              <w:t>，其中环保投资</w:t>
            </w:r>
            <w:r>
              <w:rPr>
                <w:rFonts w:hint="default" w:ascii="Times New Roman" w:hAnsi="Times New Roman" w:eastAsia="宋体" w:cs="Times New Roman"/>
                <w:bCs/>
                <w:color w:val="000000"/>
                <w:sz w:val="24"/>
                <w:szCs w:val="24"/>
                <w:highlight w:val="none"/>
                <w:lang w:val="en-US" w:eastAsia="zh-CN"/>
              </w:rPr>
              <w:t>20</w:t>
            </w:r>
            <w:r>
              <w:rPr>
                <w:rFonts w:hint="default" w:ascii="Times New Roman" w:hAnsi="Times New Roman" w:cs="Times New Roman"/>
                <w:bCs/>
                <w:color w:val="000000"/>
                <w:sz w:val="24"/>
                <w:szCs w:val="24"/>
                <w:highlight w:val="none"/>
                <w:lang w:val="en-US" w:eastAsia="zh-CN"/>
              </w:rPr>
              <w:t>0</w:t>
            </w:r>
            <w:r>
              <w:rPr>
                <w:rFonts w:hint="default" w:ascii="Times New Roman" w:hAnsi="Times New Roman" w:eastAsia="宋体" w:cs="Times New Roman"/>
                <w:bCs/>
                <w:color w:val="000000"/>
                <w:sz w:val="24"/>
                <w:szCs w:val="24"/>
                <w:highlight w:val="none"/>
              </w:rPr>
              <w:t>万元，占总投资额的</w:t>
            </w:r>
            <w:r>
              <w:rPr>
                <w:rFonts w:hint="default" w:ascii="Times New Roman" w:hAnsi="Times New Roman" w:cs="Times New Roman"/>
                <w:bCs/>
                <w:color w:val="000000"/>
                <w:sz w:val="24"/>
                <w:szCs w:val="24"/>
                <w:highlight w:val="none"/>
                <w:lang w:val="en-US" w:eastAsia="zh-CN"/>
              </w:rPr>
              <w:t>1.9</w:t>
            </w:r>
            <w:r>
              <w:rPr>
                <w:rFonts w:hint="default" w:ascii="Times New Roman" w:hAnsi="Times New Roman" w:eastAsia="宋体" w:cs="Times New Roman"/>
                <w:bCs/>
                <w:color w:val="000000"/>
                <w:sz w:val="24"/>
                <w:szCs w:val="24"/>
                <w:highlight w:val="none"/>
              </w:rPr>
              <w:t>%。</w:t>
            </w:r>
          </w:p>
          <w:p w14:paraId="10EDD6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6、工作制度及劳动定员：本项目劳动定员</w:t>
            </w:r>
            <w:r>
              <w:rPr>
                <w:rFonts w:hint="default" w:ascii="Times New Roman" w:hAnsi="Times New Roman" w:cs="Times New Roman"/>
                <w:color w:val="000000"/>
                <w:sz w:val="24"/>
                <w:szCs w:val="24"/>
                <w:highlight w:val="none"/>
                <w:lang w:val="en-US" w:eastAsia="zh-CN"/>
              </w:rPr>
              <w:t>50</w:t>
            </w:r>
            <w:r>
              <w:rPr>
                <w:rFonts w:hint="default" w:ascii="Times New Roman" w:hAnsi="Times New Roman" w:eastAsia="宋体" w:cs="Times New Roman"/>
                <w:color w:val="000000"/>
                <w:sz w:val="24"/>
                <w:szCs w:val="24"/>
                <w:highlight w:val="none"/>
              </w:rPr>
              <w:t>人，3班24小时工作制，年生产</w:t>
            </w:r>
            <w:r>
              <w:rPr>
                <w:rFonts w:hint="default" w:ascii="Times New Roman" w:hAnsi="Times New Roman" w:eastAsia="宋体" w:cs="Times New Roman"/>
                <w:color w:val="000000"/>
                <w:sz w:val="24"/>
                <w:szCs w:val="24"/>
                <w:highlight w:val="none"/>
                <w:lang w:val="en-US" w:eastAsia="zh-CN"/>
              </w:rPr>
              <w:t>7200h</w:t>
            </w:r>
            <w:r>
              <w:rPr>
                <w:rFonts w:hint="default" w:ascii="Times New Roman" w:hAnsi="Times New Roman" w:eastAsia="宋体" w:cs="Times New Roman"/>
                <w:color w:val="000000"/>
                <w:sz w:val="24"/>
                <w:szCs w:val="24"/>
                <w:highlight w:val="none"/>
              </w:rPr>
              <w:t>。</w:t>
            </w:r>
          </w:p>
          <w:p w14:paraId="769F31A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7、主要建设内容及规模：</w:t>
            </w:r>
          </w:p>
          <w:p w14:paraId="5378CC21">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项目占地面积约</w:t>
            </w:r>
            <w:r>
              <w:rPr>
                <w:rFonts w:hint="default" w:ascii="Times New Roman" w:hAnsi="Times New Roman" w:cs="Times New Roman"/>
                <w:color w:val="000000"/>
                <w:kern w:val="2"/>
                <w:sz w:val="24"/>
                <w:szCs w:val="24"/>
                <w:highlight w:val="none"/>
                <w:lang w:val="en-US" w:eastAsia="zh-CN" w:bidi="ar-SA"/>
              </w:rPr>
              <w:t>39.43</w:t>
            </w:r>
            <w:r>
              <w:rPr>
                <w:rFonts w:hint="default" w:ascii="Times New Roman" w:hAnsi="Times New Roman" w:eastAsia="宋体" w:cs="Times New Roman"/>
                <w:color w:val="000000"/>
                <w:kern w:val="2"/>
                <w:sz w:val="24"/>
                <w:szCs w:val="24"/>
                <w:highlight w:val="none"/>
                <w:lang w:val="en-US" w:eastAsia="zh-CN" w:bidi="ar-SA"/>
              </w:rPr>
              <w:t>亩，建设</w:t>
            </w:r>
            <w:r>
              <w:rPr>
                <w:rFonts w:hint="default" w:ascii="Times New Roman" w:hAnsi="Times New Roman" w:cs="Times New Roman"/>
                <w:color w:val="000000"/>
                <w:kern w:val="2"/>
                <w:sz w:val="24"/>
                <w:szCs w:val="24"/>
                <w:highlight w:val="none"/>
                <w:lang w:val="en-US" w:eastAsia="zh-CN" w:bidi="ar-SA"/>
              </w:rPr>
              <w:t>1</w:t>
            </w:r>
            <w:r>
              <w:rPr>
                <w:rFonts w:hint="default" w:ascii="Times New Roman" w:hAnsi="Times New Roman" w:eastAsia="宋体" w:cs="Times New Roman"/>
                <w:color w:val="000000"/>
                <w:kern w:val="2"/>
                <w:sz w:val="24"/>
                <w:szCs w:val="24"/>
                <w:highlight w:val="none"/>
                <w:lang w:val="en-US" w:eastAsia="zh-CN" w:bidi="ar-SA"/>
              </w:rPr>
              <w:t>条固废烘干生产线，</w:t>
            </w:r>
            <w:r>
              <w:rPr>
                <w:rFonts w:hint="default" w:ascii="Times New Roman" w:hAnsi="Times New Roman" w:cs="Times New Roman"/>
                <w:color w:val="000000"/>
                <w:kern w:val="2"/>
                <w:sz w:val="24"/>
                <w:szCs w:val="24"/>
                <w:highlight w:val="none"/>
                <w:lang w:val="en-US" w:eastAsia="zh-CN" w:bidi="ar-SA"/>
              </w:rPr>
              <w:t>1</w:t>
            </w:r>
            <w:r>
              <w:rPr>
                <w:rFonts w:hint="default" w:ascii="Times New Roman" w:hAnsi="Times New Roman" w:eastAsia="宋体" w:cs="Times New Roman"/>
                <w:color w:val="000000"/>
                <w:kern w:val="2"/>
                <w:sz w:val="24"/>
                <w:szCs w:val="24"/>
                <w:highlight w:val="none"/>
                <w:lang w:val="en-US" w:eastAsia="zh-CN" w:bidi="ar-SA"/>
              </w:rPr>
              <w:t>条固废制砖生产线，1条替代燃烧颗粒生产线，</w:t>
            </w:r>
            <w:r>
              <w:rPr>
                <w:rFonts w:hint="default" w:ascii="Times New Roman" w:hAnsi="Times New Roman" w:cs="Times New Roman"/>
                <w:color w:val="000000"/>
                <w:kern w:val="2"/>
                <w:sz w:val="24"/>
                <w:szCs w:val="24"/>
                <w:highlight w:val="none"/>
                <w:lang w:val="en-US" w:eastAsia="zh-CN" w:bidi="ar-SA"/>
              </w:rPr>
              <w:t>1条营养土发酵生产线，</w:t>
            </w:r>
            <w:r>
              <w:rPr>
                <w:rFonts w:hint="default" w:ascii="Times New Roman" w:hAnsi="Times New Roman" w:eastAsia="宋体" w:cs="Times New Roman"/>
                <w:color w:val="000000"/>
                <w:kern w:val="2"/>
                <w:sz w:val="24"/>
                <w:szCs w:val="24"/>
                <w:highlight w:val="none"/>
                <w:lang w:val="en-US" w:eastAsia="zh-CN" w:bidi="ar-SA"/>
              </w:rPr>
              <w:t>利用院内原有厂房建设生产车间、办公楼，总建筑面积</w:t>
            </w:r>
            <w:r>
              <w:rPr>
                <w:rFonts w:hint="default" w:ascii="Times New Roman" w:hAnsi="Times New Roman" w:cs="Times New Roman"/>
                <w:color w:val="000000"/>
                <w:kern w:val="2"/>
                <w:sz w:val="24"/>
                <w:szCs w:val="24"/>
                <w:highlight w:val="none"/>
                <w:lang w:val="en-US" w:eastAsia="zh-CN" w:bidi="ar-SA"/>
              </w:rPr>
              <w:t>18942.13</w:t>
            </w:r>
            <w:r>
              <w:rPr>
                <w:rFonts w:hint="default" w:ascii="Times New Roman" w:hAnsi="Times New Roman" w:eastAsia="宋体" w:cs="Times New Roman"/>
                <w:color w:val="000000"/>
                <w:kern w:val="2"/>
                <w:sz w:val="24"/>
                <w:szCs w:val="24"/>
                <w:highlight w:val="none"/>
                <w:lang w:val="en-US" w:eastAsia="zh-CN" w:bidi="ar-SA"/>
              </w:rPr>
              <w:t>㎡，购置安装搅拌式滚筒干燥机、打碎机、搅拌机、发酵池、粉碎机、撕碎机、造粒机、免压砖压型机、负压抽风装置、信息化智慧管理平台及在线监测平台等设备，项目建成后，每年可处置一般固体废物量51万吨。</w:t>
            </w:r>
          </w:p>
          <w:p w14:paraId="75D333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center"/>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表</w:t>
            </w:r>
            <w:r>
              <w:rPr>
                <w:rFonts w:hint="default" w:ascii="Times New Roman" w:hAnsi="Times New Roman" w:eastAsia="宋体" w:cs="Times New Roman"/>
                <w:b/>
                <w:bCs/>
                <w:color w:val="000000"/>
                <w:sz w:val="24"/>
                <w:szCs w:val="24"/>
                <w:highlight w:val="none"/>
                <w:lang w:val="en-US" w:eastAsia="zh-CN"/>
              </w:rPr>
              <w:t>2-</w:t>
            </w:r>
            <w:r>
              <w:rPr>
                <w:rFonts w:hint="default" w:ascii="Times New Roman" w:hAnsi="Times New Roman" w:cs="Times New Roman"/>
                <w:b/>
                <w:bCs/>
                <w:color w:val="000000"/>
                <w:sz w:val="24"/>
                <w:szCs w:val="24"/>
                <w:highlight w:val="none"/>
                <w:lang w:val="en-US" w:eastAsia="zh-CN"/>
              </w:rPr>
              <w:t>1</w:t>
            </w:r>
            <w:r>
              <w:rPr>
                <w:rFonts w:hint="default" w:ascii="Times New Roman" w:hAnsi="Times New Roman" w:eastAsia="宋体" w:cs="Times New Roman"/>
                <w:b/>
                <w:bCs/>
                <w:color w:val="000000"/>
                <w:sz w:val="24"/>
                <w:szCs w:val="24"/>
                <w:highlight w:val="none"/>
                <w:lang w:val="en-US" w:eastAsia="zh-CN"/>
              </w:rPr>
              <w:t xml:space="preserve">    </w:t>
            </w:r>
            <w:r>
              <w:rPr>
                <w:rFonts w:hint="default" w:ascii="Times New Roman" w:hAnsi="Times New Roman" w:eastAsia="宋体" w:cs="Times New Roman"/>
                <w:b/>
                <w:bCs/>
                <w:color w:val="000000"/>
                <w:sz w:val="24"/>
                <w:szCs w:val="24"/>
                <w:highlight w:val="none"/>
              </w:rPr>
              <w:t>项目工程内容一览表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657"/>
              <w:gridCol w:w="670"/>
              <w:gridCol w:w="6211"/>
            </w:tblGrid>
            <w:tr w14:paraId="7EEB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292" w:type="pct"/>
                  <w:gridSpan w:val="3"/>
                  <w:tcBorders>
                    <w:tl2br w:val="nil"/>
                    <w:tr2bl w:val="nil"/>
                  </w:tcBorders>
                  <w:vAlign w:val="center"/>
                </w:tcPr>
                <w:p w14:paraId="25EFB44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项目</w:t>
                  </w:r>
                </w:p>
              </w:tc>
              <w:tc>
                <w:tcPr>
                  <w:tcW w:w="3707" w:type="pct"/>
                  <w:tcBorders>
                    <w:tl2br w:val="nil"/>
                    <w:tr2bl w:val="nil"/>
                  </w:tcBorders>
                  <w:vAlign w:val="center"/>
                </w:tcPr>
                <w:p w14:paraId="115AC61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val="zh-CN"/>
                    </w:rPr>
                    <w:t>工程内容</w:t>
                  </w:r>
                </w:p>
              </w:tc>
            </w:tr>
            <w:tr w14:paraId="34FF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00" w:type="pct"/>
                  <w:vMerge w:val="restart"/>
                  <w:tcBorders>
                    <w:tl2br w:val="nil"/>
                    <w:tr2bl w:val="nil"/>
                  </w:tcBorders>
                  <w:vAlign w:val="center"/>
                </w:tcPr>
                <w:p w14:paraId="3BC7AC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val="zh-CN"/>
                    </w:rPr>
                    <w:t>主体工程</w:t>
                  </w:r>
                </w:p>
              </w:tc>
              <w:tc>
                <w:tcPr>
                  <w:tcW w:w="791" w:type="pct"/>
                  <w:gridSpan w:val="2"/>
                  <w:tcBorders>
                    <w:tl2br w:val="nil"/>
                    <w:tr2bl w:val="nil"/>
                  </w:tcBorders>
                  <w:vAlign w:val="center"/>
                </w:tcPr>
                <w:p w14:paraId="73C6D54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eastAsia="zh-CN"/>
                    </w:rPr>
                  </w:pPr>
                  <w:r>
                    <w:rPr>
                      <w:rFonts w:hint="default" w:ascii="Times New Roman" w:hAnsi="Times New Roman" w:cs="Times New Roman"/>
                      <w:b w:val="0"/>
                      <w:bCs w:val="0"/>
                      <w:color w:val="auto"/>
                      <w:sz w:val="18"/>
                      <w:szCs w:val="18"/>
                      <w:lang w:val="zh-CN"/>
                    </w:rPr>
                    <w:t>生产车间</w:t>
                  </w:r>
                  <w:r>
                    <w:rPr>
                      <w:rFonts w:hint="default" w:ascii="Times New Roman" w:hAnsi="Times New Roman" w:cs="Times New Roman"/>
                      <w:b w:val="0"/>
                      <w:bCs w:val="0"/>
                      <w:color w:val="auto"/>
                      <w:sz w:val="18"/>
                      <w:szCs w:val="18"/>
                      <w:lang w:val="en-US" w:eastAsia="zh-CN"/>
                    </w:rPr>
                    <w:t>1</w:t>
                  </w:r>
                </w:p>
              </w:tc>
              <w:tc>
                <w:tcPr>
                  <w:tcW w:w="3707" w:type="pct"/>
                  <w:tcBorders>
                    <w:tl2br w:val="nil"/>
                    <w:tr2bl w:val="nil"/>
                  </w:tcBorders>
                  <w:vAlign w:val="center"/>
                </w:tcPr>
                <w:p w14:paraId="0DF3F16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rPr>
                    <w:t>建筑面积</w:t>
                  </w:r>
                  <w:r>
                    <w:rPr>
                      <w:rFonts w:hint="default" w:ascii="Times New Roman" w:hAnsi="Times New Roman" w:cs="Times New Roman"/>
                      <w:b w:val="0"/>
                      <w:bCs w:val="0"/>
                      <w:color w:val="auto"/>
                      <w:sz w:val="18"/>
                      <w:szCs w:val="18"/>
                      <w:lang w:val="en-US" w:eastAsia="zh-CN"/>
                    </w:rPr>
                    <w:t>5858.35</w:t>
                  </w:r>
                  <w:r>
                    <w:rPr>
                      <w:rFonts w:hint="default" w:ascii="Times New Roman" w:hAnsi="Times New Roman" w:cs="Times New Roman"/>
                      <w:b w:val="0"/>
                      <w:bCs w:val="0"/>
                      <w:color w:val="auto"/>
                      <w:sz w:val="18"/>
                      <w:szCs w:val="18"/>
                      <w:lang w:val="en-GB"/>
                    </w:rPr>
                    <w:t>m</w:t>
                  </w:r>
                  <w:r>
                    <w:rPr>
                      <w:rFonts w:hint="default" w:ascii="Times New Roman" w:hAnsi="Times New Roman" w:cs="Times New Roman"/>
                      <w:b w:val="0"/>
                      <w:bCs w:val="0"/>
                      <w:color w:val="auto"/>
                      <w:sz w:val="18"/>
                      <w:szCs w:val="18"/>
                      <w:vertAlign w:val="superscript"/>
                    </w:rPr>
                    <w:t>2</w:t>
                  </w:r>
                  <w:r>
                    <w:rPr>
                      <w:rFonts w:hint="default" w:ascii="Times New Roman" w:hAnsi="Times New Roman" w:cs="Times New Roman"/>
                      <w:b w:val="0"/>
                      <w:bCs w:val="0"/>
                      <w:color w:val="auto"/>
                      <w:sz w:val="18"/>
                      <w:szCs w:val="18"/>
                    </w:rPr>
                    <w:t>，单层彩钢结构，建设营养土生产线1条</w:t>
                  </w:r>
                  <w:r>
                    <w:rPr>
                      <w:rFonts w:hint="default" w:ascii="Times New Roman" w:hAnsi="Times New Roman" w:cs="Times New Roman"/>
                      <w:b w:val="0"/>
                      <w:bCs w:val="0"/>
                      <w:color w:val="auto"/>
                      <w:sz w:val="18"/>
                      <w:szCs w:val="18"/>
                      <w:lang w:val="en-US" w:eastAsia="zh-CN"/>
                    </w:rPr>
                    <w:t>和原料储存区</w:t>
                  </w:r>
                </w:p>
              </w:tc>
            </w:tr>
            <w:tr w14:paraId="7A84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00" w:type="pct"/>
                  <w:vMerge w:val="continue"/>
                  <w:tcBorders>
                    <w:tl2br w:val="nil"/>
                    <w:tr2bl w:val="nil"/>
                  </w:tcBorders>
                  <w:vAlign w:val="center"/>
                </w:tcPr>
                <w:p w14:paraId="6CFD43F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78F5721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eastAsia="zh-CN"/>
                    </w:rPr>
                  </w:pPr>
                  <w:r>
                    <w:rPr>
                      <w:rFonts w:hint="default" w:ascii="Times New Roman" w:hAnsi="Times New Roman" w:cs="Times New Roman"/>
                      <w:b w:val="0"/>
                      <w:bCs w:val="0"/>
                      <w:color w:val="auto"/>
                      <w:sz w:val="18"/>
                      <w:szCs w:val="18"/>
                      <w:lang w:val="zh-CN"/>
                    </w:rPr>
                    <w:t>生产车间</w:t>
                  </w:r>
                  <w:r>
                    <w:rPr>
                      <w:rFonts w:hint="default" w:ascii="Times New Roman" w:hAnsi="Times New Roman" w:cs="Times New Roman"/>
                      <w:b w:val="0"/>
                      <w:bCs w:val="0"/>
                      <w:color w:val="auto"/>
                      <w:sz w:val="18"/>
                      <w:szCs w:val="18"/>
                      <w:lang w:val="en-US" w:eastAsia="zh-CN"/>
                    </w:rPr>
                    <w:t>2</w:t>
                  </w:r>
                </w:p>
              </w:tc>
              <w:tc>
                <w:tcPr>
                  <w:tcW w:w="3707" w:type="pct"/>
                  <w:tcBorders>
                    <w:tl2br w:val="nil"/>
                    <w:tr2bl w:val="nil"/>
                  </w:tcBorders>
                  <w:vAlign w:val="center"/>
                </w:tcPr>
                <w:p w14:paraId="4DB8BD0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建筑面积</w:t>
                  </w:r>
                  <w:r>
                    <w:rPr>
                      <w:rFonts w:hint="default" w:ascii="Times New Roman" w:hAnsi="Times New Roman" w:cs="Times New Roman"/>
                      <w:b w:val="0"/>
                      <w:bCs w:val="0"/>
                      <w:color w:val="auto"/>
                      <w:sz w:val="18"/>
                      <w:szCs w:val="18"/>
                      <w:lang w:val="en-US" w:eastAsia="zh-CN"/>
                    </w:rPr>
                    <w:t>10755.97</w:t>
                  </w:r>
                  <w:r>
                    <w:rPr>
                      <w:rFonts w:hint="default" w:ascii="Times New Roman" w:hAnsi="Times New Roman" w:cs="Times New Roman"/>
                      <w:b w:val="0"/>
                      <w:bCs w:val="0"/>
                      <w:color w:val="auto"/>
                      <w:sz w:val="18"/>
                      <w:szCs w:val="18"/>
                      <w:lang w:val="en-GB"/>
                    </w:rPr>
                    <w:t>m</w:t>
                  </w:r>
                  <w:r>
                    <w:rPr>
                      <w:rFonts w:hint="default" w:ascii="Times New Roman" w:hAnsi="Times New Roman" w:cs="Times New Roman"/>
                      <w:b w:val="0"/>
                      <w:bCs w:val="0"/>
                      <w:color w:val="auto"/>
                      <w:sz w:val="18"/>
                      <w:szCs w:val="18"/>
                      <w:vertAlign w:val="superscript"/>
                    </w:rPr>
                    <w:t>2</w:t>
                  </w:r>
                  <w:r>
                    <w:rPr>
                      <w:rFonts w:hint="default" w:ascii="Times New Roman" w:hAnsi="Times New Roman" w:cs="Times New Roman"/>
                      <w:b w:val="0"/>
                      <w:bCs w:val="0"/>
                      <w:color w:val="auto"/>
                      <w:sz w:val="18"/>
                      <w:szCs w:val="18"/>
                    </w:rPr>
                    <w:t>，单层彩钢结构，建设</w:t>
                  </w:r>
                  <w:r>
                    <w:rPr>
                      <w:rFonts w:hint="default" w:ascii="Times New Roman" w:hAnsi="Times New Roman" w:cs="Times New Roman"/>
                      <w:b w:val="0"/>
                      <w:bCs w:val="0"/>
                      <w:color w:val="auto"/>
                      <w:sz w:val="18"/>
                      <w:szCs w:val="18"/>
                      <w:lang w:val="en-US" w:eastAsia="zh-CN"/>
                    </w:rPr>
                    <w:t>成品库、固废烘干生产线1条、</w:t>
                  </w:r>
                  <w:r>
                    <w:rPr>
                      <w:rFonts w:hint="default" w:ascii="Times New Roman" w:hAnsi="Times New Roman" w:cs="Times New Roman"/>
                      <w:b w:val="0"/>
                      <w:bCs w:val="0"/>
                      <w:color w:val="auto"/>
                      <w:sz w:val="18"/>
                      <w:szCs w:val="18"/>
                    </w:rPr>
                    <w:t>替代燃料颗粒生产线1条</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免烧砖</w:t>
                  </w:r>
                  <w:r>
                    <w:rPr>
                      <w:rFonts w:hint="default" w:ascii="Times New Roman" w:hAnsi="Times New Roman" w:cs="Times New Roman"/>
                      <w:b w:val="0"/>
                      <w:bCs w:val="0"/>
                      <w:color w:val="auto"/>
                      <w:sz w:val="18"/>
                      <w:szCs w:val="18"/>
                    </w:rPr>
                    <w:t>生产线1条</w:t>
                  </w:r>
                </w:p>
              </w:tc>
            </w:tr>
            <w:tr w14:paraId="4700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00" w:type="pct"/>
                  <w:vMerge w:val="restart"/>
                  <w:tcBorders>
                    <w:tl2br w:val="nil"/>
                    <w:tr2bl w:val="nil"/>
                  </w:tcBorders>
                  <w:vAlign w:val="center"/>
                </w:tcPr>
                <w:p w14:paraId="72CA823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val="zh-CN"/>
                    </w:rPr>
                    <w:t>辅助工程</w:t>
                  </w:r>
                </w:p>
              </w:tc>
              <w:tc>
                <w:tcPr>
                  <w:tcW w:w="791" w:type="pct"/>
                  <w:gridSpan w:val="2"/>
                  <w:tcBorders>
                    <w:tl2br w:val="nil"/>
                    <w:tr2bl w:val="nil"/>
                  </w:tcBorders>
                  <w:vAlign w:val="center"/>
                </w:tcPr>
                <w:p w14:paraId="4FF2A9E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eastAsia="zh-CN"/>
                    </w:rPr>
                  </w:pPr>
                  <w:r>
                    <w:rPr>
                      <w:rFonts w:hint="default" w:ascii="Times New Roman" w:hAnsi="Times New Roman" w:cs="Times New Roman"/>
                      <w:b w:val="0"/>
                      <w:bCs w:val="0"/>
                      <w:color w:val="auto"/>
                      <w:sz w:val="18"/>
                      <w:szCs w:val="18"/>
                      <w:lang w:val="en-US" w:eastAsia="zh-CN"/>
                    </w:rPr>
                    <w:t>综合楼</w:t>
                  </w:r>
                </w:p>
              </w:tc>
              <w:tc>
                <w:tcPr>
                  <w:tcW w:w="3707" w:type="pct"/>
                  <w:tcBorders>
                    <w:tl2br w:val="nil"/>
                    <w:tr2bl w:val="nil"/>
                  </w:tcBorders>
                  <w:vAlign w:val="center"/>
                </w:tcPr>
                <w:p w14:paraId="3CE2A9E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rPr>
                    <w:t>建筑面积</w:t>
                  </w:r>
                  <w:r>
                    <w:rPr>
                      <w:rFonts w:hint="default" w:ascii="Times New Roman" w:hAnsi="Times New Roman" w:cs="Times New Roman"/>
                      <w:b w:val="0"/>
                      <w:bCs w:val="0"/>
                      <w:color w:val="auto"/>
                      <w:sz w:val="18"/>
                      <w:szCs w:val="18"/>
                      <w:lang w:val="en-US" w:eastAsia="zh-CN"/>
                    </w:rPr>
                    <w:t>2327.81</w:t>
                  </w:r>
                  <w:r>
                    <w:rPr>
                      <w:rFonts w:hint="default" w:ascii="Times New Roman" w:hAnsi="Times New Roman" w:cs="Times New Roman"/>
                      <w:b w:val="0"/>
                      <w:bCs w:val="0"/>
                      <w:color w:val="auto"/>
                      <w:sz w:val="18"/>
                      <w:szCs w:val="18"/>
                      <w:lang w:val="en-GB"/>
                    </w:rPr>
                    <w:t>m</w:t>
                  </w:r>
                  <w:r>
                    <w:rPr>
                      <w:rFonts w:hint="default" w:ascii="Times New Roman" w:hAnsi="Times New Roman" w:cs="Times New Roman"/>
                      <w:b w:val="0"/>
                      <w:bCs w:val="0"/>
                      <w:color w:val="auto"/>
                      <w:sz w:val="18"/>
                      <w:szCs w:val="18"/>
                      <w:vertAlign w:val="superscript"/>
                    </w:rPr>
                    <w:t>2</w:t>
                  </w:r>
                  <w:r>
                    <w:rPr>
                      <w:rFonts w:hint="default" w:ascii="Times New Roman" w:hAnsi="Times New Roman" w:cs="Times New Roman"/>
                      <w:b w:val="0"/>
                      <w:bCs w:val="0"/>
                      <w:color w:val="auto"/>
                      <w:sz w:val="18"/>
                      <w:szCs w:val="18"/>
                    </w:rPr>
                    <w:t>，</w:t>
                  </w:r>
                  <w:r>
                    <w:rPr>
                      <w:rFonts w:hint="default" w:ascii="Times New Roman" w:hAnsi="Times New Roman" w:cs="Times New Roman"/>
                      <w:b w:val="0"/>
                      <w:bCs w:val="0"/>
                      <w:color w:val="auto"/>
                      <w:sz w:val="18"/>
                      <w:szCs w:val="18"/>
                      <w:lang w:val="en-US" w:eastAsia="zh-CN"/>
                    </w:rPr>
                    <w:t>4层</w:t>
                  </w:r>
                  <w:r>
                    <w:rPr>
                      <w:rFonts w:hint="default" w:ascii="Times New Roman" w:hAnsi="Times New Roman" w:cs="Times New Roman"/>
                      <w:b w:val="0"/>
                      <w:bCs w:val="0"/>
                      <w:color w:val="auto"/>
                      <w:sz w:val="18"/>
                      <w:szCs w:val="18"/>
                      <w:lang w:val="en-GB"/>
                    </w:rPr>
                    <w:t>砖混结构</w:t>
                  </w:r>
                  <w:r>
                    <w:rPr>
                      <w:rFonts w:hint="default" w:ascii="Times New Roman" w:hAnsi="Times New Roman" w:cs="Times New Roman"/>
                      <w:b w:val="0"/>
                      <w:bCs w:val="0"/>
                      <w:color w:val="auto"/>
                      <w:sz w:val="18"/>
                      <w:szCs w:val="18"/>
                      <w:lang w:val="en-GB" w:eastAsia="zh-CN"/>
                    </w:rPr>
                    <w:t>，</w:t>
                  </w:r>
                  <w:r>
                    <w:rPr>
                      <w:rFonts w:hint="default" w:ascii="Times New Roman" w:hAnsi="Times New Roman" w:cs="Times New Roman"/>
                      <w:b w:val="0"/>
                      <w:bCs w:val="0"/>
                      <w:color w:val="auto"/>
                      <w:sz w:val="18"/>
                      <w:szCs w:val="18"/>
                      <w:lang w:val="en-US" w:eastAsia="zh-CN"/>
                    </w:rPr>
                    <w:t>用于办公以及实验室实验药剂储存、实验等</w:t>
                  </w:r>
                </w:p>
              </w:tc>
            </w:tr>
            <w:tr w14:paraId="2712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00" w:type="pct"/>
                  <w:vMerge w:val="continue"/>
                  <w:tcBorders>
                    <w:tl2br w:val="nil"/>
                    <w:tr2bl w:val="nil"/>
                  </w:tcBorders>
                  <w:vAlign w:val="center"/>
                </w:tcPr>
                <w:p w14:paraId="51C50DB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3917C0A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危废间</w:t>
                  </w:r>
                </w:p>
              </w:tc>
              <w:tc>
                <w:tcPr>
                  <w:tcW w:w="3707" w:type="pct"/>
                  <w:tcBorders>
                    <w:tl2br w:val="nil"/>
                    <w:tr2bl w:val="nil"/>
                  </w:tcBorders>
                  <w:vAlign w:val="center"/>
                </w:tcPr>
                <w:p w14:paraId="7F5AF22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lang w:val="en-US" w:eastAsia="zh-CN"/>
                    </w:rPr>
                    <w:t>20</w:t>
                  </w:r>
                  <w:r>
                    <w:rPr>
                      <w:rFonts w:hint="default" w:ascii="Times New Roman" w:hAnsi="Times New Roman" w:cs="Times New Roman"/>
                      <w:b w:val="0"/>
                      <w:bCs w:val="0"/>
                      <w:color w:val="auto"/>
                      <w:sz w:val="18"/>
                      <w:szCs w:val="18"/>
                    </w:rPr>
                    <w:t>m</w:t>
                  </w:r>
                  <w:r>
                    <w:rPr>
                      <w:rFonts w:hint="default" w:ascii="Times New Roman" w:hAnsi="Times New Roman" w:cs="Times New Roman"/>
                      <w:b w:val="0"/>
                      <w:bCs w:val="0"/>
                      <w:color w:val="auto"/>
                      <w:sz w:val="18"/>
                      <w:szCs w:val="18"/>
                      <w:vertAlign w:val="superscript"/>
                    </w:rPr>
                    <w:t>2</w:t>
                  </w:r>
                  <w:r>
                    <w:rPr>
                      <w:rFonts w:hint="default" w:ascii="Times New Roman" w:hAnsi="Times New Roman" w:cs="Times New Roman"/>
                      <w:b w:val="0"/>
                      <w:bCs w:val="0"/>
                      <w:color w:val="auto"/>
                      <w:sz w:val="18"/>
                      <w:szCs w:val="18"/>
                    </w:rPr>
                    <w:t>，位于</w:t>
                  </w:r>
                  <w:r>
                    <w:rPr>
                      <w:rFonts w:hint="default" w:ascii="Times New Roman" w:hAnsi="Times New Roman" w:cs="Times New Roman"/>
                      <w:b w:val="0"/>
                      <w:bCs w:val="0"/>
                      <w:color w:val="auto"/>
                      <w:sz w:val="18"/>
                      <w:szCs w:val="18"/>
                      <w:lang w:val="en-US" w:eastAsia="zh-CN"/>
                    </w:rPr>
                    <w:t>原料库内</w:t>
                  </w:r>
                  <w:r>
                    <w:rPr>
                      <w:rFonts w:hint="default" w:ascii="Times New Roman" w:hAnsi="Times New Roman" w:cs="Times New Roman"/>
                      <w:b w:val="0"/>
                      <w:bCs w:val="0"/>
                      <w:color w:val="auto"/>
                      <w:sz w:val="18"/>
                      <w:szCs w:val="18"/>
                    </w:rPr>
                    <w:t>，用于存放危险废物</w:t>
                  </w:r>
                </w:p>
              </w:tc>
            </w:tr>
            <w:tr w14:paraId="06DE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500" w:type="pct"/>
                  <w:vMerge w:val="restart"/>
                  <w:tcBorders>
                    <w:tl2br w:val="nil"/>
                    <w:tr2bl w:val="nil"/>
                  </w:tcBorders>
                  <w:vAlign w:val="center"/>
                </w:tcPr>
                <w:p w14:paraId="35358D2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val="zh-CN"/>
                    </w:rPr>
                    <w:t>储运工程</w:t>
                  </w:r>
                </w:p>
              </w:tc>
              <w:tc>
                <w:tcPr>
                  <w:tcW w:w="392" w:type="pct"/>
                  <w:vMerge w:val="restart"/>
                  <w:tcBorders>
                    <w:tl2br w:val="nil"/>
                    <w:tr2bl w:val="nil"/>
                  </w:tcBorders>
                  <w:vAlign w:val="center"/>
                </w:tcPr>
                <w:p w14:paraId="2457AA8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原料库</w:t>
                  </w:r>
                </w:p>
              </w:tc>
              <w:tc>
                <w:tcPr>
                  <w:tcW w:w="399" w:type="pct"/>
                  <w:tcBorders>
                    <w:tl2br w:val="nil"/>
                    <w:tr2bl w:val="nil"/>
                  </w:tcBorders>
                  <w:vAlign w:val="center"/>
                </w:tcPr>
                <w:p w14:paraId="7A71692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干原料区</w:t>
                  </w:r>
                </w:p>
              </w:tc>
              <w:tc>
                <w:tcPr>
                  <w:tcW w:w="3707" w:type="pct"/>
                  <w:tcBorders>
                    <w:tl2br w:val="nil"/>
                    <w:tr2bl w:val="nil"/>
                  </w:tcBorders>
                  <w:vAlign w:val="center"/>
                </w:tcPr>
                <w:p w14:paraId="22C3A44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eastAsia="zh-CN"/>
                    </w:rPr>
                    <w:t>位于</w:t>
                  </w:r>
                  <w:r>
                    <w:rPr>
                      <w:rFonts w:hint="default" w:ascii="Times New Roman" w:hAnsi="Times New Roman" w:cs="Times New Roman"/>
                      <w:b w:val="0"/>
                      <w:bCs w:val="0"/>
                      <w:color w:val="auto"/>
                      <w:sz w:val="18"/>
                      <w:szCs w:val="18"/>
                      <w:lang w:val="en-US" w:eastAsia="zh-CN"/>
                    </w:rPr>
                    <w:t>1#车间内，</w:t>
                  </w:r>
                  <w:r>
                    <w:rPr>
                      <w:rFonts w:hint="default" w:ascii="Times New Roman" w:hAnsi="Times New Roman" w:eastAsia="宋体" w:cs="Times New Roman"/>
                      <w:b w:val="0"/>
                      <w:bCs w:val="0"/>
                      <w:color w:val="auto"/>
                      <w:sz w:val="18"/>
                      <w:szCs w:val="18"/>
                      <w:lang w:eastAsia="zh-CN"/>
                    </w:rPr>
                    <w:t>建筑面积</w:t>
                  </w:r>
                  <w:r>
                    <w:rPr>
                      <w:rFonts w:hint="default" w:ascii="Times New Roman" w:hAnsi="Times New Roman" w:cs="Times New Roman"/>
                      <w:b w:val="0"/>
                      <w:bCs w:val="0"/>
                      <w:color w:val="auto"/>
                      <w:sz w:val="18"/>
                      <w:szCs w:val="18"/>
                      <w:lang w:val="en-US" w:eastAsia="zh-CN"/>
                    </w:rPr>
                    <w:t>10</w:t>
                  </w:r>
                  <w:r>
                    <w:rPr>
                      <w:rFonts w:hint="default" w:ascii="Times New Roman" w:hAnsi="Times New Roman" w:eastAsia="宋体" w:cs="Times New Roman"/>
                      <w:b w:val="0"/>
                      <w:bCs w:val="0"/>
                      <w:color w:val="auto"/>
                      <w:sz w:val="18"/>
                      <w:szCs w:val="18"/>
                      <w:lang w:eastAsia="zh-CN"/>
                    </w:rPr>
                    <w:t>00</w:t>
                  </w:r>
                  <w:r>
                    <w:rPr>
                      <w:rFonts w:hint="default" w:ascii="Times New Roman" w:hAnsi="Times New Roman" w:eastAsia="宋体" w:cs="Times New Roman"/>
                      <w:b w:val="0"/>
                      <w:bCs w:val="0"/>
                      <w:color w:val="auto"/>
                      <w:sz w:val="18"/>
                      <w:szCs w:val="18"/>
                      <w:lang w:val="en-GB" w:eastAsia="zh-CN"/>
                    </w:rPr>
                    <w:t>m</w:t>
                  </w:r>
                  <w:r>
                    <w:rPr>
                      <w:rFonts w:hint="default" w:ascii="Times New Roman" w:hAnsi="Times New Roman" w:eastAsia="宋体" w:cs="Times New Roman"/>
                      <w:b w:val="0"/>
                      <w:bCs w:val="0"/>
                      <w:color w:val="auto"/>
                      <w:sz w:val="18"/>
                      <w:szCs w:val="18"/>
                      <w:vertAlign w:val="superscript"/>
                      <w:lang w:eastAsia="zh-CN"/>
                    </w:rPr>
                    <w:t>2</w:t>
                  </w:r>
                  <w:r>
                    <w:rPr>
                      <w:rFonts w:hint="default" w:ascii="Times New Roman" w:hAnsi="Times New Roman" w:eastAsia="宋体" w:cs="Times New Roman"/>
                      <w:b w:val="0"/>
                      <w:bCs w:val="0"/>
                      <w:color w:val="auto"/>
                      <w:sz w:val="18"/>
                      <w:szCs w:val="18"/>
                      <w:lang w:eastAsia="zh-CN"/>
                    </w:rPr>
                    <w:t>，单层彩钢结构，</w:t>
                  </w:r>
                  <w:r>
                    <w:rPr>
                      <w:rFonts w:hint="default" w:ascii="Times New Roman" w:hAnsi="Times New Roman" w:eastAsia="宋体" w:cs="Times New Roman"/>
                      <w:b w:val="0"/>
                      <w:bCs w:val="0"/>
                      <w:color w:val="auto"/>
                      <w:sz w:val="18"/>
                      <w:szCs w:val="18"/>
                      <w:lang w:val="en-US" w:eastAsia="zh-CN"/>
                    </w:rPr>
                    <w:t>干</w:t>
                  </w:r>
                  <w:r>
                    <w:rPr>
                      <w:rFonts w:hint="default" w:ascii="Times New Roman" w:hAnsi="Times New Roman" w:eastAsia="宋体" w:cs="Times New Roman"/>
                      <w:b w:val="0"/>
                      <w:bCs w:val="0"/>
                      <w:color w:val="auto"/>
                      <w:sz w:val="18"/>
                      <w:szCs w:val="18"/>
                      <w:lang w:eastAsia="zh-CN"/>
                    </w:rPr>
                    <w:t>原料库主要存放</w:t>
                  </w:r>
                  <w:r>
                    <w:rPr>
                      <w:rFonts w:hint="default" w:ascii="Times New Roman" w:hAnsi="Times New Roman" w:eastAsia="宋体" w:cs="Times New Roman"/>
                      <w:b w:val="0"/>
                      <w:bCs w:val="0"/>
                      <w:color w:val="auto"/>
                      <w:sz w:val="18"/>
                      <w:szCs w:val="18"/>
                      <w:lang w:val="en-US" w:eastAsia="zh-CN"/>
                    </w:rPr>
                    <w:t>林业废物、作物秸秆、废纸、废纺织品、废木材、废除尘布袋、废包装物、园林垃圾、</w:t>
                  </w:r>
                  <w:r>
                    <w:rPr>
                      <w:rFonts w:hint="default" w:ascii="Times New Roman" w:hAnsi="Times New Roman" w:eastAsia="宋体" w:cs="Times New Roman"/>
                      <w:b w:val="0"/>
                      <w:bCs w:val="0"/>
                      <w:color w:val="auto"/>
                      <w:sz w:val="18"/>
                      <w:szCs w:val="18"/>
                      <w:lang w:eastAsia="zh-CN"/>
                    </w:rPr>
                    <w:t>脱硫石膏、</w:t>
                  </w:r>
                  <w:r>
                    <w:rPr>
                      <w:rFonts w:hint="default" w:ascii="Times New Roman" w:hAnsi="Times New Roman" w:eastAsia="宋体" w:cs="Times New Roman"/>
                      <w:b w:val="0"/>
                      <w:bCs w:val="0"/>
                      <w:color w:val="auto"/>
                      <w:sz w:val="18"/>
                      <w:szCs w:val="18"/>
                      <w:lang w:val="en-US" w:eastAsia="zh-CN"/>
                    </w:rPr>
                    <w:t>钢渣</w:t>
                  </w:r>
                  <w:r>
                    <w:rPr>
                      <w:rFonts w:hint="default" w:ascii="Times New Roman" w:hAnsi="Times New Roman" w:eastAsia="宋体" w:cs="Times New Roman"/>
                      <w:b w:val="0"/>
                      <w:bCs w:val="0"/>
                      <w:color w:val="auto"/>
                      <w:sz w:val="18"/>
                      <w:szCs w:val="18"/>
                      <w:lang w:eastAsia="zh-CN"/>
                    </w:rPr>
                    <w:t>、</w:t>
                  </w:r>
                  <w:r>
                    <w:rPr>
                      <w:rFonts w:hint="default" w:ascii="Times New Roman" w:hAnsi="Times New Roman" w:eastAsia="宋体" w:cs="Times New Roman"/>
                      <w:b w:val="0"/>
                      <w:bCs w:val="0"/>
                      <w:color w:val="auto"/>
                      <w:sz w:val="18"/>
                      <w:szCs w:val="18"/>
                      <w:lang w:val="en-US" w:eastAsia="zh-CN"/>
                    </w:rPr>
                    <w:t>铁尾矿等</w:t>
                  </w:r>
                  <w:r>
                    <w:rPr>
                      <w:rFonts w:hint="default" w:ascii="Times New Roman" w:hAnsi="Times New Roman" w:eastAsia="宋体" w:cs="Times New Roman"/>
                      <w:b w:val="0"/>
                      <w:bCs w:val="0"/>
                      <w:color w:val="auto"/>
                      <w:sz w:val="18"/>
                      <w:szCs w:val="18"/>
                      <w:lang w:eastAsia="zh-CN"/>
                    </w:rPr>
                    <w:t>。每种原料根据来源和性质分别用隔档分类分区堆放，可容纳约</w:t>
                  </w:r>
                  <w:r>
                    <w:rPr>
                      <w:rFonts w:hint="default" w:ascii="Times New Roman" w:hAnsi="Times New Roman" w:eastAsia="宋体" w:cs="Times New Roman"/>
                      <w:b w:val="0"/>
                      <w:bCs w:val="0"/>
                      <w:color w:val="auto"/>
                      <w:sz w:val="18"/>
                      <w:szCs w:val="18"/>
                      <w:lang w:val="en-US" w:eastAsia="zh-CN"/>
                    </w:rPr>
                    <w:t>3</w:t>
                  </w:r>
                  <w:r>
                    <w:rPr>
                      <w:rFonts w:hint="default" w:ascii="Times New Roman" w:hAnsi="Times New Roman" w:eastAsia="宋体" w:cs="Times New Roman"/>
                      <w:b w:val="0"/>
                      <w:bCs w:val="0"/>
                      <w:color w:val="auto"/>
                      <w:sz w:val="18"/>
                      <w:szCs w:val="18"/>
                      <w:lang w:eastAsia="zh-CN"/>
                    </w:rPr>
                    <w:t>天固废收集量，</w:t>
                  </w:r>
                  <w:r>
                    <w:rPr>
                      <w:rFonts w:hint="default" w:ascii="Times New Roman" w:hAnsi="Times New Roman" w:eastAsia="宋体" w:cs="Times New Roman"/>
                      <w:b w:val="0"/>
                      <w:bCs w:val="0"/>
                      <w:color w:val="auto"/>
                      <w:sz w:val="18"/>
                      <w:szCs w:val="18"/>
                      <w:lang w:val="en-US" w:eastAsia="zh-CN"/>
                    </w:rPr>
                    <w:t>能</w:t>
                  </w:r>
                  <w:r>
                    <w:rPr>
                      <w:rFonts w:hint="default" w:ascii="Times New Roman" w:hAnsi="Times New Roman" w:eastAsia="宋体" w:cs="Times New Roman"/>
                      <w:b w:val="0"/>
                      <w:bCs w:val="0"/>
                      <w:color w:val="auto"/>
                      <w:sz w:val="18"/>
                      <w:szCs w:val="18"/>
                      <w:lang w:eastAsia="zh-CN"/>
                    </w:rPr>
                    <w:t>够满足储存需求</w:t>
                  </w:r>
                </w:p>
              </w:tc>
            </w:tr>
            <w:tr w14:paraId="36DA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500" w:type="pct"/>
                  <w:vMerge w:val="continue"/>
                  <w:tcBorders>
                    <w:tl2br w:val="nil"/>
                    <w:tr2bl w:val="nil"/>
                  </w:tcBorders>
                  <w:vAlign w:val="center"/>
                </w:tcPr>
                <w:p w14:paraId="504407F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8"/>
                      <w:szCs w:val="18"/>
                    </w:rPr>
                  </w:pPr>
                </w:p>
              </w:tc>
              <w:tc>
                <w:tcPr>
                  <w:tcW w:w="392" w:type="pct"/>
                  <w:vMerge w:val="continue"/>
                  <w:tcBorders>
                    <w:tl2br w:val="nil"/>
                    <w:tr2bl w:val="nil"/>
                  </w:tcBorders>
                  <w:vAlign w:val="center"/>
                </w:tcPr>
                <w:p w14:paraId="60C275B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8"/>
                      <w:szCs w:val="18"/>
                    </w:rPr>
                  </w:pPr>
                </w:p>
              </w:tc>
              <w:tc>
                <w:tcPr>
                  <w:tcW w:w="399" w:type="pct"/>
                  <w:tcBorders>
                    <w:tl2br w:val="nil"/>
                    <w:tr2bl w:val="nil"/>
                  </w:tcBorders>
                  <w:vAlign w:val="center"/>
                </w:tcPr>
                <w:p w14:paraId="2B1EFC5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eastAsia="宋体" w:cs="Times New Roman"/>
                      <w:b w:val="0"/>
                      <w:bCs w:val="0"/>
                      <w:color w:val="auto"/>
                      <w:sz w:val="18"/>
                      <w:szCs w:val="18"/>
                      <w:lang w:val="en-US" w:eastAsia="zh-CN"/>
                    </w:rPr>
                    <w:t>湿原料区</w:t>
                  </w:r>
                </w:p>
              </w:tc>
              <w:tc>
                <w:tcPr>
                  <w:tcW w:w="3707" w:type="pct"/>
                  <w:tcBorders>
                    <w:tl2br w:val="nil"/>
                    <w:tr2bl w:val="nil"/>
                  </w:tcBorders>
                  <w:vAlign w:val="center"/>
                </w:tcPr>
                <w:p w14:paraId="2E625D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lang w:eastAsia="zh-CN"/>
                    </w:rPr>
                    <w:t>位于</w:t>
                  </w:r>
                  <w:r>
                    <w:rPr>
                      <w:rFonts w:hint="default" w:ascii="Times New Roman" w:hAnsi="Times New Roman" w:cs="Times New Roman"/>
                      <w:b w:val="0"/>
                      <w:bCs w:val="0"/>
                      <w:color w:val="auto"/>
                      <w:sz w:val="18"/>
                      <w:szCs w:val="18"/>
                      <w:lang w:val="en-US" w:eastAsia="zh-CN"/>
                    </w:rPr>
                    <w:t>1#车间内，</w:t>
                  </w:r>
                  <w:r>
                    <w:rPr>
                      <w:rFonts w:hint="default" w:ascii="Times New Roman" w:hAnsi="Times New Roman" w:eastAsia="宋体" w:cs="Times New Roman"/>
                      <w:b w:val="0"/>
                      <w:bCs w:val="0"/>
                      <w:color w:val="auto"/>
                      <w:sz w:val="18"/>
                      <w:szCs w:val="18"/>
                      <w:lang w:eastAsia="zh-CN"/>
                    </w:rPr>
                    <w:t>建筑面积</w:t>
                  </w:r>
                  <w:r>
                    <w:rPr>
                      <w:rFonts w:hint="default" w:ascii="Times New Roman" w:hAnsi="Times New Roman" w:eastAsia="宋体" w:cs="Times New Roman"/>
                      <w:b w:val="0"/>
                      <w:bCs w:val="0"/>
                      <w:color w:val="auto"/>
                      <w:sz w:val="18"/>
                      <w:szCs w:val="18"/>
                      <w:lang w:val="en-US" w:eastAsia="zh-CN"/>
                    </w:rPr>
                    <w:t>20</w:t>
                  </w:r>
                  <w:r>
                    <w:rPr>
                      <w:rFonts w:hint="default" w:ascii="Times New Roman" w:hAnsi="Times New Roman" w:eastAsia="宋体" w:cs="Times New Roman"/>
                      <w:b w:val="0"/>
                      <w:bCs w:val="0"/>
                      <w:color w:val="auto"/>
                      <w:sz w:val="18"/>
                      <w:szCs w:val="18"/>
                      <w:lang w:eastAsia="zh-CN"/>
                    </w:rPr>
                    <w:t>00</w:t>
                  </w:r>
                  <w:r>
                    <w:rPr>
                      <w:rFonts w:hint="default" w:ascii="Times New Roman" w:hAnsi="Times New Roman" w:eastAsia="宋体" w:cs="Times New Roman"/>
                      <w:b w:val="0"/>
                      <w:bCs w:val="0"/>
                      <w:color w:val="auto"/>
                      <w:sz w:val="18"/>
                      <w:szCs w:val="18"/>
                      <w:lang w:val="en-GB" w:eastAsia="zh-CN"/>
                    </w:rPr>
                    <w:t>m</w:t>
                  </w:r>
                  <w:r>
                    <w:rPr>
                      <w:rFonts w:hint="default" w:ascii="Times New Roman" w:hAnsi="Times New Roman" w:eastAsia="宋体" w:cs="Times New Roman"/>
                      <w:b w:val="0"/>
                      <w:bCs w:val="0"/>
                      <w:color w:val="auto"/>
                      <w:sz w:val="18"/>
                      <w:szCs w:val="18"/>
                      <w:vertAlign w:val="superscript"/>
                      <w:lang w:eastAsia="zh-CN"/>
                    </w:rPr>
                    <w:t>2</w:t>
                  </w:r>
                  <w:r>
                    <w:rPr>
                      <w:rFonts w:hint="default" w:ascii="Times New Roman" w:hAnsi="Times New Roman" w:eastAsia="宋体" w:cs="Times New Roman"/>
                      <w:b w:val="0"/>
                      <w:bCs w:val="0"/>
                      <w:color w:val="auto"/>
                      <w:sz w:val="18"/>
                      <w:szCs w:val="18"/>
                      <w:lang w:eastAsia="zh-CN"/>
                    </w:rPr>
                    <w:t>，单层彩钢结构，</w:t>
                  </w:r>
                  <w:r>
                    <w:rPr>
                      <w:rFonts w:hint="default" w:ascii="Times New Roman" w:hAnsi="Times New Roman" w:eastAsia="宋体" w:cs="Times New Roman"/>
                      <w:b w:val="0"/>
                      <w:bCs w:val="0"/>
                      <w:color w:val="auto"/>
                      <w:sz w:val="18"/>
                      <w:szCs w:val="18"/>
                      <w:lang w:val="en-US" w:eastAsia="zh-CN"/>
                    </w:rPr>
                    <w:t>湿</w:t>
                  </w:r>
                  <w:r>
                    <w:rPr>
                      <w:rFonts w:hint="default" w:ascii="Times New Roman" w:hAnsi="Times New Roman" w:eastAsia="宋体" w:cs="Times New Roman"/>
                      <w:b w:val="0"/>
                      <w:bCs w:val="0"/>
                      <w:color w:val="auto"/>
                      <w:sz w:val="18"/>
                      <w:szCs w:val="18"/>
                      <w:lang w:val="zh-CN" w:eastAsia="zh-CN"/>
                    </w:rPr>
                    <w:t>原料区</w:t>
                  </w:r>
                  <w:r>
                    <w:rPr>
                      <w:rFonts w:hint="default" w:ascii="Times New Roman" w:hAnsi="Times New Roman" w:eastAsia="宋体" w:cs="Times New Roman"/>
                      <w:b w:val="0"/>
                      <w:bCs w:val="0"/>
                      <w:color w:val="auto"/>
                      <w:sz w:val="18"/>
                      <w:szCs w:val="18"/>
                      <w:lang w:eastAsia="zh-CN"/>
                    </w:rPr>
                    <w:t>主要存放食品残渣、畜牧业废物、城镇污水污泥、清淤疏浚污泥、</w:t>
                  </w:r>
                  <w:r>
                    <w:rPr>
                      <w:rFonts w:hint="default" w:ascii="Times New Roman" w:hAnsi="Times New Roman" w:eastAsia="宋体" w:cs="Times New Roman"/>
                      <w:b w:val="0"/>
                      <w:bCs w:val="0"/>
                      <w:color w:val="auto"/>
                      <w:sz w:val="18"/>
                      <w:szCs w:val="18"/>
                      <w:lang w:val="en-US" w:eastAsia="zh-CN"/>
                    </w:rPr>
                    <w:t>糖渣</w:t>
                  </w:r>
                  <w:r>
                    <w:rPr>
                      <w:rFonts w:hint="default" w:ascii="Times New Roman" w:hAnsi="Times New Roman" w:eastAsia="宋体" w:cs="Times New Roman"/>
                      <w:b w:val="0"/>
                      <w:bCs w:val="0"/>
                      <w:color w:val="auto"/>
                      <w:sz w:val="18"/>
                      <w:szCs w:val="18"/>
                      <w:lang w:eastAsia="zh-CN"/>
                    </w:rPr>
                    <w:t>、</w:t>
                  </w:r>
                  <w:r>
                    <w:rPr>
                      <w:rFonts w:hint="default" w:ascii="Times New Roman" w:hAnsi="Times New Roman" w:eastAsia="宋体" w:cs="Times New Roman"/>
                      <w:b w:val="0"/>
                      <w:bCs w:val="0"/>
                      <w:color w:val="auto"/>
                      <w:sz w:val="18"/>
                      <w:szCs w:val="18"/>
                      <w:lang w:val="en-US" w:eastAsia="zh-CN"/>
                    </w:rPr>
                    <w:t>中药渣、提铜渣浆，</w:t>
                  </w:r>
                  <w:r>
                    <w:rPr>
                      <w:rFonts w:hint="default" w:ascii="Times New Roman" w:hAnsi="Times New Roman" w:eastAsia="宋体" w:cs="Times New Roman"/>
                      <w:b w:val="0"/>
                      <w:bCs w:val="0"/>
                      <w:color w:val="auto"/>
                      <w:sz w:val="18"/>
                      <w:szCs w:val="18"/>
                      <w:lang w:eastAsia="zh-CN"/>
                    </w:rPr>
                    <w:t>每种原料根据来源和性质分别用</w:t>
                  </w:r>
                  <w:r>
                    <w:rPr>
                      <w:rFonts w:hint="eastAsia" w:cs="Times New Roman"/>
                      <w:b w:val="0"/>
                      <w:bCs w:val="0"/>
                      <w:color w:val="auto"/>
                      <w:sz w:val="18"/>
                      <w:szCs w:val="18"/>
                      <w:lang w:eastAsia="zh-CN"/>
                    </w:rPr>
                    <w:t>隔挡</w:t>
                  </w:r>
                  <w:r>
                    <w:rPr>
                      <w:rFonts w:hint="default" w:ascii="Times New Roman" w:hAnsi="Times New Roman" w:eastAsia="宋体" w:cs="Times New Roman"/>
                      <w:b w:val="0"/>
                      <w:bCs w:val="0"/>
                      <w:color w:val="auto"/>
                      <w:sz w:val="18"/>
                      <w:szCs w:val="18"/>
                      <w:lang w:eastAsia="zh-CN"/>
                    </w:rPr>
                    <w:t>分类分区堆放</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储存区周边设置边沟收集渗滤液</w:t>
                  </w:r>
                  <w:r>
                    <w:rPr>
                      <w:rFonts w:hint="default" w:ascii="Times New Roman" w:hAnsi="Times New Roman" w:eastAsia="宋体" w:cs="Times New Roman"/>
                      <w:b w:val="0"/>
                      <w:bCs w:val="0"/>
                      <w:color w:val="auto"/>
                      <w:sz w:val="18"/>
                      <w:szCs w:val="18"/>
                      <w:lang w:eastAsia="zh-CN"/>
                    </w:rPr>
                    <w:t>，可容纳约</w:t>
                  </w:r>
                  <w:r>
                    <w:rPr>
                      <w:rFonts w:hint="default" w:ascii="Times New Roman" w:hAnsi="Times New Roman" w:cs="Times New Roman"/>
                      <w:b w:val="0"/>
                      <w:bCs w:val="0"/>
                      <w:color w:val="auto"/>
                      <w:sz w:val="18"/>
                      <w:szCs w:val="18"/>
                      <w:lang w:val="en-US" w:eastAsia="zh-CN"/>
                    </w:rPr>
                    <w:t>4</w:t>
                  </w:r>
                  <w:r>
                    <w:rPr>
                      <w:rFonts w:hint="default" w:ascii="Times New Roman" w:hAnsi="Times New Roman" w:eastAsia="宋体" w:cs="Times New Roman"/>
                      <w:b w:val="0"/>
                      <w:bCs w:val="0"/>
                      <w:color w:val="auto"/>
                      <w:sz w:val="18"/>
                      <w:szCs w:val="18"/>
                      <w:lang w:eastAsia="zh-CN"/>
                    </w:rPr>
                    <w:t>天固废收集量，</w:t>
                  </w:r>
                  <w:r>
                    <w:rPr>
                      <w:rFonts w:hint="default" w:ascii="Times New Roman" w:hAnsi="Times New Roman" w:eastAsia="宋体" w:cs="Times New Roman"/>
                      <w:b w:val="0"/>
                      <w:bCs w:val="0"/>
                      <w:color w:val="auto"/>
                      <w:sz w:val="18"/>
                      <w:szCs w:val="18"/>
                      <w:lang w:val="en-US" w:eastAsia="zh-CN"/>
                    </w:rPr>
                    <w:t>能</w:t>
                  </w:r>
                  <w:r>
                    <w:rPr>
                      <w:rFonts w:hint="default" w:ascii="Times New Roman" w:hAnsi="Times New Roman" w:eastAsia="宋体" w:cs="Times New Roman"/>
                      <w:b w:val="0"/>
                      <w:bCs w:val="0"/>
                      <w:color w:val="auto"/>
                      <w:sz w:val="18"/>
                      <w:szCs w:val="18"/>
                      <w:lang w:eastAsia="zh-CN"/>
                    </w:rPr>
                    <w:t>够满足储存需求</w:t>
                  </w:r>
                </w:p>
              </w:tc>
            </w:tr>
            <w:tr w14:paraId="7210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00" w:type="pct"/>
                  <w:vMerge w:val="continue"/>
                  <w:tcBorders>
                    <w:tl2br w:val="nil"/>
                    <w:tr2bl w:val="nil"/>
                  </w:tcBorders>
                  <w:vAlign w:val="center"/>
                </w:tcPr>
                <w:p w14:paraId="6585643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22537EA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eastAsia="zh-CN"/>
                    </w:rPr>
                  </w:pPr>
                  <w:r>
                    <w:rPr>
                      <w:rFonts w:hint="default" w:ascii="Times New Roman" w:hAnsi="Times New Roman" w:cs="Times New Roman"/>
                      <w:b w:val="0"/>
                      <w:bCs w:val="0"/>
                      <w:color w:val="auto"/>
                      <w:sz w:val="18"/>
                      <w:szCs w:val="18"/>
                      <w:lang w:eastAsia="zh-CN"/>
                    </w:rPr>
                    <w:t>粉煤灰仓</w:t>
                  </w:r>
                </w:p>
              </w:tc>
              <w:tc>
                <w:tcPr>
                  <w:tcW w:w="3707" w:type="pct"/>
                  <w:tcBorders>
                    <w:tl2br w:val="nil"/>
                    <w:tr2bl w:val="nil"/>
                  </w:tcBorders>
                  <w:vAlign w:val="center"/>
                </w:tcPr>
                <w:p w14:paraId="5B5DC8F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lang w:eastAsia="zh-CN"/>
                    </w:rPr>
                    <w:t>位于</w:t>
                  </w:r>
                  <w:r>
                    <w:rPr>
                      <w:rFonts w:hint="default" w:ascii="Times New Roman" w:hAnsi="Times New Roman" w:cs="Times New Roman"/>
                      <w:b w:val="0"/>
                      <w:bCs w:val="0"/>
                      <w:color w:val="auto"/>
                      <w:sz w:val="18"/>
                      <w:szCs w:val="18"/>
                      <w:lang w:val="en-US" w:eastAsia="zh-CN"/>
                    </w:rPr>
                    <w:t>2#车间内</w:t>
                  </w:r>
                  <w:r>
                    <w:rPr>
                      <w:rFonts w:hint="default" w:ascii="Times New Roman" w:hAnsi="Times New Roman" w:cs="Times New Roman"/>
                      <w:b w:val="0"/>
                      <w:bCs w:val="0"/>
                      <w:color w:val="auto"/>
                      <w:sz w:val="18"/>
                      <w:szCs w:val="18"/>
                      <w:lang w:val="zh-CN"/>
                    </w:rPr>
                    <w:t>，</w:t>
                  </w:r>
                  <w:r>
                    <w:rPr>
                      <w:rFonts w:hint="default" w:ascii="Times New Roman" w:hAnsi="Times New Roman" w:cs="Times New Roman"/>
                      <w:b w:val="0"/>
                      <w:bCs w:val="0"/>
                      <w:color w:val="auto"/>
                      <w:sz w:val="18"/>
                      <w:szCs w:val="18"/>
                      <w:lang w:val="en-US" w:eastAsia="zh-CN"/>
                    </w:rPr>
                    <w:t>1个150t粉煤灰仓，</w:t>
                  </w:r>
                  <w:r>
                    <w:rPr>
                      <w:rFonts w:hint="default" w:ascii="Times New Roman" w:hAnsi="Times New Roman" w:cs="Times New Roman"/>
                      <w:b w:val="0"/>
                      <w:bCs w:val="0"/>
                      <w:color w:val="auto"/>
                      <w:sz w:val="18"/>
                      <w:szCs w:val="18"/>
                      <w:lang w:val="zh-CN"/>
                    </w:rPr>
                    <w:t>用于存储粉煤灰</w:t>
                  </w:r>
                </w:p>
              </w:tc>
            </w:tr>
            <w:tr w14:paraId="5F66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00" w:type="pct"/>
                  <w:vMerge w:val="continue"/>
                  <w:tcBorders>
                    <w:tl2br w:val="nil"/>
                    <w:tr2bl w:val="nil"/>
                  </w:tcBorders>
                  <w:vAlign w:val="center"/>
                </w:tcPr>
                <w:p w14:paraId="1C08068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2A81FA0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eastAsia="zh-CN"/>
                    </w:rPr>
                  </w:pPr>
                  <w:r>
                    <w:rPr>
                      <w:rFonts w:hint="default" w:ascii="Times New Roman" w:hAnsi="Times New Roman" w:cs="Times New Roman"/>
                      <w:b w:val="0"/>
                      <w:bCs w:val="0"/>
                      <w:color w:val="auto"/>
                      <w:sz w:val="18"/>
                      <w:szCs w:val="18"/>
                      <w:lang w:eastAsia="zh-CN"/>
                    </w:rPr>
                    <w:t>水泥仓</w:t>
                  </w:r>
                </w:p>
              </w:tc>
              <w:tc>
                <w:tcPr>
                  <w:tcW w:w="3707" w:type="pct"/>
                  <w:tcBorders>
                    <w:tl2br w:val="nil"/>
                    <w:tr2bl w:val="nil"/>
                  </w:tcBorders>
                  <w:vAlign w:val="center"/>
                </w:tcPr>
                <w:p w14:paraId="045F43B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lang w:eastAsia="zh-CN"/>
                    </w:rPr>
                    <w:t>位于</w:t>
                  </w:r>
                  <w:r>
                    <w:rPr>
                      <w:rFonts w:hint="default" w:ascii="Times New Roman" w:hAnsi="Times New Roman" w:cs="Times New Roman"/>
                      <w:b w:val="0"/>
                      <w:bCs w:val="0"/>
                      <w:color w:val="auto"/>
                      <w:sz w:val="18"/>
                      <w:szCs w:val="18"/>
                      <w:lang w:val="en-US" w:eastAsia="zh-CN"/>
                    </w:rPr>
                    <w:t>2#车间内</w:t>
                  </w:r>
                  <w:r>
                    <w:rPr>
                      <w:rFonts w:hint="default" w:ascii="Times New Roman" w:hAnsi="Times New Roman" w:cs="Times New Roman"/>
                      <w:b w:val="0"/>
                      <w:bCs w:val="0"/>
                      <w:color w:val="auto"/>
                      <w:sz w:val="18"/>
                      <w:szCs w:val="18"/>
                      <w:lang w:val="zh-CN"/>
                    </w:rPr>
                    <w:t>，</w:t>
                  </w:r>
                  <w:r>
                    <w:rPr>
                      <w:rFonts w:hint="default" w:ascii="Times New Roman" w:hAnsi="Times New Roman" w:cs="Times New Roman"/>
                      <w:b w:val="0"/>
                      <w:bCs w:val="0"/>
                      <w:color w:val="auto"/>
                      <w:sz w:val="18"/>
                      <w:szCs w:val="18"/>
                      <w:lang w:val="en-US" w:eastAsia="zh-CN"/>
                    </w:rPr>
                    <w:t>1个300t水泥仓，</w:t>
                  </w:r>
                  <w:r>
                    <w:rPr>
                      <w:rFonts w:hint="default" w:ascii="Times New Roman" w:hAnsi="Times New Roman" w:cs="Times New Roman"/>
                      <w:b w:val="0"/>
                      <w:bCs w:val="0"/>
                      <w:color w:val="auto"/>
                      <w:sz w:val="18"/>
                      <w:szCs w:val="18"/>
                      <w:lang w:val="zh-CN"/>
                    </w:rPr>
                    <w:t>用于存储水泥</w:t>
                  </w:r>
                </w:p>
              </w:tc>
            </w:tr>
            <w:tr w14:paraId="2E65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00" w:type="pct"/>
                  <w:vMerge w:val="continue"/>
                  <w:tcBorders>
                    <w:tl2br w:val="nil"/>
                    <w:tr2bl w:val="nil"/>
                  </w:tcBorders>
                  <w:vAlign w:val="center"/>
                </w:tcPr>
                <w:p w14:paraId="0E188D1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28CF23D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成品区</w:t>
                  </w:r>
                </w:p>
              </w:tc>
              <w:tc>
                <w:tcPr>
                  <w:tcW w:w="3707" w:type="pct"/>
                  <w:tcBorders>
                    <w:tl2br w:val="nil"/>
                    <w:tr2bl w:val="nil"/>
                  </w:tcBorders>
                  <w:vAlign w:val="center"/>
                </w:tcPr>
                <w:p w14:paraId="515855B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en-US"/>
                    </w:rPr>
                  </w:pPr>
                  <w:r>
                    <w:rPr>
                      <w:rFonts w:hint="default" w:ascii="Times New Roman" w:hAnsi="Times New Roman" w:cs="Times New Roman"/>
                      <w:b w:val="0"/>
                      <w:bCs w:val="0"/>
                      <w:color w:val="auto"/>
                      <w:sz w:val="18"/>
                      <w:szCs w:val="18"/>
                      <w:lang w:eastAsia="zh-CN"/>
                    </w:rPr>
                    <w:t>位于</w:t>
                  </w:r>
                  <w:r>
                    <w:rPr>
                      <w:rFonts w:hint="default" w:ascii="Times New Roman" w:hAnsi="Times New Roman" w:cs="Times New Roman"/>
                      <w:b w:val="0"/>
                      <w:bCs w:val="0"/>
                      <w:color w:val="auto"/>
                      <w:sz w:val="18"/>
                      <w:szCs w:val="18"/>
                      <w:lang w:val="en-US" w:eastAsia="zh-CN"/>
                    </w:rPr>
                    <w:t>2#车间内</w:t>
                  </w:r>
                  <w:r>
                    <w:rPr>
                      <w:rFonts w:hint="default" w:ascii="Times New Roman" w:hAnsi="Times New Roman" w:cs="Times New Roman"/>
                      <w:b w:val="0"/>
                      <w:bCs w:val="0"/>
                      <w:color w:val="auto"/>
                      <w:sz w:val="18"/>
                      <w:szCs w:val="18"/>
                      <w:lang w:val="zh-CN"/>
                    </w:rPr>
                    <w:t>，</w:t>
                  </w:r>
                  <w:r>
                    <w:rPr>
                      <w:rFonts w:hint="default" w:ascii="Times New Roman" w:hAnsi="Times New Roman" w:eastAsia="宋体" w:cs="Times New Roman"/>
                      <w:b w:val="0"/>
                      <w:bCs w:val="0"/>
                      <w:color w:val="auto"/>
                      <w:sz w:val="18"/>
                      <w:szCs w:val="18"/>
                      <w:lang w:eastAsia="zh-CN"/>
                    </w:rPr>
                    <w:t>建筑面积</w:t>
                  </w:r>
                  <w:r>
                    <w:rPr>
                      <w:rFonts w:hint="default" w:ascii="Times New Roman" w:hAnsi="Times New Roman" w:eastAsia="宋体" w:cs="Times New Roman"/>
                      <w:b w:val="0"/>
                      <w:bCs w:val="0"/>
                      <w:color w:val="auto"/>
                      <w:sz w:val="18"/>
                      <w:szCs w:val="18"/>
                      <w:lang w:val="en-US" w:eastAsia="zh-CN"/>
                    </w:rPr>
                    <w:t>20</w:t>
                  </w:r>
                  <w:r>
                    <w:rPr>
                      <w:rFonts w:hint="default" w:ascii="Times New Roman" w:hAnsi="Times New Roman" w:eastAsia="宋体" w:cs="Times New Roman"/>
                      <w:b w:val="0"/>
                      <w:bCs w:val="0"/>
                      <w:color w:val="auto"/>
                      <w:sz w:val="18"/>
                      <w:szCs w:val="18"/>
                      <w:lang w:eastAsia="zh-CN"/>
                    </w:rPr>
                    <w:t>00</w:t>
                  </w:r>
                  <w:r>
                    <w:rPr>
                      <w:rFonts w:hint="default" w:ascii="Times New Roman" w:hAnsi="Times New Roman" w:eastAsia="宋体" w:cs="Times New Roman"/>
                      <w:b w:val="0"/>
                      <w:bCs w:val="0"/>
                      <w:color w:val="auto"/>
                      <w:sz w:val="18"/>
                      <w:szCs w:val="18"/>
                      <w:lang w:val="en-GB" w:eastAsia="zh-CN"/>
                    </w:rPr>
                    <w:t>m</w:t>
                  </w:r>
                  <w:r>
                    <w:rPr>
                      <w:rFonts w:hint="default" w:ascii="Times New Roman" w:hAnsi="Times New Roman" w:eastAsia="宋体" w:cs="Times New Roman"/>
                      <w:b w:val="0"/>
                      <w:bCs w:val="0"/>
                      <w:color w:val="auto"/>
                      <w:sz w:val="18"/>
                      <w:szCs w:val="18"/>
                      <w:vertAlign w:val="superscript"/>
                      <w:lang w:eastAsia="zh-CN"/>
                    </w:rPr>
                    <w:t>2</w:t>
                  </w:r>
                  <w:r>
                    <w:rPr>
                      <w:rFonts w:hint="default" w:ascii="Times New Roman" w:hAnsi="Times New Roman" w:eastAsia="宋体"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用于储存成品</w:t>
                  </w:r>
                </w:p>
              </w:tc>
            </w:tr>
            <w:tr w14:paraId="7A78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00" w:type="pct"/>
                  <w:vMerge w:val="restart"/>
                  <w:tcBorders>
                    <w:tl2br w:val="nil"/>
                    <w:tr2bl w:val="nil"/>
                  </w:tcBorders>
                  <w:vAlign w:val="center"/>
                </w:tcPr>
                <w:p w14:paraId="0187465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公用工程</w:t>
                  </w:r>
                </w:p>
              </w:tc>
              <w:tc>
                <w:tcPr>
                  <w:tcW w:w="791" w:type="pct"/>
                  <w:gridSpan w:val="2"/>
                  <w:tcBorders>
                    <w:tl2br w:val="nil"/>
                    <w:tr2bl w:val="nil"/>
                  </w:tcBorders>
                  <w:vAlign w:val="center"/>
                </w:tcPr>
                <w:p w14:paraId="6BDE2CD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供水</w:t>
                  </w:r>
                </w:p>
              </w:tc>
              <w:tc>
                <w:tcPr>
                  <w:tcW w:w="3707" w:type="pct"/>
                  <w:tcBorders>
                    <w:tl2br w:val="nil"/>
                    <w:tr2bl w:val="nil"/>
                  </w:tcBorders>
                  <w:vAlign w:val="center"/>
                </w:tcPr>
                <w:p w14:paraId="1747C73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rPr>
                    <w:t>来自</w:t>
                  </w:r>
                  <w:r>
                    <w:rPr>
                      <w:rFonts w:hint="default" w:ascii="Times New Roman" w:hAnsi="Times New Roman" w:cs="Times New Roman"/>
                      <w:b w:val="0"/>
                      <w:bCs w:val="0"/>
                      <w:color w:val="auto"/>
                      <w:sz w:val="18"/>
                      <w:szCs w:val="18"/>
                      <w:lang w:val="en-US" w:eastAsia="zh-CN"/>
                    </w:rPr>
                    <w:t>园区供水管网</w:t>
                  </w:r>
                </w:p>
              </w:tc>
            </w:tr>
            <w:tr w14:paraId="3331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00" w:type="pct"/>
                  <w:vMerge w:val="continue"/>
                  <w:tcBorders>
                    <w:tl2br w:val="nil"/>
                    <w:tr2bl w:val="nil"/>
                  </w:tcBorders>
                  <w:vAlign w:val="center"/>
                </w:tcPr>
                <w:p w14:paraId="7B2F335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p>
              </w:tc>
              <w:tc>
                <w:tcPr>
                  <w:tcW w:w="791" w:type="pct"/>
                  <w:gridSpan w:val="2"/>
                  <w:tcBorders>
                    <w:tl2br w:val="nil"/>
                    <w:tr2bl w:val="nil"/>
                  </w:tcBorders>
                  <w:vAlign w:val="center"/>
                </w:tcPr>
                <w:p w14:paraId="140D593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供气</w:t>
                  </w:r>
                </w:p>
              </w:tc>
              <w:tc>
                <w:tcPr>
                  <w:tcW w:w="3707" w:type="pct"/>
                  <w:tcBorders>
                    <w:tl2br w:val="nil"/>
                    <w:tr2bl w:val="nil"/>
                  </w:tcBorders>
                  <w:vAlign w:val="center"/>
                </w:tcPr>
                <w:p w14:paraId="07E5A7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生产过程不用天然气</w:t>
                  </w:r>
                </w:p>
              </w:tc>
            </w:tr>
            <w:tr w14:paraId="6745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00" w:type="pct"/>
                  <w:vMerge w:val="continue"/>
                  <w:tcBorders>
                    <w:tl2br w:val="nil"/>
                    <w:tr2bl w:val="nil"/>
                  </w:tcBorders>
                  <w:vAlign w:val="center"/>
                </w:tcPr>
                <w:p w14:paraId="316A692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p>
              </w:tc>
              <w:tc>
                <w:tcPr>
                  <w:tcW w:w="791" w:type="pct"/>
                  <w:gridSpan w:val="2"/>
                  <w:tcBorders>
                    <w:tl2br w:val="nil"/>
                    <w:tr2bl w:val="nil"/>
                  </w:tcBorders>
                  <w:vAlign w:val="center"/>
                </w:tcPr>
                <w:p w14:paraId="515CDAE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供暖</w:t>
                  </w:r>
                </w:p>
              </w:tc>
              <w:tc>
                <w:tcPr>
                  <w:tcW w:w="3707" w:type="pct"/>
                  <w:tcBorders>
                    <w:tl2br w:val="nil"/>
                    <w:tr2bl w:val="nil"/>
                  </w:tcBorders>
                  <w:vAlign w:val="center"/>
                </w:tcPr>
                <w:p w14:paraId="403A233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rPr>
                    <w:t>生产车间不</w:t>
                  </w:r>
                  <w:r>
                    <w:rPr>
                      <w:rFonts w:hint="default" w:ascii="Times New Roman" w:hAnsi="Times New Roman" w:cs="Times New Roman"/>
                      <w:b w:val="0"/>
                      <w:bCs w:val="0"/>
                      <w:color w:val="auto"/>
                      <w:sz w:val="18"/>
                      <w:szCs w:val="18"/>
                      <w:lang w:eastAsia="zh-CN"/>
                    </w:rPr>
                    <w:t>供暖</w:t>
                  </w:r>
                  <w:r>
                    <w:rPr>
                      <w:rFonts w:hint="default" w:ascii="Times New Roman" w:hAnsi="Times New Roman" w:cs="Times New Roman"/>
                      <w:b w:val="0"/>
                      <w:bCs w:val="0"/>
                      <w:color w:val="auto"/>
                      <w:sz w:val="18"/>
                      <w:szCs w:val="18"/>
                    </w:rPr>
                    <w:t>，办公室供暖采用电空调取暖与制冷</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生产用热采用滚筒烘干机燃烧替代颗粒提供</w:t>
                  </w:r>
                </w:p>
              </w:tc>
            </w:tr>
            <w:tr w14:paraId="17FE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 w:type="pct"/>
                  <w:vMerge w:val="continue"/>
                  <w:tcBorders>
                    <w:tl2br w:val="nil"/>
                    <w:tr2bl w:val="nil"/>
                  </w:tcBorders>
                  <w:vAlign w:val="center"/>
                </w:tcPr>
                <w:p w14:paraId="1200ADE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2367501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rPr>
                    <w:t>供电</w:t>
                  </w:r>
                </w:p>
              </w:tc>
              <w:tc>
                <w:tcPr>
                  <w:tcW w:w="3707" w:type="pct"/>
                  <w:tcBorders>
                    <w:tl2br w:val="nil"/>
                    <w:tr2bl w:val="nil"/>
                  </w:tcBorders>
                  <w:vAlign w:val="center"/>
                </w:tcPr>
                <w:p w14:paraId="40E4037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lang w:eastAsia="zh-CN"/>
                    </w:rPr>
                    <w:t>来自</w:t>
                  </w:r>
                  <w:r>
                    <w:rPr>
                      <w:rFonts w:hint="default" w:ascii="Times New Roman" w:hAnsi="Times New Roman" w:cs="Times New Roman"/>
                      <w:b w:val="0"/>
                      <w:bCs w:val="0"/>
                      <w:color w:val="auto"/>
                      <w:sz w:val="18"/>
                      <w:szCs w:val="18"/>
                    </w:rPr>
                    <w:t>当地电网</w:t>
                  </w:r>
                </w:p>
              </w:tc>
            </w:tr>
            <w:tr w14:paraId="025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500" w:type="pct"/>
                  <w:vMerge w:val="restart"/>
                  <w:tcBorders>
                    <w:tl2br w:val="nil"/>
                    <w:tr2bl w:val="nil"/>
                  </w:tcBorders>
                  <w:vAlign w:val="center"/>
                </w:tcPr>
                <w:p w14:paraId="57A3BF1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val="zh-CN"/>
                    </w:rPr>
                    <w:t>环保工程</w:t>
                  </w:r>
                </w:p>
              </w:tc>
              <w:tc>
                <w:tcPr>
                  <w:tcW w:w="791" w:type="pct"/>
                  <w:gridSpan w:val="2"/>
                  <w:tcBorders>
                    <w:tl2br w:val="nil"/>
                    <w:tr2bl w:val="nil"/>
                  </w:tcBorders>
                  <w:vAlign w:val="center"/>
                </w:tcPr>
                <w:p w14:paraId="0BC036C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zh-CN"/>
                    </w:rPr>
                    <w:t>废气</w:t>
                  </w:r>
                </w:p>
              </w:tc>
              <w:tc>
                <w:tcPr>
                  <w:tcW w:w="3707" w:type="pct"/>
                  <w:tcBorders>
                    <w:tl2br w:val="nil"/>
                    <w:tr2bl w:val="nil"/>
                  </w:tcBorders>
                  <w:vAlign w:val="center"/>
                </w:tcPr>
                <w:p w14:paraId="403337B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eastAsia="zh-CN"/>
                    </w:rPr>
                  </w:pPr>
                  <w:r>
                    <w:rPr>
                      <w:rFonts w:hint="default" w:ascii="Times New Roman" w:hAnsi="Times New Roman" w:eastAsia="宋体" w:cs="Times New Roman"/>
                      <w:b w:val="0"/>
                      <w:bCs w:val="0"/>
                      <w:color w:val="auto"/>
                      <w:sz w:val="18"/>
                      <w:szCs w:val="18"/>
                      <w:lang w:val="en-US" w:eastAsia="zh-CN"/>
                    </w:rPr>
                    <w:t>湿</w:t>
                  </w:r>
                  <w:r>
                    <w:rPr>
                      <w:rFonts w:hint="default" w:ascii="Times New Roman" w:hAnsi="Times New Roman" w:eastAsia="宋体" w:cs="Times New Roman"/>
                      <w:b w:val="0"/>
                      <w:bCs w:val="0"/>
                      <w:color w:val="auto"/>
                      <w:sz w:val="18"/>
                      <w:szCs w:val="18"/>
                      <w:lang w:eastAsia="zh-CN"/>
                    </w:rPr>
                    <w:t>原料</w:t>
                  </w:r>
                  <w:r>
                    <w:rPr>
                      <w:rFonts w:hint="default" w:ascii="Times New Roman" w:hAnsi="Times New Roman" w:eastAsia="宋体" w:cs="Times New Roman"/>
                      <w:b w:val="0"/>
                      <w:bCs w:val="0"/>
                      <w:color w:val="auto"/>
                      <w:sz w:val="18"/>
                      <w:szCs w:val="18"/>
                      <w:lang w:val="en-US" w:eastAsia="zh-CN"/>
                    </w:rPr>
                    <w:t>物料存储产生恶臭，湿</w:t>
                  </w:r>
                  <w:r>
                    <w:rPr>
                      <w:rFonts w:hint="default" w:ascii="Times New Roman" w:hAnsi="Times New Roman" w:eastAsia="宋体" w:cs="Times New Roman"/>
                      <w:b w:val="0"/>
                      <w:bCs w:val="0"/>
                      <w:color w:val="auto"/>
                      <w:sz w:val="18"/>
                      <w:szCs w:val="18"/>
                      <w:lang w:eastAsia="zh-CN"/>
                    </w:rPr>
                    <w:t>原料库全封闭</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车间墙壁设置吸风口</w:t>
                  </w:r>
                  <w:r>
                    <w:rPr>
                      <w:rFonts w:hint="default" w:ascii="Times New Roman" w:hAnsi="Times New Roman" w:eastAsia="宋体" w:cs="Times New Roman"/>
                      <w:b w:val="0"/>
                      <w:bCs w:val="0"/>
                      <w:color w:val="auto"/>
                      <w:sz w:val="18"/>
                      <w:szCs w:val="18"/>
                      <w:lang w:eastAsia="zh-CN"/>
                    </w:rPr>
                    <w:t>；发酵</w:t>
                  </w:r>
                  <w:r>
                    <w:rPr>
                      <w:rFonts w:hint="default" w:ascii="Times New Roman" w:hAnsi="Times New Roman" w:eastAsia="宋体" w:cs="Times New Roman"/>
                      <w:b w:val="0"/>
                      <w:bCs w:val="0"/>
                      <w:color w:val="auto"/>
                      <w:sz w:val="18"/>
                      <w:szCs w:val="18"/>
                      <w:lang w:val="en-US" w:eastAsia="zh-CN"/>
                    </w:rPr>
                    <w:t>过程产生恶臭，发酵车间</w:t>
                  </w:r>
                  <w:r>
                    <w:rPr>
                      <w:rFonts w:hint="default" w:ascii="Times New Roman" w:hAnsi="Times New Roman" w:eastAsia="宋体" w:cs="Times New Roman"/>
                      <w:b w:val="0"/>
                      <w:bCs w:val="0"/>
                      <w:color w:val="auto"/>
                      <w:sz w:val="18"/>
                      <w:szCs w:val="18"/>
                      <w:lang w:eastAsia="zh-CN"/>
                    </w:rPr>
                    <w:t>全封闭</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车间墙壁设置吸风口</w:t>
                  </w:r>
                  <w:r>
                    <w:rPr>
                      <w:rFonts w:hint="default" w:ascii="Times New Roman" w:hAnsi="Times New Roman" w:eastAsia="宋体" w:cs="Times New Roman"/>
                      <w:b w:val="0"/>
                      <w:bCs w:val="0"/>
                      <w:color w:val="auto"/>
                      <w:sz w:val="18"/>
                      <w:szCs w:val="18"/>
                      <w:lang w:eastAsia="zh-CN"/>
                    </w:rPr>
                    <w:t>；</w:t>
                  </w:r>
                  <w:r>
                    <w:rPr>
                      <w:rFonts w:hint="default" w:ascii="Times New Roman" w:hAnsi="Times New Roman" w:eastAsia="宋体" w:cs="Times New Roman"/>
                      <w:b w:val="0"/>
                      <w:bCs w:val="0"/>
                      <w:color w:val="auto"/>
                      <w:sz w:val="18"/>
                      <w:szCs w:val="18"/>
                      <w:lang w:val="en-US" w:eastAsia="zh-CN"/>
                    </w:rPr>
                    <w:t>污水处理站运行时产生恶臭，污水处理站各池体加盖封闭处理，设置集气管道，以上工序</w:t>
                  </w:r>
                  <w:r>
                    <w:rPr>
                      <w:rFonts w:hint="default" w:ascii="Times New Roman" w:hAnsi="Times New Roman" w:eastAsia="宋体" w:cs="Times New Roman"/>
                      <w:b w:val="0"/>
                      <w:bCs w:val="0"/>
                      <w:color w:val="auto"/>
                      <w:sz w:val="18"/>
                      <w:szCs w:val="18"/>
                      <w:lang w:eastAsia="zh-CN"/>
                    </w:rPr>
                    <w:t>收集的</w:t>
                  </w:r>
                  <w:r>
                    <w:rPr>
                      <w:rFonts w:hint="default" w:ascii="Times New Roman" w:hAnsi="Times New Roman" w:eastAsia="宋体" w:cs="Times New Roman"/>
                      <w:b w:val="0"/>
                      <w:bCs w:val="0"/>
                      <w:color w:val="auto"/>
                      <w:sz w:val="18"/>
                      <w:szCs w:val="18"/>
                      <w:lang w:val="en-US" w:eastAsia="zh-CN"/>
                    </w:rPr>
                    <w:t>恶臭</w:t>
                  </w:r>
                  <w:r>
                    <w:rPr>
                      <w:rFonts w:hint="default" w:ascii="Times New Roman" w:hAnsi="Times New Roman" w:eastAsia="宋体" w:cs="Times New Roman"/>
                      <w:b w:val="0"/>
                      <w:bCs w:val="0"/>
                      <w:color w:val="auto"/>
                      <w:sz w:val="18"/>
                      <w:szCs w:val="18"/>
                      <w:lang w:eastAsia="zh-CN"/>
                    </w:rPr>
                    <w:t>由风机引入一套“生物除臭塔+活性炭吸附”装置进行处理，处理后废气经15m高排气筒DA001排放；</w:t>
                  </w:r>
                </w:p>
                <w:p w14:paraId="1911BA6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eastAsia="zh-CN"/>
                    </w:rPr>
                  </w:pPr>
                  <w:r>
                    <w:rPr>
                      <w:rFonts w:hint="default" w:ascii="Times New Roman" w:hAnsi="Times New Roman" w:eastAsia="宋体" w:cs="Times New Roman"/>
                      <w:b w:val="0"/>
                      <w:bCs w:val="0"/>
                      <w:color w:val="auto"/>
                      <w:sz w:val="18"/>
                      <w:szCs w:val="18"/>
                      <w:lang w:eastAsia="zh-CN"/>
                    </w:rPr>
                    <w:t>烘干废气、</w:t>
                  </w:r>
                  <w:r>
                    <w:rPr>
                      <w:rFonts w:hint="default" w:ascii="Times New Roman" w:hAnsi="Times New Roman" w:eastAsia="宋体" w:cs="Times New Roman"/>
                      <w:b w:val="0"/>
                      <w:bCs w:val="0"/>
                      <w:color w:val="auto"/>
                      <w:sz w:val="18"/>
                      <w:szCs w:val="18"/>
                      <w:lang w:val="en-US" w:eastAsia="zh-CN"/>
                    </w:rPr>
                    <w:t>燃烧颗粒生产线撕碎、造粒废气</w:t>
                  </w:r>
                  <w:r>
                    <w:rPr>
                      <w:rFonts w:hint="default" w:ascii="Times New Roman" w:hAnsi="Times New Roman" w:eastAsia="宋体" w:cs="Times New Roman"/>
                      <w:b w:val="0"/>
                      <w:bCs w:val="0"/>
                      <w:color w:val="auto"/>
                      <w:sz w:val="18"/>
                      <w:szCs w:val="18"/>
                      <w:lang w:eastAsia="zh-CN"/>
                    </w:rPr>
                    <w:t>均引入</w:t>
                  </w:r>
                  <w:r>
                    <w:rPr>
                      <w:rFonts w:hint="default" w:ascii="Times New Roman" w:hAnsi="Times New Roman" w:cs="Times New Roman"/>
                      <w:b w:val="0"/>
                      <w:bCs w:val="0"/>
                      <w:color w:val="auto"/>
                      <w:sz w:val="18"/>
                      <w:szCs w:val="18"/>
                      <w:lang w:val="en-US" w:eastAsia="zh-CN"/>
                    </w:rPr>
                    <w:t>低温等离子+</w:t>
                  </w:r>
                  <w:r>
                    <w:rPr>
                      <w:rFonts w:hint="default" w:ascii="Times New Roman" w:hAnsi="Times New Roman" w:cs="Times New Roman"/>
                      <w:b w:val="0"/>
                      <w:bCs w:val="0"/>
                      <w:color w:val="auto"/>
                      <w:sz w:val="18"/>
                      <w:szCs w:val="18"/>
                      <w:lang w:eastAsia="zh-CN"/>
                    </w:rPr>
                    <w:t>塑烧板除尘器</w:t>
                  </w:r>
                  <w:r>
                    <w:rPr>
                      <w:rFonts w:hint="default" w:ascii="Times New Roman" w:hAnsi="Times New Roman" w:eastAsia="宋体" w:cs="Times New Roman"/>
                      <w:b w:val="0"/>
                      <w:bCs w:val="0"/>
                      <w:color w:val="auto"/>
                      <w:sz w:val="18"/>
                      <w:szCs w:val="18"/>
                      <w:lang w:eastAsia="zh-CN"/>
                    </w:rPr>
                    <w:t>装置处理，处理后经</w:t>
                  </w:r>
                  <w:r>
                    <w:rPr>
                      <w:rFonts w:hint="default" w:ascii="Times New Roman" w:hAnsi="Times New Roman" w:cs="Times New Roman"/>
                      <w:b w:val="0"/>
                      <w:bCs w:val="0"/>
                      <w:color w:val="auto"/>
                      <w:sz w:val="18"/>
                      <w:szCs w:val="18"/>
                      <w:lang w:val="en-US" w:eastAsia="zh-CN"/>
                    </w:rPr>
                    <w:t>15m高</w:t>
                  </w:r>
                  <w:r>
                    <w:rPr>
                      <w:rFonts w:hint="default" w:ascii="Times New Roman" w:hAnsi="Times New Roman" w:eastAsia="宋体" w:cs="Times New Roman"/>
                      <w:b w:val="0"/>
                      <w:bCs w:val="0"/>
                      <w:color w:val="auto"/>
                      <w:sz w:val="18"/>
                      <w:szCs w:val="18"/>
                      <w:lang w:eastAsia="zh-CN"/>
                    </w:rPr>
                    <w:t>排气筒DA002排放。</w:t>
                  </w:r>
                </w:p>
                <w:p w14:paraId="30DFBE0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滚筒烘干机燃烧废气引入</w:t>
                  </w:r>
                  <w:r>
                    <w:rPr>
                      <w:rFonts w:hint="default" w:ascii="Times New Roman" w:hAnsi="Times New Roman" w:cs="Times New Roman"/>
                      <w:b w:val="0"/>
                      <w:bCs w:val="0"/>
                      <w:color w:val="auto"/>
                      <w:sz w:val="18"/>
                      <w:szCs w:val="18"/>
                      <w:highlight w:val="none"/>
                      <w:lang w:val="en-US" w:eastAsia="zh-CN"/>
                    </w:rPr>
                    <w:t>“SCR脱硝+干法脱硫+脉冲布袋</w:t>
                  </w:r>
                  <w:r>
                    <w:rPr>
                      <w:rFonts w:hint="default" w:ascii="Times New Roman" w:hAnsi="Times New Roman" w:cs="Times New Roman"/>
                      <w:b w:val="0"/>
                      <w:bCs w:val="0"/>
                      <w:color w:val="auto"/>
                      <w:sz w:val="18"/>
                      <w:szCs w:val="18"/>
                      <w:highlight w:val="none"/>
                      <w:lang w:eastAsia="zh-CN"/>
                    </w:rPr>
                    <w:t>除尘器</w:t>
                  </w:r>
                  <w:r>
                    <w:rPr>
                      <w:rFonts w:hint="default" w:ascii="Times New Roman" w:hAnsi="Times New Roman" w:cs="Times New Roman"/>
                      <w:b w:val="0"/>
                      <w:bCs w:val="0"/>
                      <w:color w:val="auto"/>
                      <w:sz w:val="18"/>
                      <w:szCs w:val="18"/>
                      <w:highlight w:val="none"/>
                      <w:lang w:val="en-US" w:eastAsia="zh-CN"/>
                    </w:rPr>
                    <w:t>”</w:t>
                  </w:r>
                  <w:r>
                    <w:rPr>
                      <w:rFonts w:hint="default" w:ascii="Times New Roman" w:hAnsi="Times New Roman" w:cs="Times New Roman"/>
                      <w:b w:val="0"/>
                      <w:bCs w:val="0"/>
                      <w:color w:val="auto"/>
                      <w:sz w:val="18"/>
                      <w:szCs w:val="18"/>
                      <w:lang w:val="en-US" w:eastAsia="zh-CN"/>
                    </w:rPr>
                    <w:t>装置处理后</w:t>
                  </w:r>
                  <w:r>
                    <w:rPr>
                      <w:rFonts w:hint="default" w:ascii="Times New Roman" w:hAnsi="Times New Roman" w:eastAsia="宋体" w:cs="Times New Roman"/>
                      <w:b w:val="0"/>
                      <w:bCs w:val="0"/>
                      <w:color w:val="auto"/>
                      <w:sz w:val="18"/>
                      <w:szCs w:val="18"/>
                      <w:lang w:eastAsia="zh-CN"/>
                    </w:rPr>
                    <w:t>经</w:t>
                  </w:r>
                  <w:r>
                    <w:rPr>
                      <w:rFonts w:hint="default" w:ascii="Times New Roman" w:hAnsi="Times New Roman" w:cs="Times New Roman"/>
                      <w:b w:val="0"/>
                      <w:bCs w:val="0"/>
                      <w:color w:val="auto"/>
                      <w:sz w:val="18"/>
                      <w:szCs w:val="18"/>
                      <w:lang w:val="en-US" w:eastAsia="zh-CN"/>
                    </w:rPr>
                    <w:t>2</w:t>
                  </w:r>
                  <w:r>
                    <w:rPr>
                      <w:rFonts w:hint="default" w:ascii="Times New Roman" w:hAnsi="Times New Roman" w:eastAsia="宋体" w:cs="Times New Roman"/>
                      <w:b w:val="0"/>
                      <w:bCs w:val="0"/>
                      <w:color w:val="auto"/>
                      <w:sz w:val="18"/>
                      <w:szCs w:val="18"/>
                      <w:lang w:eastAsia="zh-CN"/>
                    </w:rPr>
                    <w:t>5m高排气筒DA00</w:t>
                  </w:r>
                  <w:r>
                    <w:rPr>
                      <w:rFonts w:hint="default" w:ascii="Times New Roman" w:hAnsi="Times New Roman" w:cs="Times New Roman"/>
                      <w:b w:val="0"/>
                      <w:bCs w:val="0"/>
                      <w:color w:val="auto"/>
                      <w:sz w:val="18"/>
                      <w:szCs w:val="18"/>
                      <w:lang w:val="en-US" w:eastAsia="zh-CN"/>
                    </w:rPr>
                    <w:t>3</w:t>
                  </w:r>
                  <w:r>
                    <w:rPr>
                      <w:rFonts w:hint="default" w:ascii="Times New Roman" w:hAnsi="Times New Roman" w:eastAsia="宋体" w:cs="Times New Roman"/>
                      <w:b w:val="0"/>
                      <w:bCs w:val="0"/>
                      <w:color w:val="auto"/>
                      <w:sz w:val="18"/>
                      <w:szCs w:val="18"/>
                      <w:lang w:eastAsia="zh-CN"/>
                    </w:rPr>
                    <w:t>排放；</w:t>
                  </w:r>
                </w:p>
                <w:p w14:paraId="3062149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eastAsia="zh-CN"/>
                    </w:rPr>
                  </w:pPr>
                  <w:r>
                    <w:rPr>
                      <w:rFonts w:hint="default" w:ascii="Times New Roman" w:hAnsi="Times New Roman" w:eastAsia="宋体" w:cs="Times New Roman"/>
                      <w:b w:val="0"/>
                      <w:bCs w:val="0"/>
                      <w:color w:val="auto"/>
                      <w:sz w:val="18"/>
                      <w:szCs w:val="18"/>
                      <w:lang w:val="en-US" w:eastAsia="zh-CN"/>
                    </w:rPr>
                    <w:t>免烧砖工序破碎、搅拌、水泥仓、粉煤灰仓废气均引入“</w:t>
                  </w:r>
                  <w:r>
                    <w:rPr>
                      <w:rFonts w:hint="default" w:ascii="Times New Roman" w:hAnsi="Times New Roman" w:cs="Times New Roman"/>
                      <w:b w:val="0"/>
                      <w:bCs w:val="0"/>
                      <w:color w:val="auto"/>
                      <w:sz w:val="18"/>
                      <w:szCs w:val="18"/>
                      <w:lang w:val="en-US" w:eastAsia="zh-CN"/>
                    </w:rPr>
                    <w:t>脉冲式布袋除尘器</w:t>
                  </w:r>
                  <w:r>
                    <w:rPr>
                      <w:rFonts w:hint="default" w:ascii="Times New Roman" w:hAnsi="Times New Roman" w:eastAsia="宋体" w:cs="Times New Roman"/>
                      <w:b w:val="0"/>
                      <w:bCs w:val="0"/>
                      <w:color w:val="auto"/>
                      <w:sz w:val="18"/>
                      <w:szCs w:val="18"/>
                      <w:lang w:val="en-US" w:eastAsia="zh-CN"/>
                    </w:rPr>
                    <w:t>”装置处理，处理后经</w:t>
                  </w:r>
                  <w:r>
                    <w:rPr>
                      <w:rFonts w:hint="default" w:ascii="Times New Roman" w:hAnsi="Times New Roman" w:cs="Times New Roman"/>
                      <w:b w:val="0"/>
                      <w:bCs w:val="0"/>
                      <w:color w:val="auto"/>
                      <w:sz w:val="18"/>
                      <w:szCs w:val="18"/>
                      <w:lang w:val="en-US" w:eastAsia="zh-CN"/>
                    </w:rPr>
                    <w:t>15m</w:t>
                  </w:r>
                  <w:r>
                    <w:rPr>
                      <w:rFonts w:hint="default" w:ascii="Times New Roman" w:hAnsi="Times New Roman" w:eastAsia="宋体" w:cs="Times New Roman"/>
                      <w:b w:val="0"/>
                      <w:bCs w:val="0"/>
                      <w:color w:val="auto"/>
                      <w:sz w:val="18"/>
                      <w:szCs w:val="18"/>
                      <w:lang w:val="en-US" w:eastAsia="zh-CN"/>
                    </w:rPr>
                    <w:t>排气筒DA00</w:t>
                  </w:r>
                  <w:r>
                    <w:rPr>
                      <w:rFonts w:hint="default" w:ascii="Times New Roman" w:hAnsi="Times New Roman" w:cs="Times New Roman"/>
                      <w:b w:val="0"/>
                      <w:bCs w:val="0"/>
                      <w:color w:val="auto"/>
                      <w:sz w:val="18"/>
                      <w:szCs w:val="18"/>
                      <w:lang w:val="en-US" w:eastAsia="zh-CN"/>
                    </w:rPr>
                    <w:t>4</w:t>
                  </w:r>
                  <w:r>
                    <w:rPr>
                      <w:rFonts w:hint="default" w:ascii="Times New Roman" w:hAnsi="Times New Roman" w:eastAsia="宋体" w:cs="Times New Roman"/>
                      <w:b w:val="0"/>
                      <w:bCs w:val="0"/>
                      <w:color w:val="auto"/>
                      <w:sz w:val="18"/>
                      <w:szCs w:val="18"/>
                      <w:lang w:val="en-US" w:eastAsia="zh-CN"/>
                    </w:rPr>
                    <w:t>排放。</w:t>
                  </w:r>
                </w:p>
              </w:tc>
            </w:tr>
            <w:tr w14:paraId="6190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00" w:type="pct"/>
                  <w:vMerge w:val="continue"/>
                  <w:tcBorders>
                    <w:tl2br w:val="nil"/>
                    <w:tr2bl w:val="nil"/>
                  </w:tcBorders>
                  <w:vAlign w:val="center"/>
                </w:tcPr>
                <w:p w14:paraId="67F38B7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2CCE77A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lang w:val="zh-CN"/>
                    </w:rPr>
                    <w:t>废水</w:t>
                  </w:r>
                </w:p>
              </w:tc>
              <w:tc>
                <w:tcPr>
                  <w:tcW w:w="3707" w:type="pct"/>
                  <w:tcBorders>
                    <w:tl2br w:val="nil"/>
                    <w:tr2bl w:val="nil"/>
                  </w:tcBorders>
                  <w:vAlign w:val="center"/>
                </w:tcPr>
                <w:p w14:paraId="509D3BC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本项目生活污水排入</w:t>
                  </w:r>
                  <w:r>
                    <w:rPr>
                      <w:rFonts w:hint="default" w:ascii="Times New Roman" w:hAnsi="Times New Roman" w:cs="Times New Roman"/>
                      <w:b w:val="0"/>
                      <w:bCs w:val="0"/>
                      <w:color w:val="auto"/>
                      <w:sz w:val="18"/>
                      <w:szCs w:val="18"/>
                      <w:lang w:val="en-US" w:eastAsia="zh-CN"/>
                    </w:rPr>
                    <w:t>市政污水管网</w:t>
                  </w:r>
                  <w:r>
                    <w:rPr>
                      <w:rFonts w:hint="default" w:ascii="Times New Roman" w:hAnsi="Times New Roman" w:cs="Times New Roman"/>
                      <w:b w:val="0"/>
                      <w:bCs w:val="0"/>
                      <w:color w:val="auto"/>
                      <w:sz w:val="18"/>
                      <w:szCs w:val="18"/>
                    </w:rPr>
                    <w:t>；</w:t>
                  </w:r>
                  <w:r>
                    <w:rPr>
                      <w:rFonts w:hint="default" w:ascii="Times New Roman" w:hAnsi="Times New Roman" w:cs="Times New Roman"/>
                      <w:b w:val="0"/>
                      <w:bCs w:val="0"/>
                      <w:color w:val="auto"/>
                      <w:sz w:val="18"/>
                      <w:szCs w:val="18"/>
                      <w:lang w:val="en-US" w:eastAsia="zh-CN"/>
                    </w:rPr>
                    <w:t>生产</w:t>
                  </w:r>
                  <w:r>
                    <w:rPr>
                      <w:rFonts w:hint="default" w:ascii="Times New Roman" w:hAnsi="Times New Roman" w:cs="Times New Roman"/>
                      <w:b w:val="0"/>
                      <w:bCs w:val="0"/>
                      <w:color w:val="auto"/>
                      <w:sz w:val="18"/>
                      <w:szCs w:val="18"/>
                    </w:rPr>
                    <w:t>废水经厂内污水处理站进行处理，处理后回用于</w:t>
                  </w:r>
                  <w:r>
                    <w:rPr>
                      <w:rFonts w:hint="default" w:ascii="Times New Roman" w:hAnsi="Times New Roman" w:eastAsia="宋体" w:cs="Times New Roman"/>
                      <w:b w:val="0"/>
                      <w:bCs/>
                      <w:color w:val="auto"/>
                      <w:sz w:val="18"/>
                      <w:szCs w:val="18"/>
                      <w:lang w:val="en-US" w:eastAsia="zh-CN"/>
                    </w:rPr>
                    <w:t>车间地面冲洗</w:t>
                  </w:r>
                  <w:r>
                    <w:rPr>
                      <w:rFonts w:hint="default" w:ascii="Times New Roman" w:hAnsi="Times New Roman" w:cs="Times New Roman"/>
                      <w:b w:val="0"/>
                      <w:bCs w:val="0"/>
                      <w:color w:val="auto"/>
                      <w:sz w:val="18"/>
                      <w:szCs w:val="18"/>
                    </w:rPr>
                    <w:t>。</w:t>
                  </w:r>
                </w:p>
              </w:tc>
            </w:tr>
            <w:tr w14:paraId="7B05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00" w:type="pct"/>
                  <w:vMerge w:val="continue"/>
                  <w:tcBorders>
                    <w:tl2br w:val="nil"/>
                    <w:tr2bl w:val="nil"/>
                  </w:tcBorders>
                  <w:vAlign w:val="center"/>
                </w:tcPr>
                <w:p w14:paraId="76A66F4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5562FC6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噪声</w:t>
                  </w:r>
                </w:p>
              </w:tc>
              <w:tc>
                <w:tcPr>
                  <w:tcW w:w="3707" w:type="pct"/>
                  <w:tcBorders>
                    <w:tl2br w:val="nil"/>
                    <w:tr2bl w:val="nil"/>
                  </w:tcBorders>
                  <w:vAlign w:val="center"/>
                </w:tcPr>
                <w:p w14:paraId="1ECF8E9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车间为单层彩钢结构，</w:t>
                  </w:r>
                  <w:r>
                    <w:rPr>
                      <w:rFonts w:hint="default" w:ascii="Times New Roman" w:hAnsi="Times New Roman" w:cs="Times New Roman"/>
                      <w:b w:val="0"/>
                      <w:bCs w:val="0"/>
                      <w:color w:val="auto"/>
                      <w:sz w:val="18"/>
                      <w:szCs w:val="18"/>
                      <w:lang w:eastAsia="zh-CN"/>
                    </w:rPr>
                    <w:t>全封闭厂房，</w:t>
                  </w:r>
                  <w:r>
                    <w:rPr>
                      <w:rFonts w:hint="default" w:ascii="Times New Roman" w:hAnsi="Times New Roman" w:cs="Times New Roman"/>
                      <w:b w:val="0"/>
                      <w:bCs w:val="0"/>
                      <w:color w:val="auto"/>
                      <w:sz w:val="18"/>
                      <w:szCs w:val="18"/>
                    </w:rPr>
                    <w:t>选用低噪声设备，并加装减振基础。</w:t>
                  </w:r>
                </w:p>
              </w:tc>
            </w:tr>
            <w:tr w14:paraId="2E4A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500" w:type="pct"/>
                  <w:vMerge w:val="continue"/>
                  <w:tcBorders>
                    <w:tl2br w:val="nil"/>
                    <w:tr2bl w:val="nil"/>
                  </w:tcBorders>
                  <w:vAlign w:val="center"/>
                </w:tcPr>
                <w:p w14:paraId="78FAA06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7910062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r>
                    <w:rPr>
                      <w:rFonts w:hint="default" w:ascii="Times New Roman" w:hAnsi="Times New Roman" w:cs="Times New Roman"/>
                      <w:b w:val="0"/>
                      <w:bCs w:val="0"/>
                      <w:color w:val="auto"/>
                      <w:sz w:val="18"/>
                      <w:szCs w:val="18"/>
                    </w:rPr>
                    <w:t>固废</w:t>
                  </w:r>
                </w:p>
              </w:tc>
              <w:tc>
                <w:tcPr>
                  <w:tcW w:w="3707" w:type="pct"/>
                  <w:tcBorders>
                    <w:tl2br w:val="nil"/>
                    <w:tr2bl w:val="nil"/>
                  </w:tcBorders>
                  <w:vAlign w:val="center"/>
                </w:tcPr>
                <w:p w14:paraId="125A45D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一般固废：</w:t>
                  </w:r>
                  <w:r>
                    <w:rPr>
                      <w:rFonts w:hint="default" w:ascii="Times New Roman" w:hAnsi="Times New Roman" w:cs="Times New Roman"/>
                      <w:b w:val="0"/>
                      <w:bCs w:val="0"/>
                      <w:color w:val="auto"/>
                      <w:sz w:val="18"/>
                      <w:szCs w:val="18"/>
                      <w:lang w:eastAsia="zh-CN"/>
                    </w:rPr>
                    <w:t>除尘器</w:t>
                  </w:r>
                  <w:r>
                    <w:rPr>
                      <w:rFonts w:hint="default" w:ascii="Times New Roman" w:hAnsi="Times New Roman" w:cs="Times New Roman"/>
                      <w:b w:val="0"/>
                      <w:bCs w:val="0"/>
                      <w:color w:val="auto"/>
                      <w:sz w:val="18"/>
                      <w:szCs w:val="18"/>
                    </w:rPr>
                    <w:t>产生的除尘灰、废布袋</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原料废包装物</w:t>
                  </w:r>
                  <w:r>
                    <w:rPr>
                      <w:rFonts w:hint="default" w:ascii="Times New Roman" w:hAnsi="Times New Roman" w:cs="Times New Roman"/>
                      <w:b w:val="0"/>
                      <w:bCs w:val="0"/>
                      <w:color w:val="auto"/>
                      <w:sz w:val="18"/>
                      <w:szCs w:val="18"/>
                    </w:rPr>
                    <w:t>，定期清理回用于生产。</w:t>
                  </w:r>
                </w:p>
                <w:p w14:paraId="42D3191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危险废物：废气处理设施产生的废活性炭</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废脱硝催化剂</w:t>
                  </w:r>
                  <w:r>
                    <w:rPr>
                      <w:rFonts w:hint="default" w:ascii="Times New Roman" w:hAnsi="Times New Roman" w:cs="Times New Roman"/>
                      <w:b w:val="0"/>
                      <w:bCs w:val="0"/>
                      <w:color w:val="auto"/>
                      <w:sz w:val="18"/>
                      <w:szCs w:val="18"/>
                    </w:rPr>
                    <w:t>，污水处理站产生的污泥</w:t>
                  </w:r>
                  <w:r>
                    <w:rPr>
                      <w:rFonts w:hint="default" w:ascii="Times New Roman" w:hAnsi="Times New Roman" w:cs="Times New Roman"/>
                      <w:b w:val="0"/>
                      <w:bCs w:val="0"/>
                      <w:color w:val="auto"/>
                      <w:sz w:val="18"/>
                      <w:szCs w:val="18"/>
                      <w:lang w:eastAsia="zh-CN"/>
                    </w:rPr>
                    <w:t>和</w:t>
                  </w:r>
                  <w:r>
                    <w:rPr>
                      <w:rFonts w:hint="default" w:ascii="Times New Roman" w:hAnsi="Times New Roman" w:cs="Times New Roman"/>
                      <w:b w:val="0"/>
                      <w:bCs w:val="0"/>
                      <w:color w:val="auto"/>
                      <w:sz w:val="18"/>
                      <w:szCs w:val="18"/>
                    </w:rPr>
                    <w:t>废过滤膜</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rPr>
                    <w:t>设备维护产生的废润滑油、废液压油、废油桶</w:t>
                  </w:r>
                  <w:r>
                    <w:rPr>
                      <w:rFonts w:hint="default" w:ascii="Times New Roman" w:hAnsi="Times New Roman" w:cs="Times New Roman"/>
                      <w:b w:val="0"/>
                      <w:bCs w:val="0"/>
                      <w:color w:val="auto"/>
                      <w:sz w:val="18"/>
                      <w:szCs w:val="18"/>
                      <w:lang w:eastAsia="zh-CN"/>
                    </w:rPr>
                    <w:t>、</w:t>
                  </w:r>
                  <w:r>
                    <w:rPr>
                      <w:rFonts w:hint="default" w:ascii="Times New Roman" w:hAnsi="Times New Roman" w:cs="Times New Roman"/>
                      <w:b w:val="0"/>
                      <w:bCs w:val="0"/>
                      <w:color w:val="auto"/>
                      <w:sz w:val="18"/>
                      <w:szCs w:val="18"/>
                      <w:lang w:val="en-US" w:eastAsia="zh-CN"/>
                    </w:rPr>
                    <w:t>实验室产生的废试剂和废试剂瓶</w:t>
                  </w:r>
                  <w:r>
                    <w:rPr>
                      <w:rFonts w:hint="default" w:ascii="Times New Roman" w:hAnsi="Times New Roman" w:cs="Times New Roman"/>
                      <w:b w:val="0"/>
                      <w:bCs w:val="0"/>
                      <w:color w:val="auto"/>
                      <w:sz w:val="18"/>
                      <w:szCs w:val="18"/>
                    </w:rPr>
                    <w:t>，暂存于危废间交有资质单位处理。</w:t>
                  </w:r>
                </w:p>
              </w:tc>
            </w:tr>
            <w:tr w14:paraId="096C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500" w:type="pct"/>
                  <w:vMerge w:val="continue"/>
                  <w:tcBorders>
                    <w:tl2br w:val="nil"/>
                    <w:tr2bl w:val="nil"/>
                  </w:tcBorders>
                  <w:vAlign w:val="center"/>
                </w:tcPr>
                <w:p w14:paraId="7F7F359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18"/>
                      <w:szCs w:val="18"/>
                      <w:lang w:val="zh-CN"/>
                    </w:rPr>
                  </w:pPr>
                </w:p>
              </w:tc>
              <w:tc>
                <w:tcPr>
                  <w:tcW w:w="791" w:type="pct"/>
                  <w:gridSpan w:val="2"/>
                  <w:tcBorders>
                    <w:tl2br w:val="nil"/>
                    <w:tr2bl w:val="nil"/>
                  </w:tcBorders>
                  <w:vAlign w:val="center"/>
                </w:tcPr>
                <w:p w14:paraId="2E38451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防渗</w:t>
                  </w:r>
                </w:p>
              </w:tc>
              <w:tc>
                <w:tcPr>
                  <w:tcW w:w="3707" w:type="pct"/>
                  <w:tcBorders>
                    <w:tl2br w:val="nil"/>
                    <w:tr2bl w:val="nil"/>
                  </w:tcBorders>
                  <w:vAlign w:val="center"/>
                </w:tcPr>
                <w:p w14:paraId="5D9F8BD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（1）重点防渗区</w:t>
                  </w:r>
                </w:p>
                <w:p w14:paraId="4412930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危废间：按照《危险废物贮存污染控制标准》的相关要求，对危废间地面和裙角进行防腐防渗处理，渗透系数≤10</w:t>
                  </w:r>
                  <w:r>
                    <w:rPr>
                      <w:rFonts w:hint="default" w:ascii="Times New Roman" w:hAnsi="Times New Roman" w:cs="Times New Roman"/>
                      <w:b w:val="0"/>
                      <w:bCs w:val="0"/>
                      <w:color w:val="auto"/>
                      <w:sz w:val="18"/>
                      <w:szCs w:val="18"/>
                      <w:vertAlign w:val="superscript"/>
                      <w:lang w:val="en-US" w:eastAsia="zh-CN"/>
                    </w:rPr>
                    <w:t>-10</w:t>
                  </w:r>
                  <w:r>
                    <w:rPr>
                      <w:rFonts w:hint="default" w:ascii="Times New Roman" w:hAnsi="Times New Roman" w:cs="Times New Roman"/>
                      <w:b w:val="0"/>
                      <w:bCs w:val="0"/>
                      <w:color w:val="auto"/>
                      <w:sz w:val="18"/>
                      <w:szCs w:val="18"/>
                      <w:lang w:val="en-US" w:eastAsia="zh-CN"/>
                    </w:rPr>
                    <w:t>cm/s。</w:t>
                  </w:r>
                </w:p>
                <w:p w14:paraId="50C7ABC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（2）一般防渗区</w:t>
                  </w:r>
                </w:p>
                <w:p w14:paraId="3F1BBE3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b w:val="0"/>
                      <w:bCs w:val="0"/>
                      <w:color w:val="auto"/>
                      <w:sz w:val="18"/>
                      <w:szCs w:val="18"/>
                      <w:lang w:val="en-US" w:eastAsia="zh-CN"/>
                    </w:rPr>
                  </w:pPr>
                  <w:r>
                    <w:rPr>
                      <w:rFonts w:hint="default" w:ascii="Times New Roman" w:hAnsi="Times New Roman" w:cs="Times New Roman"/>
                      <w:b w:val="0"/>
                      <w:bCs w:val="0"/>
                      <w:color w:val="auto"/>
                      <w:sz w:val="18"/>
                      <w:szCs w:val="18"/>
                      <w:lang w:val="en-US" w:eastAsia="zh-CN"/>
                    </w:rPr>
                    <w:t>生产车间、原料库：地面采用抗渗混凝土进行硬化，渗透系数≤1×10</w:t>
                  </w:r>
                  <w:r>
                    <w:rPr>
                      <w:rFonts w:hint="default" w:ascii="Times New Roman" w:hAnsi="Times New Roman" w:cs="Times New Roman"/>
                      <w:b w:val="0"/>
                      <w:bCs w:val="0"/>
                      <w:color w:val="auto"/>
                      <w:sz w:val="18"/>
                      <w:szCs w:val="18"/>
                      <w:vertAlign w:val="superscript"/>
                      <w:lang w:val="en-US" w:eastAsia="zh-CN"/>
                    </w:rPr>
                    <w:t>-7</w:t>
                  </w:r>
                  <w:r>
                    <w:rPr>
                      <w:rFonts w:hint="default" w:ascii="Times New Roman" w:hAnsi="Times New Roman" w:cs="Times New Roman"/>
                      <w:b w:val="0"/>
                      <w:bCs w:val="0"/>
                      <w:color w:val="auto"/>
                      <w:sz w:val="18"/>
                      <w:szCs w:val="18"/>
                      <w:lang w:val="en-US" w:eastAsia="zh-CN"/>
                    </w:rPr>
                    <w:t>cm/s。</w:t>
                  </w:r>
                </w:p>
                <w:p w14:paraId="328836C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lang w:val="en-US" w:eastAsia="zh-CN"/>
                    </w:rPr>
                    <w:t>污水处理站：各池体采用抗渗混凝土进行浇筑，渗透系数≤1×10</w:t>
                  </w:r>
                  <w:r>
                    <w:rPr>
                      <w:rFonts w:hint="default" w:ascii="Times New Roman" w:hAnsi="Times New Roman" w:cs="Times New Roman"/>
                      <w:b w:val="0"/>
                      <w:bCs w:val="0"/>
                      <w:color w:val="auto"/>
                      <w:sz w:val="18"/>
                      <w:szCs w:val="18"/>
                      <w:vertAlign w:val="superscript"/>
                      <w:lang w:val="en-US" w:eastAsia="zh-CN"/>
                    </w:rPr>
                    <w:t>-7</w:t>
                  </w:r>
                  <w:r>
                    <w:rPr>
                      <w:rFonts w:hint="default" w:ascii="Times New Roman" w:hAnsi="Times New Roman" w:cs="Times New Roman"/>
                      <w:b w:val="0"/>
                      <w:bCs w:val="0"/>
                      <w:color w:val="auto"/>
                      <w:sz w:val="18"/>
                      <w:szCs w:val="18"/>
                      <w:lang w:val="en-US" w:eastAsia="zh-CN"/>
                    </w:rPr>
                    <w:t>cm/s。</w:t>
                  </w:r>
                </w:p>
              </w:tc>
            </w:tr>
          </w:tbl>
          <w:p w14:paraId="490CE8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表</w:t>
            </w:r>
            <w:r>
              <w:rPr>
                <w:rFonts w:hint="default" w:ascii="Times New Roman" w:hAnsi="Times New Roman" w:eastAsia="宋体" w:cs="Times New Roman"/>
                <w:b/>
                <w:bCs/>
                <w:color w:val="000000"/>
                <w:sz w:val="24"/>
                <w:szCs w:val="24"/>
                <w:highlight w:val="none"/>
                <w:lang w:val="en-US" w:eastAsia="zh-CN"/>
              </w:rPr>
              <w:t>2-</w:t>
            </w:r>
            <w:r>
              <w:rPr>
                <w:rFonts w:hint="default" w:ascii="Times New Roman" w:hAnsi="Times New Roman" w:cs="Times New Roman"/>
                <w:b/>
                <w:bCs/>
                <w:color w:val="000000"/>
                <w:sz w:val="24"/>
                <w:szCs w:val="24"/>
                <w:highlight w:val="none"/>
                <w:lang w:val="en-US" w:eastAsia="zh-CN"/>
              </w:rPr>
              <w:t>2</w:t>
            </w:r>
            <w:r>
              <w:rPr>
                <w:rFonts w:hint="default" w:ascii="Times New Roman" w:hAnsi="Times New Roman" w:eastAsia="宋体" w:cs="Times New Roman"/>
                <w:b/>
                <w:bCs/>
                <w:color w:val="000000"/>
                <w:sz w:val="24"/>
                <w:szCs w:val="24"/>
                <w:highlight w:val="none"/>
                <w:lang w:val="en-US" w:eastAsia="zh-CN"/>
              </w:rPr>
              <w:t xml:space="preserve">   </w:t>
            </w:r>
            <w:r>
              <w:rPr>
                <w:rFonts w:hint="default" w:ascii="Times New Roman" w:hAnsi="Times New Roman" w:eastAsia="宋体" w:cs="Times New Roman"/>
                <w:b/>
                <w:bCs/>
                <w:color w:val="000000"/>
                <w:sz w:val="24"/>
                <w:szCs w:val="24"/>
                <w:highlight w:val="none"/>
              </w:rPr>
              <w:t xml:space="preserve"> 厂区建构筑物一览表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25"/>
              <w:gridCol w:w="1123"/>
              <w:gridCol w:w="1009"/>
              <w:gridCol w:w="1279"/>
              <w:gridCol w:w="2169"/>
              <w:gridCol w:w="2171"/>
            </w:tblGrid>
            <w:tr w14:paraId="5102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73" w:type="pct"/>
                  <w:tcBorders>
                    <w:tl2br w:val="nil"/>
                    <w:tr2bl w:val="nil"/>
                  </w:tcBorders>
                  <w:noWrap w:val="0"/>
                  <w:vAlign w:val="center"/>
                </w:tcPr>
                <w:p w14:paraId="2A5FB2BA">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序号</w:t>
                  </w:r>
                </w:p>
              </w:tc>
              <w:tc>
                <w:tcPr>
                  <w:tcW w:w="670" w:type="pct"/>
                  <w:tcBorders>
                    <w:tl2br w:val="nil"/>
                    <w:tr2bl w:val="nil"/>
                  </w:tcBorders>
                  <w:noWrap w:val="0"/>
                  <w:vAlign w:val="center"/>
                </w:tcPr>
                <w:p w14:paraId="51513C59">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名称</w:t>
                  </w:r>
                </w:p>
              </w:tc>
              <w:tc>
                <w:tcPr>
                  <w:tcW w:w="602" w:type="pct"/>
                  <w:tcBorders>
                    <w:tl2br w:val="nil"/>
                    <w:tr2bl w:val="nil"/>
                  </w:tcBorders>
                  <w:noWrap w:val="0"/>
                  <w:vAlign w:val="center"/>
                </w:tcPr>
                <w:p w14:paraId="5237A4CD">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占地面积（m</w:t>
                  </w:r>
                  <w:r>
                    <w:rPr>
                      <w:rFonts w:hint="default" w:ascii="Times New Roman" w:hAnsi="Times New Roman" w:eastAsia="宋体" w:cs="Times New Roman"/>
                      <w:color w:val="000000"/>
                      <w:sz w:val="18"/>
                      <w:szCs w:val="18"/>
                      <w:highlight w:val="none"/>
                      <w:vertAlign w:val="superscript"/>
                      <w:lang w:val="en-US" w:eastAsia="zh-CN"/>
                    </w:rPr>
                    <w:t>2）</w:t>
                  </w:r>
                </w:p>
              </w:tc>
              <w:tc>
                <w:tcPr>
                  <w:tcW w:w="763" w:type="pct"/>
                  <w:tcBorders>
                    <w:tl2br w:val="nil"/>
                    <w:tr2bl w:val="nil"/>
                  </w:tcBorders>
                  <w:noWrap w:val="0"/>
                  <w:vAlign w:val="center"/>
                </w:tcPr>
                <w:p w14:paraId="4E25F764">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建筑面积（m</w:t>
                  </w:r>
                  <w:r>
                    <w:rPr>
                      <w:rFonts w:hint="default" w:ascii="Times New Roman" w:hAnsi="Times New Roman" w:eastAsia="宋体" w:cs="Times New Roman"/>
                      <w:color w:val="000000"/>
                      <w:sz w:val="18"/>
                      <w:szCs w:val="18"/>
                      <w:highlight w:val="none"/>
                      <w:vertAlign w:val="superscript"/>
                      <w:lang w:val="en-US" w:eastAsia="zh-CN"/>
                    </w:rPr>
                    <w:t>2）</w:t>
                  </w:r>
                </w:p>
              </w:tc>
              <w:tc>
                <w:tcPr>
                  <w:tcW w:w="1294" w:type="pct"/>
                  <w:tcBorders>
                    <w:tl2br w:val="nil"/>
                    <w:tr2bl w:val="nil"/>
                  </w:tcBorders>
                  <w:noWrap w:val="0"/>
                  <w:vAlign w:val="center"/>
                </w:tcPr>
                <w:p w14:paraId="126AB23F">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结构型式</w:t>
                  </w:r>
                </w:p>
              </w:tc>
              <w:tc>
                <w:tcPr>
                  <w:tcW w:w="1295" w:type="pct"/>
                  <w:tcBorders>
                    <w:tl2br w:val="nil"/>
                    <w:tr2bl w:val="nil"/>
                  </w:tcBorders>
                  <w:noWrap w:val="0"/>
                  <w:vAlign w:val="center"/>
                </w:tcPr>
                <w:p w14:paraId="10D68500">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备注</w:t>
                  </w:r>
                </w:p>
              </w:tc>
            </w:tr>
            <w:tr w14:paraId="5D52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6" w:hRule="atLeast"/>
                <w:jc w:val="center"/>
              </w:trPr>
              <w:tc>
                <w:tcPr>
                  <w:tcW w:w="373" w:type="pct"/>
                  <w:tcBorders>
                    <w:tl2br w:val="nil"/>
                    <w:tr2bl w:val="nil"/>
                  </w:tcBorders>
                  <w:noWrap w:val="0"/>
                  <w:vAlign w:val="center"/>
                </w:tcPr>
                <w:p w14:paraId="604D4ED6">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w:t>
                  </w:r>
                </w:p>
              </w:tc>
              <w:tc>
                <w:tcPr>
                  <w:tcW w:w="670" w:type="pct"/>
                  <w:tcBorders>
                    <w:tl2br w:val="nil"/>
                    <w:tr2bl w:val="nil"/>
                  </w:tcBorders>
                  <w:noWrap w:val="0"/>
                  <w:vAlign w:val="center"/>
                </w:tcPr>
                <w:p w14:paraId="0E33F687">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生产车间1</w:t>
                  </w:r>
                </w:p>
              </w:tc>
              <w:tc>
                <w:tcPr>
                  <w:tcW w:w="602" w:type="pct"/>
                  <w:tcBorders>
                    <w:tl2br w:val="nil"/>
                    <w:tr2bl w:val="nil"/>
                  </w:tcBorders>
                  <w:noWrap w:val="0"/>
                  <w:vAlign w:val="center"/>
                </w:tcPr>
                <w:p w14:paraId="0FD16ECC">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5858.35</w:t>
                  </w:r>
                </w:p>
              </w:tc>
              <w:tc>
                <w:tcPr>
                  <w:tcW w:w="1296" w:type="dxa"/>
                  <w:tcBorders>
                    <w:tl2br w:val="nil"/>
                    <w:tr2bl w:val="nil"/>
                  </w:tcBorders>
                  <w:noWrap w:val="0"/>
                  <w:vAlign w:val="center"/>
                </w:tcPr>
                <w:p w14:paraId="04067A3B">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leftChars="0" w:right="0" w:rightChars="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5858.35</w:t>
                  </w:r>
                </w:p>
              </w:tc>
              <w:tc>
                <w:tcPr>
                  <w:tcW w:w="1294" w:type="pct"/>
                  <w:tcBorders>
                    <w:tl2br w:val="nil"/>
                    <w:tr2bl w:val="nil"/>
                  </w:tcBorders>
                  <w:noWrap w:val="0"/>
                  <w:vAlign w:val="center"/>
                </w:tcPr>
                <w:p w14:paraId="3E8ED3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长宽高：189.34m×30.93m×12m；</w:t>
                  </w:r>
                  <w:r>
                    <w:rPr>
                      <w:rFonts w:hint="default" w:ascii="Times New Roman" w:hAnsi="Times New Roman" w:eastAsia="宋体" w:cs="Times New Roman"/>
                      <w:color w:val="000000"/>
                      <w:sz w:val="18"/>
                      <w:szCs w:val="18"/>
                      <w:highlight w:val="none"/>
                      <w:lang w:val="en-US" w:eastAsia="zh-CN"/>
                    </w:rPr>
                    <w:t>1.5m基础墙+单层彩钢结构</w:t>
                  </w:r>
                </w:p>
              </w:tc>
              <w:tc>
                <w:tcPr>
                  <w:tcW w:w="1295" w:type="pct"/>
                  <w:tcBorders>
                    <w:tl2br w:val="nil"/>
                    <w:tr2bl w:val="nil"/>
                  </w:tcBorders>
                  <w:noWrap w:val="0"/>
                  <w:vAlign w:val="center"/>
                </w:tcPr>
                <w:p w14:paraId="701C31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依托现有</w:t>
                  </w:r>
                  <w:r>
                    <w:rPr>
                      <w:rFonts w:hint="default" w:ascii="Times New Roman" w:hAnsi="Times New Roman" w:cs="Times New Roman"/>
                      <w:color w:val="000000"/>
                      <w:sz w:val="18"/>
                      <w:szCs w:val="18"/>
                      <w:highlight w:val="none"/>
                      <w:lang w:val="en-US" w:eastAsia="zh-CN"/>
                    </w:rPr>
                    <w:t>，内含20m</w:t>
                  </w:r>
                  <w:r>
                    <w:rPr>
                      <w:rFonts w:hint="default" w:ascii="Times New Roman" w:hAnsi="Times New Roman" w:cs="Times New Roman"/>
                      <w:color w:val="000000"/>
                      <w:sz w:val="18"/>
                      <w:szCs w:val="18"/>
                      <w:highlight w:val="none"/>
                      <w:vertAlign w:val="superscript"/>
                      <w:lang w:val="en-US" w:eastAsia="zh-CN"/>
                    </w:rPr>
                    <w:t>2</w:t>
                  </w:r>
                  <w:r>
                    <w:rPr>
                      <w:rFonts w:hint="default" w:ascii="Times New Roman" w:hAnsi="Times New Roman" w:cs="Times New Roman"/>
                      <w:color w:val="000000"/>
                      <w:sz w:val="18"/>
                      <w:szCs w:val="18"/>
                      <w:highlight w:val="none"/>
                      <w:lang w:val="en-US" w:eastAsia="zh-CN"/>
                    </w:rPr>
                    <w:t>危废间</w:t>
                  </w:r>
                </w:p>
              </w:tc>
            </w:tr>
            <w:tr w14:paraId="5E68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73" w:type="pct"/>
                  <w:tcBorders>
                    <w:tl2br w:val="nil"/>
                    <w:tr2bl w:val="nil"/>
                  </w:tcBorders>
                  <w:shd w:val="clear" w:color="auto" w:fill="auto"/>
                  <w:noWrap w:val="0"/>
                  <w:vAlign w:val="center"/>
                </w:tcPr>
                <w:p w14:paraId="0A65C0F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pacing w:val="6"/>
                      <w:kern w:val="2"/>
                      <w:sz w:val="18"/>
                      <w:szCs w:val="18"/>
                      <w:highlight w:val="none"/>
                      <w:lang w:val="en-US" w:eastAsia="zh-CN" w:bidi="ar-SA"/>
                    </w:rPr>
                  </w:pPr>
                  <w:r>
                    <w:rPr>
                      <w:rFonts w:hint="default" w:ascii="Times New Roman" w:hAnsi="Times New Roman" w:eastAsia="宋体" w:cs="Times New Roman"/>
                      <w:color w:val="000000"/>
                      <w:spacing w:val="6"/>
                      <w:sz w:val="18"/>
                      <w:szCs w:val="18"/>
                      <w:highlight w:val="none"/>
                      <w:lang w:val="en-US" w:eastAsia="zh-CN"/>
                    </w:rPr>
                    <w:t>2</w:t>
                  </w:r>
                </w:p>
              </w:tc>
              <w:tc>
                <w:tcPr>
                  <w:tcW w:w="670" w:type="pct"/>
                  <w:tcBorders>
                    <w:tl2br w:val="nil"/>
                    <w:tr2bl w:val="nil"/>
                  </w:tcBorders>
                  <w:noWrap w:val="0"/>
                  <w:vAlign w:val="center"/>
                </w:tcPr>
                <w:p w14:paraId="7F2EFA41">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生产车间2</w:t>
                  </w:r>
                </w:p>
              </w:tc>
              <w:tc>
                <w:tcPr>
                  <w:tcW w:w="602" w:type="pct"/>
                  <w:tcBorders>
                    <w:tl2br w:val="nil"/>
                    <w:tr2bl w:val="nil"/>
                  </w:tcBorders>
                  <w:noWrap w:val="0"/>
                  <w:vAlign w:val="center"/>
                </w:tcPr>
                <w:p w14:paraId="40A42181">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right="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10755.97</w:t>
                  </w:r>
                </w:p>
              </w:tc>
              <w:tc>
                <w:tcPr>
                  <w:tcW w:w="1296" w:type="dxa"/>
                  <w:tcBorders>
                    <w:tl2br w:val="nil"/>
                    <w:tr2bl w:val="nil"/>
                  </w:tcBorders>
                  <w:noWrap w:val="0"/>
                  <w:vAlign w:val="center"/>
                </w:tcPr>
                <w:p w14:paraId="539A1F7F">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tLeast"/>
                    <w:ind w:left="0" w:leftChars="0" w:right="0" w:rightChars="0" w:firstLine="0" w:firstLineChars="0"/>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10755.97</w:t>
                  </w:r>
                </w:p>
              </w:tc>
              <w:tc>
                <w:tcPr>
                  <w:tcW w:w="1294" w:type="pct"/>
                  <w:tcBorders>
                    <w:tl2br w:val="nil"/>
                    <w:tr2bl w:val="nil"/>
                  </w:tcBorders>
                  <w:noWrap w:val="0"/>
                  <w:vAlign w:val="center"/>
                </w:tcPr>
                <w:p w14:paraId="44683F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长宽高：219.42m×49.02m×12m；</w:t>
                  </w:r>
                  <w:r>
                    <w:rPr>
                      <w:rFonts w:hint="default" w:ascii="Times New Roman" w:hAnsi="Times New Roman" w:eastAsia="宋体" w:cs="Times New Roman"/>
                      <w:color w:val="000000"/>
                      <w:sz w:val="18"/>
                      <w:szCs w:val="18"/>
                      <w:highlight w:val="none"/>
                      <w:lang w:val="en-US" w:eastAsia="zh-CN"/>
                    </w:rPr>
                    <w:t>1.5m基础墙+单层彩钢结构</w:t>
                  </w:r>
                </w:p>
              </w:tc>
              <w:tc>
                <w:tcPr>
                  <w:tcW w:w="1295" w:type="pct"/>
                  <w:tcBorders>
                    <w:tl2br w:val="nil"/>
                    <w:tr2bl w:val="nil"/>
                  </w:tcBorders>
                  <w:noWrap w:val="0"/>
                  <w:vAlign w:val="center"/>
                </w:tcPr>
                <w:p w14:paraId="2F429F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依托现有</w:t>
                  </w:r>
                </w:p>
              </w:tc>
            </w:tr>
            <w:tr w14:paraId="0221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73" w:type="pct"/>
                  <w:tcBorders>
                    <w:tl2br w:val="nil"/>
                    <w:tr2bl w:val="nil"/>
                  </w:tcBorders>
                  <w:shd w:val="clear" w:color="auto" w:fill="auto"/>
                  <w:noWrap w:val="0"/>
                  <w:vAlign w:val="center"/>
                </w:tcPr>
                <w:p w14:paraId="54D22A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spacing w:val="6"/>
                      <w:kern w:val="2"/>
                      <w:sz w:val="18"/>
                      <w:szCs w:val="18"/>
                      <w:highlight w:val="none"/>
                      <w:lang w:val="en-US" w:eastAsia="zh-CN" w:bidi="ar-SA"/>
                    </w:rPr>
                  </w:pPr>
                  <w:r>
                    <w:rPr>
                      <w:rFonts w:hint="default" w:ascii="Times New Roman" w:hAnsi="Times New Roman" w:eastAsia="宋体" w:cs="Times New Roman"/>
                      <w:color w:val="000000"/>
                      <w:spacing w:val="6"/>
                      <w:sz w:val="18"/>
                      <w:szCs w:val="18"/>
                      <w:highlight w:val="none"/>
                      <w:lang w:val="en-US" w:eastAsia="zh-CN"/>
                    </w:rPr>
                    <w:t>3</w:t>
                  </w:r>
                </w:p>
              </w:tc>
              <w:tc>
                <w:tcPr>
                  <w:tcW w:w="670" w:type="pct"/>
                  <w:tcBorders>
                    <w:tl2br w:val="nil"/>
                    <w:tr2bl w:val="nil"/>
                  </w:tcBorders>
                  <w:noWrap w:val="0"/>
                  <w:vAlign w:val="center"/>
                </w:tcPr>
                <w:p w14:paraId="0151D5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办公</w:t>
                  </w:r>
                  <w:r>
                    <w:rPr>
                      <w:rFonts w:hint="default" w:ascii="Times New Roman" w:hAnsi="Times New Roman" w:cs="Times New Roman"/>
                      <w:color w:val="000000"/>
                      <w:kern w:val="2"/>
                      <w:sz w:val="18"/>
                      <w:szCs w:val="18"/>
                      <w:highlight w:val="none"/>
                      <w:lang w:val="en-US" w:eastAsia="zh-CN" w:bidi="ar-SA"/>
                    </w:rPr>
                    <w:t>楼</w:t>
                  </w:r>
                </w:p>
              </w:tc>
              <w:tc>
                <w:tcPr>
                  <w:tcW w:w="602" w:type="pct"/>
                  <w:tcBorders>
                    <w:tl2br w:val="nil"/>
                    <w:tr2bl w:val="nil"/>
                  </w:tcBorders>
                  <w:noWrap w:val="0"/>
                  <w:vAlign w:val="center"/>
                </w:tcPr>
                <w:p w14:paraId="159907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cs="Times New Roman"/>
                      <w:color w:val="000000"/>
                      <w:kern w:val="2"/>
                      <w:sz w:val="18"/>
                      <w:szCs w:val="18"/>
                      <w:highlight w:val="none"/>
                      <w:lang w:val="en-US" w:eastAsia="zh-CN" w:bidi="ar-SA"/>
                    </w:rPr>
                    <w:t>2327.81</w:t>
                  </w:r>
                </w:p>
              </w:tc>
              <w:tc>
                <w:tcPr>
                  <w:tcW w:w="1296" w:type="dxa"/>
                  <w:tcBorders>
                    <w:tl2br w:val="nil"/>
                    <w:tr2bl w:val="nil"/>
                  </w:tcBorders>
                  <w:noWrap w:val="0"/>
                  <w:vAlign w:val="center"/>
                </w:tcPr>
                <w:p w14:paraId="144C2C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cs="Times New Roman"/>
                      <w:color w:val="000000"/>
                      <w:kern w:val="2"/>
                      <w:sz w:val="18"/>
                      <w:szCs w:val="18"/>
                      <w:highlight w:val="none"/>
                      <w:lang w:val="en-US" w:eastAsia="zh-CN" w:bidi="ar-SA"/>
                    </w:rPr>
                    <w:t>2327.81</w:t>
                  </w:r>
                </w:p>
              </w:tc>
              <w:tc>
                <w:tcPr>
                  <w:tcW w:w="1294" w:type="pct"/>
                  <w:tcBorders>
                    <w:tl2br w:val="nil"/>
                    <w:tr2bl w:val="nil"/>
                  </w:tcBorders>
                  <w:noWrap w:val="0"/>
                  <w:vAlign w:val="center"/>
                </w:tcPr>
                <w:p w14:paraId="2B8FA2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000000"/>
                      <w:spacing w:val="6"/>
                      <w:sz w:val="18"/>
                      <w:szCs w:val="18"/>
                      <w:highlight w:val="none"/>
                      <w:lang w:val="en-US" w:eastAsia="zh-CN"/>
                    </w:rPr>
                  </w:pPr>
                  <w:r>
                    <w:rPr>
                      <w:rFonts w:hint="default" w:ascii="Times New Roman" w:hAnsi="Times New Roman" w:cs="Times New Roman"/>
                      <w:color w:val="000000"/>
                      <w:spacing w:val="6"/>
                      <w:sz w:val="18"/>
                      <w:szCs w:val="18"/>
                      <w:highlight w:val="none"/>
                      <w:lang w:val="en-US" w:eastAsia="zh-CN"/>
                    </w:rPr>
                    <w:t>4层，</w:t>
                  </w:r>
                  <w:r>
                    <w:rPr>
                      <w:rFonts w:hint="default" w:ascii="Times New Roman" w:hAnsi="Times New Roman" w:eastAsia="宋体" w:cs="Times New Roman"/>
                      <w:color w:val="000000"/>
                      <w:spacing w:val="6"/>
                      <w:sz w:val="18"/>
                      <w:szCs w:val="18"/>
                      <w:highlight w:val="none"/>
                      <w:lang w:val="en-US" w:eastAsia="zh-CN"/>
                    </w:rPr>
                    <w:t>砖混</w:t>
                  </w:r>
                  <w:r>
                    <w:rPr>
                      <w:rFonts w:hint="default" w:ascii="Times New Roman" w:hAnsi="Times New Roman" w:cs="Times New Roman"/>
                      <w:color w:val="000000"/>
                      <w:spacing w:val="6"/>
                      <w:sz w:val="18"/>
                      <w:szCs w:val="18"/>
                      <w:highlight w:val="none"/>
                      <w:lang w:val="en-US" w:eastAsia="zh-CN"/>
                    </w:rPr>
                    <w:t>结构</w:t>
                  </w:r>
                </w:p>
              </w:tc>
              <w:tc>
                <w:tcPr>
                  <w:tcW w:w="1295" w:type="pct"/>
                  <w:tcBorders>
                    <w:tl2br w:val="nil"/>
                    <w:tr2bl w:val="nil"/>
                  </w:tcBorders>
                  <w:noWrap w:val="0"/>
                  <w:vAlign w:val="center"/>
                </w:tcPr>
                <w:p w14:paraId="445D8E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依托现有</w:t>
                  </w:r>
                </w:p>
              </w:tc>
            </w:tr>
          </w:tbl>
          <w:p w14:paraId="3B403949">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8</w:t>
            </w:r>
            <w:r>
              <w:rPr>
                <w:rFonts w:hint="default" w:ascii="Times New Roman" w:hAnsi="Times New Roman" w:eastAsia="宋体" w:cs="Times New Roman"/>
                <w:color w:val="000000"/>
                <w:sz w:val="24"/>
                <w:szCs w:val="24"/>
                <w:highlight w:val="none"/>
              </w:rPr>
              <w:t>、</w:t>
            </w:r>
            <w:r>
              <w:rPr>
                <w:rFonts w:hint="default" w:ascii="Times New Roman" w:hAnsi="Times New Roman" w:eastAsia="宋体" w:cs="Times New Roman"/>
                <w:color w:val="000000"/>
                <w:sz w:val="24"/>
                <w:szCs w:val="24"/>
                <w:highlight w:val="none"/>
                <w:lang w:val="en-US" w:eastAsia="zh-CN"/>
              </w:rPr>
              <w:t>产品方案及产品执行标准</w:t>
            </w:r>
          </w:p>
          <w:p w14:paraId="464633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center"/>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表</w:t>
            </w:r>
            <w:r>
              <w:rPr>
                <w:rFonts w:hint="default" w:ascii="Times New Roman" w:hAnsi="Times New Roman" w:eastAsia="宋体" w:cs="Times New Roman"/>
                <w:b/>
                <w:bCs/>
                <w:color w:val="000000"/>
                <w:sz w:val="24"/>
                <w:szCs w:val="24"/>
                <w:highlight w:val="none"/>
                <w:lang w:val="en-US" w:eastAsia="zh-CN"/>
              </w:rPr>
              <w:t>2-</w:t>
            </w:r>
            <w:r>
              <w:rPr>
                <w:rFonts w:hint="default" w:ascii="Times New Roman" w:hAnsi="Times New Roman" w:cs="Times New Roman"/>
                <w:b/>
                <w:bCs/>
                <w:color w:val="000000"/>
                <w:sz w:val="24"/>
                <w:szCs w:val="24"/>
                <w:highlight w:val="none"/>
                <w:lang w:val="en-US" w:eastAsia="zh-CN"/>
              </w:rPr>
              <w:t>3</w:t>
            </w:r>
            <w:r>
              <w:rPr>
                <w:rFonts w:hint="default" w:ascii="Times New Roman" w:hAnsi="Times New Roman" w:eastAsia="宋体" w:cs="Times New Roman"/>
                <w:b/>
                <w:bCs/>
                <w:color w:val="000000"/>
                <w:sz w:val="24"/>
                <w:szCs w:val="24"/>
                <w:highlight w:val="none"/>
                <w:lang w:val="en-US" w:eastAsia="zh-CN"/>
              </w:rPr>
              <w:t xml:space="preserve">    </w:t>
            </w:r>
            <w:r>
              <w:rPr>
                <w:rFonts w:hint="default" w:ascii="Times New Roman" w:hAnsi="Times New Roman" w:eastAsia="宋体" w:cs="Times New Roman"/>
                <w:b/>
                <w:bCs/>
                <w:color w:val="000000"/>
                <w:sz w:val="24"/>
                <w:szCs w:val="24"/>
                <w:highlight w:val="none"/>
              </w:rPr>
              <w:t>产品方案一览表</w:t>
            </w:r>
          </w:p>
          <w:tbl>
            <w:tblPr>
              <w:tblStyle w:val="67"/>
              <w:tblW w:w="499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0"/>
              <w:gridCol w:w="1070"/>
              <w:gridCol w:w="1022"/>
              <w:gridCol w:w="799"/>
              <w:gridCol w:w="1771"/>
              <w:gridCol w:w="3009"/>
            </w:tblGrid>
            <w:tr w14:paraId="55FD4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418" w:type="pct"/>
                  <w:tcBorders>
                    <w:top w:val="single" w:color="000000" w:sz="2" w:space="0"/>
                    <w:left w:val="single" w:color="000000" w:sz="2" w:space="0"/>
                  </w:tcBorders>
                  <w:vAlign w:val="center"/>
                </w:tcPr>
                <w:p w14:paraId="1F2AED64">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序号</w:t>
                  </w:r>
                </w:p>
              </w:tc>
              <w:tc>
                <w:tcPr>
                  <w:tcW w:w="639" w:type="pct"/>
                  <w:tcBorders>
                    <w:top w:val="single" w:color="000000" w:sz="2" w:space="0"/>
                  </w:tcBorders>
                  <w:vAlign w:val="center"/>
                </w:tcPr>
                <w:p w14:paraId="44D0C9DA">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产品名称</w:t>
                  </w:r>
                </w:p>
              </w:tc>
              <w:tc>
                <w:tcPr>
                  <w:tcW w:w="610" w:type="pct"/>
                  <w:tcBorders>
                    <w:top w:val="single" w:color="000000" w:sz="2" w:space="0"/>
                  </w:tcBorders>
                  <w:vAlign w:val="center"/>
                </w:tcPr>
                <w:p w14:paraId="4C90FFB5">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单位</w:t>
                  </w:r>
                </w:p>
              </w:tc>
              <w:tc>
                <w:tcPr>
                  <w:tcW w:w="477" w:type="pct"/>
                  <w:tcBorders>
                    <w:top w:val="single" w:color="000000" w:sz="2" w:space="0"/>
                    <w:right w:val="single" w:color="000000" w:sz="2" w:space="0"/>
                  </w:tcBorders>
                  <w:vAlign w:val="center"/>
                </w:tcPr>
                <w:p w14:paraId="6D691EE0">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数量</w:t>
                  </w:r>
                </w:p>
              </w:tc>
              <w:tc>
                <w:tcPr>
                  <w:tcW w:w="1057" w:type="pct"/>
                  <w:tcBorders>
                    <w:top w:val="single" w:color="000000" w:sz="2" w:space="0"/>
                    <w:right w:val="single" w:color="000000" w:sz="2" w:space="0"/>
                  </w:tcBorders>
                  <w:vAlign w:val="center"/>
                </w:tcPr>
                <w:p w14:paraId="328CE0E4">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去向</w:t>
                  </w:r>
                </w:p>
              </w:tc>
              <w:tc>
                <w:tcPr>
                  <w:tcW w:w="1796" w:type="pct"/>
                  <w:tcBorders>
                    <w:top w:val="single" w:color="000000" w:sz="2" w:space="0"/>
                    <w:right w:val="single" w:color="000000" w:sz="2" w:space="0"/>
                  </w:tcBorders>
                  <w:vAlign w:val="center"/>
                </w:tcPr>
                <w:p w14:paraId="2FF2C6DE">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执行标准</w:t>
                  </w:r>
                </w:p>
              </w:tc>
            </w:tr>
            <w:tr w14:paraId="55F8C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418" w:type="pct"/>
                  <w:tcBorders>
                    <w:left w:val="single" w:color="000000" w:sz="2" w:space="0"/>
                  </w:tcBorders>
                  <w:vAlign w:val="center"/>
                </w:tcPr>
                <w:p w14:paraId="153294FB">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w:t>
                  </w:r>
                </w:p>
              </w:tc>
              <w:tc>
                <w:tcPr>
                  <w:tcW w:w="639" w:type="pct"/>
                  <w:vAlign w:val="center"/>
                </w:tcPr>
                <w:p w14:paraId="5351CD87">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燃料颗粒</w:t>
                  </w:r>
                </w:p>
              </w:tc>
              <w:tc>
                <w:tcPr>
                  <w:tcW w:w="610" w:type="pct"/>
                  <w:vAlign w:val="center"/>
                </w:tcPr>
                <w:p w14:paraId="16F48C2A">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万吨/年</w:t>
                  </w:r>
                </w:p>
              </w:tc>
              <w:tc>
                <w:tcPr>
                  <w:tcW w:w="477" w:type="pct"/>
                  <w:tcBorders>
                    <w:right w:val="single" w:color="000000" w:sz="2" w:space="0"/>
                  </w:tcBorders>
                  <w:vAlign w:val="center"/>
                </w:tcPr>
                <w:p w14:paraId="7151DCAC">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10</w:t>
                  </w:r>
                </w:p>
              </w:tc>
              <w:tc>
                <w:tcPr>
                  <w:tcW w:w="1057" w:type="pct"/>
                  <w:tcBorders>
                    <w:right w:val="single" w:color="000000" w:sz="2" w:space="0"/>
                  </w:tcBorders>
                  <w:vAlign w:val="center"/>
                </w:tcPr>
                <w:p w14:paraId="13842F07">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其中2.7万t自用，剩余7.3t作为产品外售，主要用于火力发电和水泥窑用固体替代燃料</w:t>
                  </w:r>
                </w:p>
              </w:tc>
              <w:tc>
                <w:tcPr>
                  <w:tcW w:w="1796" w:type="pct"/>
                  <w:tcBorders>
                    <w:right w:val="single" w:color="000000" w:sz="2" w:space="0"/>
                  </w:tcBorders>
                  <w:vAlign w:val="center"/>
                </w:tcPr>
                <w:p w14:paraId="5133B7B1">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《火力发电用固体替代燃料》（T/CIC048-2021）、《水泥窑用固体替代燃料》（T/CIC049-2021）</w:t>
                  </w:r>
                </w:p>
              </w:tc>
            </w:tr>
            <w:tr w14:paraId="28B5C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418" w:type="pct"/>
                  <w:tcBorders>
                    <w:left w:val="single" w:color="000000" w:sz="2" w:space="0"/>
                  </w:tcBorders>
                  <w:vAlign w:val="center"/>
                </w:tcPr>
                <w:p w14:paraId="6E7A2616">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2</w:t>
                  </w:r>
                </w:p>
              </w:tc>
              <w:tc>
                <w:tcPr>
                  <w:tcW w:w="639" w:type="pct"/>
                  <w:vAlign w:val="center"/>
                </w:tcPr>
                <w:p w14:paraId="307290F0">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营养土</w:t>
                  </w:r>
                </w:p>
              </w:tc>
              <w:tc>
                <w:tcPr>
                  <w:tcW w:w="610" w:type="pct"/>
                  <w:vAlign w:val="center"/>
                </w:tcPr>
                <w:p w14:paraId="7DD81467">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万吨/年</w:t>
                  </w:r>
                </w:p>
              </w:tc>
              <w:tc>
                <w:tcPr>
                  <w:tcW w:w="477" w:type="pct"/>
                  <w:tcBorders>
                    <w:right w:val="single" w:color="000000" w:sz="2" w:space="0"/>
                  </w:tcBorders>
                  <w:vAlign w:val="center"/>
                </w:tcPr>
                <w:p w14:paraId="32FA9CDC">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13</w:t>
                  </w:r>
                </w:p>
              </w:tc>
              <w:tc>
                <w:tcPr>
                  <w:tcW w:w="1057" w:type="pct"/>
                  <w:tcBorders>
                    <w:right w:val="single" w:color="000000" w:sz="2" w:space="0"/>
                  </w:tcBorders>
                  <w:vAlign w:val="center"/>
                </w:tcPr>
                <w:p w14:paraId="58908985">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其中5万吨作为原料生产替代燃料颗粒，8万吨作为产品外售，主要用于园林、绿化等专用营养土</w:t>
                  </w:r>
                </w:p>
              </w:tc>
              <w:tc>
                <w:tcPr>
                  <w:tcW w:w="1796" w:type="pct"/>
                  <w:tcBorders>
                    <w:right w:val="single" w:color="000000" w:sz="2" w:space="0"/>
                  </w:tcBorders>
                  <w:vAlign w:val="center"/>
                </w:tcPr>
                <w:p w14:paraId="648ECD8D">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《城镇污水处理厂污泥处置园林绿化用泥质》（GB/T23486-2009）、《城镇污水处理厂污泥处置土地改良用泥质》（GB/T24600-2009</w:t>
                  </w:r>
                  <w:r>
                    <w:rPr>
                      <w:rFonts w:hint="eastAsia" w:ascii="Times New Roman" w:hAnsi="Times New Roman" w:eastAsia="宋体" w:cs="Times New Roman"/>
                      <w:color w:val="000000"/>
                      <w:sz w:val="18"/>
                      <w:szCs w:val="18"/>
                      <w:highlight w:val="none"/>
                      <w:lang w:val="en-US" w:eastAsia="zh-CN"/>
                    </w:rPr>
                    <w:t>）</w:t>
                  </w:r>
                </w:p>
              </w:tc>
            </w:tr>
            <w:tr w14:paraId="64FC6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418" w:type="pct"/>
                  <w:tcBorders>
                    <w:left w:val="single" w:color="000000" w:sz="2" w:space="0"/>
                    <w:bottom w:val="single" w:color="000000" w:sz="2" w:space="0"/>
                  </w:tcBorders>
                  <w:vAlign w:val="center"/>
                </w:tcPr>
                <w:p w14:paraId="5CC97B67">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3</w:t>
                  </w:r>
                </w:p>
              </w:tc>
              <w:tc>
                <w:tcPr>
                  <w:tcW w:w="639" w:type="pct"/>
                  <w:tcBorders>
                    <w:bottom w:val="single" w:color="000000" w:sz="2" w:space="0"/>
                  </w:tcBorders>
                  <w:vAlign w:val="center"/>
                </w:tcPr>
                <w:p w14:paraId="4161FC7E">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免烧砖</w:t>
                  </w:r>
                </w:p>
              </w:tc>
              <w:tc>
                <w:tcPr>
                  <w:tcW w:w="610" w:type="pct"/>
                  <w:tcBorders>
                    <w:bottom w:val="single" w:color="000000" w:sz="2" w:space="0"/>
                  </w:tcBorders>
                  <w:vAlign w:val="center"/>
                </w:tcPr>
                <w:p w14:paraId="26F1CB85">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万块/年</w:t>
                  </w:r>
                </w:p>
              </w:tc>
              <w:tc>
                <w:tcPr>
                  <w:tcW w:w="477" w:type="pct"/>
                  <w:tcBorders>
                    <w:bottom w:val="single" w:color="000000" w:sz="2" w:space="0"/>
                    <w:right w:val="single" w:color="000000" w:sz="2" w:space="0"/>
                  </w:tcBorders>
                  <w:vAlign w:val="center"/>
                </w:tcPr>
                <w:p w14:paraId="17109A0C">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8500</w:t>
                  </w:r>
                </w:p>
              </w:tc>
              <w:tc>
                <w:tcPr>
                  <w:tcW w:w="1057" w:type="pct"/>
                  <w:tcBorders>
                    <w:bottom w:val="single" w:color="000000" w:sz="2" w:space="0"/>
                    <w:right w:val="single" w:color="000000" w:sz="2" w:space="0"/>
                  </w:tcBorders>
                  <w:vAlign w:val="center"/>
                </w:tcPr>
                <w:p w14:paraId="3A9D2931">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作为产品外售，主要用于</w:t>
                  </w:r>
                  <w:r>
                    <w:rPr>
                      <w:rFonts w:hint="default" w:ascii="Times New Roman" w:hAnsi="Times New Roman" w:eastAsia="宋体" w:cs="Times New Roman"/>
                      <w:color w:val="auto"/>
                      <w:sz w:val="18"/>
                      <w:szCs w:val="18"/>
                      <w:highlight w:val="none"/>
                    </w:rPr>
                    <w:t>混凝土路面</w:t>
                  </w:r>
                  <w:r>
                    <w:rPr>
                      <w:rFonts w:hint="default" w:ascii="Times New Roman" w:hAnsi="Times New Roman" w:eastAsia="宋体" w:cs="Times New Roman"/>
                      <w:color w:val="auto"/>
                      <w:sz w:val="18"/>
                      <w:szCs w:val="18"/>
                      <w:highlight w:val="none"/>
                      <w:lang w:val="en-US" w:eastAsia="zh-CN"/>
                    </w:rPr>
                    <w:t>等</w:t>
                  </w:r>
                </w:p>
              </w:tc>
              <w:tc>
                <w:tcPr>
                  <w:tcW w:w="1796" w:type="pct"/>
                  <w:tcBorders>
                    <w:bottom w:val="single" w:color="000000" w:sz="2" w:space="0"/>
                    <w:right w:val="single" w:color="000000" w:sz="2" w:space="0"/>
                  </w:tcBorders>
                  <w:vAlign w:val="center"/>
                </w:tcPr>
                <w:p w14:paraId="553D0A46">
                  <w:pPr>
                    <w:pStyle w:val="5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right="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auto"/>
                      <w:sz w:val="18"/>
                      <w:szCs w:val="18"/>
                      <w:highlight w:val="none"/>
                    </w:rPr>
                    <w:t>《混凝土路面砖》（GB28635-2012）</w:t>
                  </w:r>
                </w:p>
              </w:tc>
            </w:tr>
          </w:tbl>
          <w:p w14:paraId="60863127">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①营养土：</w:t>
            </w:r>
            <w:r>
              <w:rPr>
                <w:rFonts w:hint="default" w:ascii="Times New Roman" w:hAnsi="Times New Roman" w:cs="Times New Roman"/>
                <w:color w:val="auto"/>
                <w:sz w:val="24"/>
              </w:rPr>
              <w:t>营养土是园林、路桥边坡植被护坡专用营养土或基材，</w:t>
            </w:r>
            <w:r>
              <w:rPr>
                <w:rFonts w:hint="default" w:ascii="Times New Roman" w:hAnsi="Times New Roman" w:eastAsia="宋体" w:cs="Times New Roman"/>
                <w:color w:val="auto"/>
                <w:sz w:val="24"/>
                <w:lang w:val="en-US" w:eastAsia="zh-CN"/>
              </w:rPr>
              <w:t>本项目</w:t>
            </w:r>
            <w:r>
              <w:rPr>
                <w:rFonts w:hint="default" w:ascii="Times New Roman" w:hAnsi="Times New Roman" w:cs="Times New Roman"/>
                <w:color w:val="auto"/>
                <w:sz w:val="24"/>
              </w:rPr>
              <w:t>营养土</w:t>
            </w:r>
            <w:r>
              <w:rPr>
                <w:rFonts w:hint="default" w:ascii="Times New Roman" w:hAnsi="Times New Roman" w:eastAsia="宋体" w:cs="Times New Roman"/>
                <w:color w:val="auto"/>
                <w:sz w:val="24"/>
                <w:lang w:val="en-US" w:eastAsia="zh-CN"/>
              </w:rPr>
              <w:t>出厂指标要求达到《城</w:t>
            </w:r>
            <w:r>
              <w:rPr>
                <w:rFonts w:hint="default" w:ascii="Times New Roman" w:hAnsi="Times New Roman" w:cs="Times New Roman"/>
                <w:color w:val="auto"/>
                <w:sz w:val="24"/>
                <w:lang w:val="en-US" w:eastAsia="zh-CN"/>
              </w:rPr>
              <w:t>镇污</w:t>
            </w:r>
            <w:r>
              <w:rPr>
                <w:rFonts w:hint="default" w:ascii="Times New Roman" w:hAnsi="Times New Roman" w:eastAsia="宋体" w:cs="Times New Roman"/>
                <w:color w:val="auto"/>
                <w:sz w:val="24"/>
                <w:lang w:val="en-US" w:eastAsia="zh-CN"/>
              </w:rPr>
              <w:t>水</w:t>
            </w:r>
            <w:r>
              <w:rPr>
                <w:rFonts w:hint="default" w:ascii="Times New Roman" w:hAnsi="Times New Roman" w:cs="Times New Roman"/>
                <w:color w:val="auto"/>
                <w:sz w:val="24"/>
                <w:lang w:val="en-US" w:eastAsia="zh-CN"/>
              </w:rPr>
              <w:t>处理</w:t>
            </w:r>
            <w:r>
              <w:rPr>
                <w:rFonts w:hint="default" w:ascii="Times New Roman" w:hAnsi="Times New Roman" w:eastAsia="宋体" w:cs="Times New Roman"/>
                <w:color w:val="auto"/>
                <w:sz w:val="24"/>
                <w:lang w:val="en-US" w:eastAsia="zh-CN"/>
              </w:rPr>
              <w:t>厂污泥处置园林绿化用泥质》</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GB/T23486-2009</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、《城镇污水处理厂污泥处置土地改良用泥质》</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GB/T24600-2009</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《农用污泥污染物控制标准》（GB4284-2018）</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《城镇污水处理厂污泥处置 林地用泥质》（CJ/T 362—2011）</w:t>
            </w:r>
            <w:r>
              <w:rPr>
                <w:rFonts w:hint="default" w:ascii="Times New Roman" w:hAnsi="Times New Roman" w:cs="Times New Roman"/>
                <w:color w:val="auto"/>
                <w:sz w:val="24"/>
                <w:lang w:val="en-US" w:eastAsia="zh-CN"/>
              </w:rPr>
              <w:t>和</w:t>
            </w:r>
            <w:r>
              <w:rPr>
                <w:rFonts w:hint="default" w:ascii="Times New Roman" w:hAnsi="Times New Roman" w:eastAsia="宋体" w:cs="Times New Roman"/>
                <w:color w:val="auto"/>
                <w:sz w:val="24"/>
                <w:lang w:val="en-US" w:eastAsia="zh-CN"/>
              </w:rPr>
              <w:t>《污泥制备的园林绿化营养土》（</w:t>
            </w:r>
            <w:r>
              <w:rPr>
                <w:rFonts w:hint="default" w:ascii="Times New Roman" w:hAnsi="Times New Roman" w:eastAsia="宋体" w:cs="Times New Roman"/>
                <w:color w:val="auto"/>
                <w:sz w:val="24"/>
                <w:lang w:val="en-US" w:eastAsia="zh-CN"/>
              </w:rPr>
              <w:fldChar w:fldCharType="begin"/>
            </w:r>
            <w:r>
              <w:rPr>
                <w:rFonts w:hint="default" w:ascii="Times New Roman" w:hAnsi="Times New Roman" w:eastAsia="宋体" w:cs="Times New Roman"/>
                <w:color w:val="auto"/>
                <w:sz w:val="24"/>
                <w:lang w:val="en-US" w:eastAsia="zh-CN"/>
              </w:rPr>
              <w:instrText xml:space="preserve"> HYPERLINK "http://www.baidu.com/link?url=aokvEr6ce07n-Ew_m_igrrVIJsF8J-di9p0QSgPscHbpDT08YmLKjhtjPnpiWxf1ZRtSUTw5wAfSl763wo2jJq" \t "https://www.baidu.com/_blank" </w:instrText>
            </w:r>
            <w:r>
              <w:rPr>
                <w:rFonts w:hint="default" w:ascii="Times New Roman" w:hAnsi="Times New Roman" w:eastAsia="宋体" w:cs="Times New Roman"/>
                <w:color w:val="auto"/>
                <w:sz w:val="24"/>
                <w:lang w:val="en-US" w:eastAsia="zh-CN"/>
              </w:rPr>
              <w:fldChar w:fldCharType="separate"/>
            </w:r>
            <w:r>
              <w:rPr>
                <w:rFonts w:hint="default" w:ascii="Times New Roman" w:hAnsi="Times New Roman" w:eastAsia="宋体" w:cs="Times New Roman"/>
                <w:color w:val="auto"/>
                <w:sz w:val="24"/>
                <w:lang w:val="en-US" w:eastAsia="zh-CN"/>
              </w:rPr>
              <w:t>T/CACE 046-2021</w:t>
            </w:r>
            <w:r>
              <w:rPr>
                <w:rFonts w:hint="default" w:ascii="Times New Roman" w:hAnsi="Times New Roman" w:eastAsia="宋体" w:cs="Times New Roman"/>
                <w:color w:val="auto"/>
                <w:sz w:val="24"/>
                <w:lang w:val="en-US" w:eastAsia="zh-CN"/>
              </w:rPr>
              <w:fldChar w:fldCharType="end"/>
            </w:r>
            <w:r>
              <w:rPr>
                <w:rFonts w:hint="default" w:ascii="Times New Roman" w:hAnsi="Times New Roman" w:eastAsia="宋体" w:cs="Times New Roman"/>
                <w:color w:val="auto"/>
                <w:sz w:val="24"/>
                <w:lang w:val="en-US" w:eastAsia="zh-CN"/>
              </w:rPr>
              <w:t>）限值，按照要求经成分检测、产品分级后方可出厂，部分指标见下。</w:t>
            </w:r>
          </w:p>
          <w:p w14:paraId="2F91ACF7">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vertAlign w:val="baseline"/>
                <w:lang w:val="en-US" w:eastAsia="zh-CN"/>
              </w:rPr>
            </w:pPr>
            <w:r>
              <w:rPr>
                <w:rFonts w:hint="default" w:ascii="Times New Roman" w:hAnsi="Times New Roman" w:cs="Times New Roman"/>
                <w:b/>
                <w:bCs/>
                <w:color w:val="auto"/>
                <w:sz w:val="24"/>
                <w:lang w:eastAsia="zh-CN"/>
              </w:rPr>
              <w:t>表</w:t>
            </w:r>
            <w:r>
              <w:rPr>
                <w:rFonts w:hint="default" w:ascii="Times New Roman" w:hAnsi="Times New Roman" w:cs="Times New Roman"/>
                <w:b/>
                <w:bCs/>
                <w:color w:val="auto"/>
                <w:sz w:val="24"/>
                <w:lang w:val="en-US" w:eastAsia="zh-CN"/>
              </w:rPr>
              <w:t>2-4</w:t>
            </w:r>
            <w:r>
              <w:rPr>
                <w:rFonts w:hint="default" w:ascii="Times New Roman" w:hAnsi="Times New Roman" w:eastAsia="宋体" w:cs="Times New Roman"/>
                <w:b/>
                <w:bCs/>
                <w:color w:val="auto"/>
                <w:sz w:val="24"/>
                <w:lang w:val="en-US" w:eastAsia="zh-CN"/>
              </w:rPr>
              <w:t>《城镇水</w:t>
            </w:r>
            <w:r>
              <w:rPr>
                <w:rFonts w:hint="default" w:ascii="Times New Roman" w:hAnsi="Times New Roman" w:cs="Times New Roman"/>
                <w:b/>
                <w:bCs/>
                <w:color w:val="auto"/>
                <w:sz w:val="24"/>
                <w:lang w:val="en-US" w:eastAsia="zh-CN"/>
              </w:rPr>
              <w:t>处理</w:t>
            </w:r>
            <w:r>
              <w:rPr>
                <w:rFonts w:hint="default" w:ascii="Times New Roman" w:hAnsi="Times New Roman" w:eastAsia="宋体" w:cs="Times New Roman"/>
                <w:b/>
                <w:bCs/>
                <w:color w:val="auto"/>
                <w:sz w:val="24"/>
                <w:lang w:val="en-US" w:eastAsia="zh-CN"/>
              </w:rPr>
              <w:t>厂污泥处置园林绿化用泥质》</w:t>
            </w:r>
            <w:r>
              <w:rPr>
                <w:rFonts w:hint="default" w:ascii="Times New Roman" w:hAnsi="Times New Roman" w:cs="Times New Roman"/>
                <w:b/>
                <w:bCs/>
                <w:color w:val="auto"/>
                <w:sz w:val="24"/>
                <w:lang w:val="en-US" w:eastAsia="zh-CN"/>
              </w:rPr>
              <w:t>（</w:t>
            </w:r>
            <w:r>
              <w:rPr>
                <w:rFonts w:hint="default" w:ascii="Times New Roman" w:hAnsi="Times New Roman" w:eastAsia="宋体" w:cs="Times New Roman"/>
                <w:b/>
                <w:bCs/>
                <w:color w:val="auto"/>
                <w:sz w:val="24"/>
                <w:lang w:val="en-US" w:eastAsia="zh-CN"/>
              </w:rPr>
              <w:t>GB/T23486-2009</w:t>
            </w:r>
            <w:r>
              <w:rPr>
                <w:rFonts w:hint="default" w:ascii="Times New Roman" w:hAnsi="Times New Roman" w:cs="Times New Roman"/>
                <w:b/>
                <w:bCs/>
                <w:color w:val="auto"/>
                <w:sz w:val="24"/>
                <w:lang w:val="en-US" w:eastAsia="zh-CN"/>
              </w:rPr>
              <w:t>）</w:t>
            </w:r>
            <w:r>
              <w:rPr>
                <w:rFonts w:hint="default" w:ascii="Times New Roman" w:hAnsi="Times New Roman" w:eastAsia="宋体" w:cs="Times New Roman"/>
                <w:b/>
                <w:bCs/>
                <w:color w:val="auto"/>
                <w:sz w:val="24"/>
                <w:lang w:val="en-US" w:eastAsia="zh-CN"/>
              </w:rPr>
              <w:t>（摘录部分）</w:t>
            </w:r>
          </w:p>
          <w:tbl>
            <w:tblPr>
              <w:tblStyle w:val="3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3914"/>
              <w:gridCol w:w="1742"/>
              <w:gridCol w:w="2146"/>
            </w:tblGrid>
            <w:tr w14:paraId="7311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Merge w:val="restart"/>
                  <w:vAlign w:val="center"/>
                </w:tcPr>
                <w:p w14:paraId="0C1DAB39">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2335" w:type="pct"/>
                  <w:vMerge w:val="restart"/>
                  <w:vAlign w:val="center"/>
                </w:tcPr>
                <w:p w14:paraId="3E84AFD6">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理化指标</w:t>
                  </w:r>
                </w:p>
              </w:tc>
              <w:tc>
                <w:tcPr>
                  <w:tcW w:w="2319" w:type="pct"/>
                  <w:gridSpan w:val="2"/>
                  <w:vAlign w:val="center"/>
                </w:tcPr>
                <w:p w14:paraId="099F9B1B">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限值</w:t>
                  </w:r>
                </w:p>
              </w:tc>
            </w:tr>
            <w:tr w14:paraId="6FC9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Merge w:val="continue"/>
                  <w:vAlign w:val="center"/>
                </w:tcPr>
                <w:p w14:paraId="1EC9FDC8">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p>
              </w:tc>
              <w:tc>
                <w:tcPr>
                  <w:tcW w:w="2335" w:type="pct"/>
                  <w:vMerge w:val="continue"/>
                  <w:vAlign w:val="center"/>
                </w:tcPr>
                <w:p w14:paraId="4F0CEAEB">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p>
              </w:tc>
              <w:tc>
                <w:tcPr>
                  <w:tcW w:w="1039" w:type="pct"/>
                  <w:vAlign w:val="center"/>
                </w:tcPr>
                <w:p w14:paraId="465789CD">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酸性土壤（</w:t>
                  </w:r>
                  <w:r>
                    <w:rPr>
                      <w:rFonts w:hint="default" w:ascii="Times New Roman" w:hAnsi="Times New Roman" w:cs="Times New Roman"/>
                      <w:color w:val="auto"/>
                      <w:kern w:val="2"/>
                      <w:sz w:val="18"/>
                      <w:szCs w:val="18"/>
                      <w:lang w:val="en-US" w:eastAsia="zh-CN"/>
                    </w:rPr>
                    <w:t>p</w:t>
                  </w:r>
                  <w:r>
                    <w:rPr>
                      <w:rFonts w:hint="default" w:ascii="Times New Roman" w:hAnsi="Times New Roman" w:eastAsia="宋体" w:cs="Times New Roman"/>
                      <w:color w:val="auto"/>
                      <w:kern w:val="2"/>
                      <w:sz w:val="18"/>
                      <w:szCs w:val="18"/>
                      <w:lang w:val="en-US" w:eastAsia="zh-CN"/>
                    </w:rPr>
                    <w:t>H＜6.5）</w:t>
                  </w:r>
                </w:p>
              </w:tc>
              <w:tc>
                <w:tcPr>
                  <w:tcW w:w="1279" w:type="pct"/>
                  <w:vAlign w:val="center"/>
                </w:tcPr>
                <w:p w14:paraId="47471B25">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中性和碱性土壤（</w:t>
                  </w:r>
                  <w:r>
                    <w:rPr>
                      <w:rFonts w:hint="default" w:ascii="Times New Roman" w:hAnsi="Times New Roman" w:cs="Times New Roman"/>
                      <w:color w:val="auto"/>
                      <w:kern w:val="2"/>
                      <w:sz w:val="18"/>
                      <w:szCs w:val="18"/>
                      <w:lang w:val="en-US" w:eastAsia="zh-CN"/>
                    </w:rPr>
                    <w:t>p</w:t>
                  </w:r>
                  <w:r>
                    <w:rPr>
                      <w:rFonts w:hint="default" w:ascii="Times New Roman" w:hAnsi="Times New Roman" w:eastAsia="宋体" w:cs="Times New Roman"/>
                      <w:color w:val="auto"/>
                      <w:kern w:val="2"/>
                      <w:sz w:val="18"/>
                      <w:szCs w:val="18"/>
                      <w:lang w:val="en-US" w:eastAsia="zh-CN"/>
                    </w:rPr>
                    <w:t>H≥6.5）</w:t>
                  </w:r>
                </w:p>
              </w:tc>
            </w:tr>
            <w:tr w14:paraId="4EFE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848D927">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2335" w:type="pct"/>
                  <w:vAlign w:val="center"/>
                </w:tcPr>
                <w:p w14:paraId="22D39711">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p</w:t>
                  </w:r>
                  <w:r>
                    <w:rPr>
                      <w:rFonts w:hint="default" w:ascii="Times New Roman" w:hAnsi="Times New Roman" w:eastAsia="宋体" w:cs="Times New Roman"/>
                      <w:color w:val="auto"/>
                      <w:kern w:val="2"/>
                      <w:sz w:val="18"/>
                      <w:szCs w:val="18"/>
                      <w:lang w:val="en-US" w:eastAsia="zh-CN"/>
                    </w:rPr>
                    <w:t>H</w:t>
                  </w:r>
                </w:p>
              </w:tc>
              <w:tc>
                <w:tcPr>
                  <w:tcW w:w="1039" w:type="pct"/>
                  <w:vAlign w:val="center"/>
                </w:tcPr>
                <w:p w14:paraId="33DBE96D">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6.5-8.5</w:t>
                  </w:r>
                </w:p>
              </w:tc>
              <w:tc>
                <w:tcPr>
                  <w:tcW w:w="1279" w:type="pct"/>
                  <w:vAlign w:val="center"/>
                </w:tcPr>
                <w:p w14:paraId="4E4C2534">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5.5-7.8</w:t>
                  </w:r>
                </w:p>
              </w:tc>
            </w:tr>
            <w:tr w14:paraId="2004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901E554">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2335" w:type="pct"/>
                  <w:vAlign w:val="center"/>
                </w:tcPr>
                <w:p w14:paraId="4B3A066A">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含水率%</w:t>
                  </w:r>
                </w:p>
              </w:tc>
              <w:tc>
                <w:tcPr>
                  <w:tcW w:w="2319" w:type="pct"/>
                  <w:gridSpan w:val="2"/>
                  <w:vAlign w:val="center"/>
                </w:tcPr>
                <w:p w14:paraId="7E761FDF">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&lt;</w:t>
                  </w:r>
                  <w:r>
                    <w:rPr>
                      <w:rFonts w:hint="default" w:ascii="Times New Roman" w:hAnsi="Times New Roman" w:eastAsia="宋体" w:cs="Times New Roman"/>
                      <w:color w:val="auto"/>
                      <w:kern w:val="2"/>
                      <w:sz w:val="18"/>
                      <w:szCs w:val="18"/>
                      <w:lang w:val="en-US" w:eastAsia="zh-CN"/>
                    </w:rPr>
                    <w:t>40</w:t>
                  </w:r>
                </w:p>
              </w:tc>
            </w:tr>
            <w:tr w14:paraId="2A1D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11EEB6D6">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2335" w:type="pct"/>
                  <w:vAlign w:val="center"/>
                </w:tcPr>
                <w:p w14:paraId="1BF363DF">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总养分%</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总氮</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以N计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+总磷</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以P203计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+总钾</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以K20计</w:t>
                  </w:r>
                  <w:r>
                    <w:rPr>
                      <w:rFonts w:hint="default" w:ascii="Times New Roman" w:hAnsi="Times New Roman" w:cs="Times New Roman"/>
                      <w:color w:val="auto"/>
                      <w:kern w:val="2"/>
                      <w:sz w:val="18"/>
                      <w:szCs w:val="18"/>
                      <w:lang w:val="en-US" w:eastAsia="zh-CN"/>
                    </w:rPr>
                    <w:t>）]</w:t>
                  </w:r>
                </w:p>
              </w:tc>
              <w:tc>
                <w:tcPr>
                  <w:tcW w:w="2319" w:type="pct"/>
                  <w:gridSpan w:val="2"/>
                  <w:vAlign w:val="center"/>
                </w:tcPr>
                <w:p w14:paraId="65CD79E9">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r>
            <w:tr w14:paraId="59FC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B207C9A">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2335" w:type="pct"/>
                  <w:vAlign w:val="center"/>
                </w:tcPr>
                <w:p w14:paraId="2FCB30B6">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有机物含量%</w:t>
                  </w:r>
                </w:p>
              </w:tc>
              <w:tc>
                <w:tcPr>
                  <w:tcW w:w="2319" w:type="pct"/>
                  <w:gridSpan w:val="2"/>
                  <w:vAlign w:val="center"/>
                </w:tcPr>
                <w:p w14:paraId="7D0F6FB1">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≥25</w:t>
                  </w:r>
                </w:p>
              </w:tc>
            </w:tr>
            <w:tr w14:paraId="34A8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0E0F8BD0">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2335" w:type="pct"/>
                  <w:vAlign w:val="center"/>
                </w:tcPr>
                <w:p w14:paraId="07F15140">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粪大肠菌群菌值</w:t>
                  </w:r>
                </w:p>
              </w:tc>
              <w:tc>
                <w:tcPr>
                  <w:tcW w:w="2319" w:type="pct"/>
                  <w:gridSpan w:val="2"/>
                  <w:vAlign w:val="center"/>
                </w:tcPr>
                <w:p w14:paraId="3009761A">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&gt;</w:t>
                  </w:r>
                  <w:r>
                    <w:rPr>
                      <w:rFonts w:hint="default" w:ascii="Times New Roman" w:hAnsi="Times New Roman" w:eastAsia="宋体" w:cs="Times New Roman"/>
                      <w:color w:val="auto"/>
                      <w:kern w:val="2"/>
                      <w:sz w:val="18"/>
                      <w:szCs w:val="18"/>
                      <w:lang w:val="en-US" w:eastAsia="zh-CN"/>
                    </w:rPr>
                    <w:t>0.01</w:t>
                  </w:r>
                </w:p>
              </w:tc>
            </w:tr>
            <w:tr w14:paraId="6570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219F5267">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2335" w:type="pct"/>
                  <w:vAlign w:val="center"/>
                </w:tcPr>
                <w:p w14:paraId="6DD3BE52">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螨虫卵死亡率%</w:t>
                  </w:r>
                </w:p>
              </w:tc>
              <w:tc>
                <w:tcPr>
                  <w:tcW w:w="2319" w:type="pct"/>
                  <w:gridSpan w:val="2"/>
                  <w:vAlign w:val="center"/>
                </w:tcPr>
                <w:p w14:paraId="7255B8B4">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&gt;</w:t>
                  </w:r>
                  <w:r>
                    <w:rPr>
                      <w:rFonts w:hint="default" w:ascii="Times New Roman" w:hAnsi="Times New Roman" w:eastAsia="宋体" w:cs="Times New Roman"/>
                      <w:color w:val="auto"/>
                      <w:kern w:val="2"/>
                      <w:sz w:val="18"/>
                      <w:szCs w:val="18"/>
                      <w:lang w:val="en-US" w:eastAsia="zh-CN"/>
                    </w:rPr>
                    <w:t>95</w:t>
                  </w:r>
                </w:p>
              </w:tc>
            </w:tr>
          </w:tbl>
          <w:p w14:paraId="4A9911AA">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eastAsia="zh-CN"/>
              </w:rPr>
              <w:t>表</w:t>
            </w:r>
            <w:r>
              <w:rPr>
                <w:rFonts w:hint="default" w:ascii="Times New Roman" w:hAnsi="Times New Roman" w:cs="Times New Roman"/>
                <w:b/>
                <w:bCs/>
                <w:color w:val="auto"/>
                <w:sz w:val="24"/>
                <w:lang w:val="en-US" w:eastAsia="zh-CN"/>
              </w:rPr>
              <w:t>2-5</w:t>
            </w:r>
            <w:r>
              <w:rPr>
                <w:rFonts w:hint="default" w:ascii="Times New Roman" w:hAnsi="Times New Roman" w:eastAsia="宋体" w:cs="Times New Roman"/>
                <w:b/>
                <w:bCs/>
                <w:color w:val="auto"/>
                <w:sz w:val="24"/>
                <w:lang w:val="en-US" w:eastAsia="zh-CN"/>
              </w:rPr>
              <w:t>《城镇污水处理厂污泥处置土地改良用泥质》</w:t>
            </w:r>
            <w:r>
              <w:rPr>
                <w:rFonts w:hint="default" w:ascii="Times New Roman" w:hAnsi="Times New Roman" w:cs="Times New Roman"/>
                <w:b/>
                <w:bCs/>
                <w:color w:val="auto"/>
                <w:sz w:val="24"/>
                <w:lang w:val="en-US" w:eastAsia="zh-CN"/>
              </w:rPr>
              <w:t>（</w:t>
            </w:r>
            <w:r>
              <w:rPr>
                <w:rFonts w:hint="default" w:ascii="Times New Roman" w:hAnsi="Times New Roman" w:eastAsia="宋体" w:cs="Times New Roman"/>
                <w:b/>
                <w:bCs/>
                <w:color w:val="auto"/>
                <w:sz w:val="24"/>
                <w:lang w:val="en-US" w:eastAsia="zh-CN"/>
              </w:rPr>
              <w:t>GB/T24600-2009</w:t>
            </w:r>
            <w:r>
              <w:rPr>
                <w:rFonts w:hint="default" w:ascii="Times New Roman" w:hAnsi="Times New Roman" w:cs="Times New Roman"/>
                <w:b/>
                <w:bCs/>
                <w:color w:val="auto"/>
                <w:sz w:val="24"/>
                <w:lang w:val="en-US" w:eastAsia="zh-CN"/>
              </w:rPr>
              <w:t>）</w:t>
            </w:r>
            <w:r>
              <w:rPr>
                <w:rFonts w:hint="default" w:ascii="Times New Roman" w:hAnsi="Times New Roman" w:eastAsia="宋体" w:cs="Times New Roman"/>
                <w:b/>
                <w:bCs/>
                <w:color w:val="auto"/>
                <w:sz w:val="24"/>
                <w:lang w:val="en-US" w:eastAsia="zh-CN"/>
              </w:rPr>
              <w:t>（摘录部分）</w:t>
            </w:r>
          </w:p>
          <w:tbl>
            <w:tblPr>
              <w:tblStyle w:val="3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3968"/>
              <w:gridCol w:w="1711"/>
              <w:gridCol w:w="2119"/>
            </w:tblGrid>
            <w:tr w14:paraId="7D1D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Merge w:val="restart"/>
                  <w:vAlign w:val="center"/>
                </w:tcPr>
                <w:p w14:paraId="64328AB3">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2367" w:type="pct"/>
                  <w:vMerge w:val="restart"/>
                  <w:vAlign w:val="center"/>
                </w:tcPr>
                <w:p w14:paraId="7DEA4CA9">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理化指标</w:t>
                  </w:r>
                </w:p>
              </w:tc>
              <w:tc>
                <w:tcPr>
                  <w:tcW w:w="2285" w:type="pct"/>
                  <w:gridSpan w:val="2"/>
                  <w:vAlign w:val="center"/>
                </w:tcPr>
                <w:p w14:paraId="4DCEB0F2">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限值</w:t>
                  </w:r>
                </w:p>
              </w:tc>
            </w:tr>
            <w:tr w14:paraId="6393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Merge w:val="continue"/>
                  <w:vAlign w:val="center"/>
                </w:tcPr>
                <w:p w14:paraId="388B9AEC">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p>
              </w:tc>
              <w:tc>
                <w:tcPr>
                  <w:tcW w:w="2367" w:type="pct"/>
                  <w:vMerge w:val="continue"/>
                  <w:vAlign w:val="center"/>
                </w:tcPr>
                <w:p w14:paraId="1D0FFA13">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p>
              </w:tc>
              <w:tc>
                <w:tcPr>
                  <w:tcW w:w="1021" w:type="pct"/>
                  <w:vAlign w:val="center"/>
                </w:tcPr>
                <w:p w14:paraId="15380C10">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酸性土壤（</w:t>
                  </w:r>
                  <w:r>
                    <w:rPr>
                      <w:rFonts w:hint="default" w:ascii="Times New Roman" w:hAnsi="Times New Roman" w:cs="Times New Roman"/>
                      <w:color w:val="auto"/>
                      <w:kern w:val="2"/>
                      <w:sz w:val="18"/>
                      <w:szCs w:val="18"/>
                      <w:lang w:val="en-US" w:eastAsia="zh-CN"/>
                    </w:rPr>
                    <w:t>p</w:t>
                  </w:r>
                  <w:r>
                    <w:rPr>
                      <w:rFonts w:hint="default" w:ascii="Times New Roman" w:hAnsi="Times New Roman" w:eastAsia="宋体" w:cs="Times New Roman"/>
                      <w:color w:val="auto"/>
                      <w:kern w:val="2"/>
                      <w:sz w:val="18"/>
                      <w:szCs w:val="18"/>
                      <w:lang w:val="en-US" w:eastAsia="zh-CN"/>
                    </w:rPr>
                    <w:t>H＜6.5）</w:t>
                  </w:r>
                </w:p>
              </w:tc>
              <w:tc>
                <w:tcPr>
                  <w:tcW w:w="1264" w:type="pct"/>
                  <w:vAlign w:val="center"/>
                </w:tcPr>
                <w:p w14:paraId="44381D8F">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中性和碱性土壤（</w:t>
                  </w:r>
                  <w:r>
                    <w:rPr>
                      <w:rFonts w:hint="default" w:ascii="Times New Roman" w:hAnsi="Times New Roman" w:cs="Times New Roman"/>
                      <w:color w:val="auto"/>
                      <w:kern w:val="2"/>
                      <w:sz w:val="18"/>
                      <w:szCs w:val="18"/>
                      <w:lang w:val="en-US" w:eastAsia="zh-CN"/>
                    </w:rPr>
                    <w:t>p</w:t>
                  </w:r>
                  <w:r>
                    <w:rPr>
                      <w:rFonts w:hint="default" w:ascii="Times New Roman" w:hAnsi="Times New Roman" w:eastAsia="宋体" w:cs="Times New Roman"/>
                      <w:color w:val="auto"/>
                      <w:kern w:val="2"/>
                      <w:sz w:val="18"/>
                      <w:szCs w:val="18"/>
                      <w:lang w:val="en-US" w:eastAsia="zh-CN"/>
                    </w:rPr>
                    <w:t>H≥6.5）</w:t>
                  </w:r>
                </w:p>
              </w:tc>
            </w:tr>
            <w:tr w14:paraId="4F13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Align w:val="center"/>
                </w:tcPr>
                <w:p w14:paraId="732693BD">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2367" w:type="pct"/>
                  <w:vAlign w:val="center"/>
                </w:tcPr>
                <w:p w14:paraId="46334D1A">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p</w:t>
                  </w:r>
                  <w:r>
                    <w:rPr>
                      <w:rFonts w:hint="default" w:ascii="Times New Roman" w:hAnsi="Times New Roman" w:eastAsia="宋体" w:cs="Times New Roman"/>
                      <w:color w:val="auto"/>
                      <w:kern w:val="2"/>
                      <w:sz w:val="18"/>
                      <w:szCs w:val="18"/>
                      <w:lang w:val="en-US" w:eastAsia="zh-CN"/>
                    </w:rPr>
                    <w:t>H</w:t>
                  </w:r>
                </w:p>
              </w:tc>
              <w:tc>
                <w:tcPr>
                  <w:tcW w:w="2285" w:type="pct"/>
                  <w:gridSpan w:val="2"/>
                  <w:vAlign w:val="center"/>
                </w:tcPr>
                <w:p w14:paraId="514AFADF">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5.5-10</w:t>
                  </w:r>
                </w:p>
              </w:tc>
            </w:tr>
            <w:tr w14:paraId="59F8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Align w:val="center"/>
                </w:tcPr>
                <w:p w14:paraId="318C6387">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2367" w:type="pct"/>
                  <w:vAlign w:val="center"/>
                </w:tcPr>
                <w:p w14:paraId="6654C528">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含水率%</w:t>
                  </w:r>
                </w:p>
              </w:tc>
              <w:tc>
                <w:tcPr>
                  <w:tcW w:w="2285" w:type="pct"/>
                  <w:gridSpan w:val="2"/>
                  <w:vAlign w:val="center"/>
                </w:tcPr>
                <w:p w14:paraId="6ED2C83A">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&lt;</w:t>
                  </w:r>
                  <w:r>
                    <w:rPr>
                      <w:rFonts w:hint="default" w:ascii="Times New Roman" w:hAnsi="Times New Roman" w:eastAsia="宋体" w:cs="Times New Roman"/>
                      <w:color w:val="auto"/>
                      <w:kern w:val="2"/>
                      <w:sz w:val="18"/>
                      <w:szCs w:val="18"/>
                      <w:lang w:val="en-US" w:eastAsia="zh-CN"/>
                    </w:rPr>
                    <w:t>60</w:t>
                  </w:r>
                </w:p>
              </w:tc>
            </w:tr>
            <w:tr w14:paraId="3EC7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7" w:type="pct"/>
                  <w:vAlign w:val="center"/>
                </w:tcPr>
                <w:p w14:paraId="1CBF5A4F">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2367" w:type="pct"/>
                  <w:vAlign w:val="center"/>
                </w:tcPr>
                <w:p w14:paraId="746374A7">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总养分%</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总氮</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以N计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+总磷</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以P203计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+总钾</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以K20计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2285" w:type="pct"/>
                  <w:gridSpan w:val="2"/>
                  <w:vAlign w:val="center"/>
                </w:tcPr>
                <w:p w14:paraId="30CBDDEC">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r>
            <w:tr w14:paraId="28D8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Align w:val="center"/>
                </w:tcPr>
                <w:p w14:paraId="58201EC9">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2367" w:type="pct"/>
                  <w:vAlign w:val="center"/>
                </w:tcPr>
                <w:p w14:paraId="31AE5511">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有机物含量%</w:t>
                  </w:r>
                </w:p>
              </w:tc>
              <w:tc>
                <w:tcPr>
                  <w:tcW w:w="2285" w:type="pct"/>
                  <w:gridSpan w:val="2"/>
                  <w:vAlign w:val="center"/>
                </w:tcPr>
                <w:p w14:paraId="702283AA">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r>
            <w:tr w14:paraId="5758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Align w:val="center"/>
                </w:tcPr>
                <w:p w14:paraId="085C12FC">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2367" w:type="pct"/>
                  <w:vAlign w:val="center"/>
                </w:tcPr>
                <w:p w14:paraId="616CADBC">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粪大肠菌群菌值</w:t>
                  </w:r>
                </w:p>
              </w:tc>
              <w:tc>
                <w:tcPr>
                  <w:tcW w:w="2285" w:type="pct"/>
                  <w:gridSpan w:val="2"/>
                  <w:vAlign w:val="center"/>
                </w:tcPr>
                <w:p w14:paraId="22005743">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&gt;</w:t>
                  </w:r>
                  <w:r>
                    <w:rPr>
                      <w:rFonts w:hint="default" w:ascii="Times New Roman" w:hAnsi="Times New Roman" w:eastAsia="宋体" w:cs="Times New Roman"/>
                      <w:color w:val="auto"/>
                      <w:kern w:val="2"/>
                      <w:sz w:val="18"/>
                      <w:szCs w:val="18"/>
                      <w:lang w:val="en-US" w:eastAsia="zh-CN"/>
                    </w:rPr>
                    <w:t>0.01</w:t>
                  </w:r>
                </w:p>
              </w:tc>
            </w:tr>
            <w:tr w14:paraId="649C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Align w:val="center"/>
                </w:tcPr>
                <w:p w14:paraId="2F9012C3">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2367" w:type="pct"/>
                  <w:vAlign w:val="center"/>
                </w:tcPr>
                <w:p w14:paraId="004777DD">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螨虫卵死亡率%</w:t>
                  </w:r>
                </w:p>
              </w:tc>
              <w:tc>
                <w:tcPr>
                  <w:tcW w:w="2285" w:type="pct"/>
                  <w:gridSpan w:val="2"/>
                  <w:vAlign w:val="center"/>
                </w:tcPr>
                <w:p w14:paraId="5A614DBD">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&gt;</w:t>
                  </w:r>
                  <w:r>
                    <w:rPr>
                      <w:rFonts w:hint="default" w:ascii="Times New Roman" w:hAnsi="Times New Roman" w:eastAsia="宋体" w:cs="Times New Roman"/>
                      <w:color w:val="auto"/>
                      <w:kern w:val="2"/>
                      <w:sz w:val="18"/>
                      <w:szCs w:val="18"/>
                      <w:lang w:val="en-US" w:eastAsia="zh-CN"/>
                    </w:rPr>
                    <w:t>95</w:t>
                  </w:r>
                </w:p>
              </w:tc>
            </w:tr>
          </w:tbl>
          <w:p w14:paraId="62CBDFB1">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val="en-US" w:eastAsia="zh-CN"/>
              </w:rPr>
              <w:t>表2-6</w:t>
            </w:r>
            <w:r>
              <w:rPr>
                <w:rFonts w:hint="default" w:ascii="Times New Roman" w:hAnsi="Times New Roman" w:eastAsia="宋体" w:cs="Times New Roman"/>
                <w:b/>
                <w:bCs/>
                <w:color w:val="auto"/>
                <w:sz w:val="24"/>
                <w:lang w:val="en-US" w:eastAsia="zh-CN"/>
              </w:rPr>
              <w:t>《农用污泥污染物控制标准》（GB 4284-2018）（摘录部分）</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7"/>
              <w:gridCol w:w="1968"/>
              <w:gridCol w:w="1953"/>
            </w:tblGrid>
            <w:tr w14:paraId="2102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vMerge w:val="restart"/>
                  <w:vAlign w:val="center"/>
                </w:tcPr>
                <w:p w14:paraId="41C80FF2">
                  <w:pPr>
                    <w:pStyle w:val="72"/>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eastAsia="zh-CN"/>
                    </w:rPr>
                    <w:t>控制项目</w:t>
                  </w:r>
                </w:p>
              </w:tc>
              <w:tc>
                <w:tcPr>
                  <w:tcW w:w="2339" w:type="pct"/>
                  <w:gridSpan w:val="2"/>
                </w:tcPr>
                <w:p w14:paraId="3868D84A">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污染物限值</w:t>
                  </w:r>
                </w:p>
              </w:tc>
            </w:tr>
            <w:tr w14:paraId="6394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vMerge w:val="continue"/>
                </w:tcPr>
                <w:p w14:paraId="77080EB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174" w:type="pct"/>
                </w:tcPr>
                <w:p w14:paraId="4CC55A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A级污泥产物</w:t>
                  </w:r>
                </w:p>
              </w:tc>
              <w:tc>
                <w:tcPr>
                  <w:tcW w:w="1165" w:type="pct"/>
                </w:tcPr>
                <w:p w14:paraId="2844E90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lang w:val="en-US" w:eastAsia="zh-CN"/>
                    </w:rPr>
                    <w:t>B级污泥产物</w:t>
                  </w:r>
                </w:p>
              </w:tc>
            </w:tr>
            <w:tr w14:paraId="5D66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7BFC78E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总镉（以干基计）/（mg/kg）</w:t>
                  </w:r>
                </w:p>
              </w:tc>
              <w:tc>
                <w:tcPr>
                  <w:tcW w:w="1174" w:type="pct"/>
                </w:tcPr>
                <w:p w14:paraId="132E33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w:t>
                  </w:r>
                </w:p>
              </w:tc>
              <w:tc>
                <w:tcPr>
                  <w:tcW w:w="1165" w:type="pct"/>
                </w:tcPr>
                <w:p w14:paraId="0B4EBD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15</w:t>
                  </w:r>
                </w:p>
              </w:tc>
            </w:tr>
            <w:tr w14:paraId="039B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115B5B80">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总汞（以干基计）/（mg/kg）</w:t>
                  </w:r>
                </w:p>
              </w:tc>
              <w:tc>
                <w:tcPr>
                  <w:tcW w:w="1174" w:type="pct"/>
                </w:tcPr>
                <w:p w14:paraId="66015D7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w:t>
                  </w:r>
                </w:p>
              </w:tc>
              <w:tc>
                <w:tcPr>
                  <w:tcW w:w="1165" w:type="pct"/>
                  <w:vAlign w:val="top"/>
                </w:tcPr>
                <w:p w14:paraId="57764FF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15</w:t>
                  </w:r>
                </w:p>
              </w:tc>
            </w:tr>
            <w:tr w14:paraId="5F26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7B26794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总铅（以干基计）/（mg/kg）</w:t>
                  </w:r>
                </w:p>
              </w:tc>
              <w:tc>
                <w:tcPr>
                  <w:tcW w:w="1174" w:type="pct"/>
                </w:tcPr>
                <w:p w14:paraId="27D082D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300</w:t>
                  </w:r>
                </w:p>
              </w:tc>
              <w:tc>
                <w:tcPr>
                  <w:tcW w:w="1165" w:type="pct"/>
                  <w:vAlign w:val="top"/>
                </w:tcPr>
                <w:p w14:paraId="35AC05F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1000</w:t>
                  </w:r>
                </w:p>
              </w:tc>
            </w:tr>
            <w:tr w14:paraId="5AE6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7346430E">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总铬（以干基计）/（mg/kg）</w:t>
                  </w:r>
                </w:p>
              </w:tc>
              <w:tc>
                <w:tcPr>
                  <w:tcW w:w="1174" w:type="pct"/>
                </w:tcPr>
                <w:p w14:paraId="605B81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500</w:t>
                  </w:r>
                </w:p>
              </w:tc>
              <w:tc>
                <w:tcPr>
                  <w:tcW w:w="1165" w:type="pct"/>
                  <w:vAlign w:val="top"/>
                </w:tcPr>
                <w:p w14:paraId="3C94368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1000</w:t>
                  </w:r>
                </w:p>
              </w:tc>
            </w:tr>
            <w:tr w14:paraId="579F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0D498290">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总砷（以干基计）/（mg/kg）</w:t>
                  </w:r>
                </w:p>
              </w:tc>
              <w:tc>
                <w:tcPr>
                  <w:tcW w:w="1174" w:type="pct"/>
                </w:tcPr>
                <w:p w14:paraId="17CF386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30</w:t>
                  </w:r>
                </w:p>
              </w:tc>
              <w:tc>
                <w:tcPr>
                  <w:tcW w:w="1165" w:type="pct"/>
                  <w:vAlign w:val="top"/>
                </w:tcPr>
                <w:p w14:paraId="71C0B5D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75</w:t>
                  </w:r>
                </w:p>
              </w:tc>
            </w:tr>
            <w:tr w14:paraId="2528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4472473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总镍（以干基计）/（mg/kg）</w:t>
                  </w:r>
                </w:p>
              </w:tc>
              <w:tc>
                <w:tcPr>
                  <w:tcW w:w="1174" w:type="pct"/>
                </w:tcPr>
                <w:p w14:paraId="13267CC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100</w:t>
                  </w:r>
                </w:p>
              </w:tc>
              <w:tc>
                <w:tcPr>
                  <w:tcW w:w="1165" w:type="pct"/>
                  <w:vAlign w:val="top"/>
                </w:tcPr>
                <w:p w14:paraId="3644CDA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200</w:t>
                  </w:r>
                </w:p>
              </w:tc>
            </w:tr>
            <w:tr w14:paraId="3F72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30B15AB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总锌（以干基计）/（mg/kg）</w:t>
                  </w:r>
                </w:p>
              </w:tc>
              <w:tc>
                <w:tcPr>
                  <w:tcW w:w="1174" w:type="pct"/>
                </w:tcPr>
                <w:p w14:paraId="3DB4FDC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1200</w:t>
                  </w:r>
                </w:p>
              </w:tc>
              <w:tc>
                <w:tcPr>
                  <w:tcW w:w="1165" w:type="pct"/>
                  <w:vAlign w:val="top"/>
                </w:tcPr>
                <w:p w14:paraId="2CFEDC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3000</w:t>
                  </w:r>
                </w:p>
              </w:tc>
            </w:tr>
            <w:tr w14:paraId="4FA5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76AB1D4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总铜（以干基计）/（mg/kg）</w:t>
                  </w:r>
                </w:p>
              </w:tc>
              <w:tc>
                <w:tcPr>
                  <w:tcW w:w="1174" w:type="pct"/>
                </w:tcPr>
                <w:p w14:paraId="15F03C4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500</w:t>
                  </w:r>
                </w:p>
              </w:tc>
              <w:tc>
                <w:tcPr>
                  <w:tcW w:w="1165" w:type="pct"/>
                  <w:vAlign w:val="top"/>
                </w:tcPr>
                <w:p w14:paraId="7C50AB5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1500</w:t>
                  </w:r>
                </w:p>
              </w:tc>
            </w:tr>
            <w:tr w14:paraId="6A93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2769748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矿物油（以干基计）/（mg/kg）</w:t>
                  </w:r>
                </w:p>
              </w:tc>
              <w:tc>
                <w:tcPr>
                  <w:tcW w:w="1174" w:type="pct"/>
                </w:tcPr>
                <w:p w14:paraId="4F60B58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500</w:t>
                  </w:r>
                </w:p>
              </w:tc>
              <w:tc>
                <w:tcPr>
                  <w:tcW w:w="1165" w:type="pct"/>
                  <w:vAlign w:val="top"/>
                </w:tcPr>
                <w:p w14:paraId="72DFF50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3000</w:t>
                  </w:r>
                </w:p>
              </w:tc>
            </w:tr>
            <w:tr w14:paraId="3F52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3AE394C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苯并芘（以干基计）/（mg/kg）</w:t>
                  </w:r>
                </w:p>
              </w:tc>
              <w:tc>
                <w:tcPr>
                  <w:tcW w:w="1174" w:type="pct"/>
                </w:tcPr>
                <w:p w14:paraId="4D98BCF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2</w:t>
                  </w:r>
                </w:p>
              </w:tc>
              <w:tc>
                <w:tcPr>
                  <w:tcW w:w="1165" w:type="pct"/>
                  <w:vAlign w:val="top"/>
                </w:tcPr>
                <w:p w14:paraId="5ECCD32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3</w:t>
                  </w:r>
                </w:p>
              </w:tc>
            </w:tr>
            <w:tr w14:paraId="33F5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pct"/>
                </w:tcPr>
                <w:p w14:paraId="0A4584FD">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多环芳烃（以干基计）/（mg/kg）</w:t>
                  </w:r>
                </w:p>
              </w:tc>
              <w:tc>
                <w:tcPr>
                  <w:tcW w:w="1174" w:type="pct"/>
                </w:tcPr>
                <w:p w14:paraId="18D0D05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5</w:t>
                  </w:r>
                </w:p>
              </w:tc>
              <w:tc>
                <w:tcPr>
                  <w:tcW w:w="1165" w:type="pct"/>
                  <w:vAlign w:val="top"/>
                </w:tcPr>
                <w:p w14:paraId="6913E4F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w:t>
                  </w:r>
                  <w:r>
                    <w:rPr>
                      <w:rFonts w:hint="default" w:ascii="Times New Roman" w:hAnsi="Times New Roman" w:cs="Times New Roman"/>
                      <w:color w:val="auto"/>
                      <w:kern w:val="2"/>
                      <w:sz w:val="18"/>
                      <w:szCs w:val="18"/>
                      <w:lang w:val="en-US" w:eastAsia="zh-CN"/>
                    </w:rPr>
                    <w:t>6</w:t>
                  </w:r>
                </w:p>
              </w:tc>
            </w:tr>
          </w:tbl>
          <w:p w14:paraId="39841D6D">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vertAlign w:val="baseline"/>
                <w:lang w:val="en-US" w:eastAsia="zh-CN"/>
              </w:rPr>
            </w:pPr>
            <w:r>
              <w:rPr>
                <w:rFonts w:hint="default" w:ascii="Times New Roman" w:hAnsi="Times New Roman" w:cs="Times New Roman"/>
                <w:b/>
                <w:bCs/>
                <w:color w:val="auto"/>
                <w:sz w:val="24"/>
                <w:lang w:eastAsia="zh-CN"/>
              </w:rPr>
              <w:t>表</w:t>
            </w:r>
            <w:r>
              <w:rPr>
                <w:rFonts w:hint="default" w:ascii="Times New Roman" w:hAnsi="Times New Roman" w:cs="Times New Roman"/>
                <w:b/>
                <w:bCs/>
                <w:color w:val="auto"/>
                <w:sz w:val="24"/>
                <w:lang w:val="en-US" w:eastAsia="zh-CN"/>
              </w:rPr>
              <w:t>2-7</w:t>
            </w:r>
            <w:r>
              <w:rPr>
                <w:rFonts w:hint="default" w:ascii="Times New Roman" w:hAnsi="Times New Roman" w:eastAsia="宋体" w:cs="Times New Roman"/>
                <w:b/>
                <w:bCs/>
                <w:color w:val="auto"/>
                <w:sz w:val="24"/>
                <w:lang w:val="en-US" w:eastAsia="zh-CN"/>
              </w:rPr>
              <w:t>《城镇污水处理厂污泥处置 林地用泥质》（CJ</w:t>
            </w:r>
            <w:r>
              <w:rPr>
                <w:rFonts w:hint="default" w:ascii="Times New Roman" w:hAnsi="Times New Roman" w:cs="Times New Roman"/>
                <w:b/>
                <w:bCs/>
                <w:color w:val="auto"/>
                <w:sz w:val="24"/>
                <w:lang w:val="en-US" w:eastAsia="zh-CN"/>
              </w:rPr>
              <w:t>/</w:t>
            </w:r>
            <w:r>
              <w:rPr>
                <w:rFonts w:hint="default" w:ascii="Times New Roman" w:hAnsi="Times New Roman" w:eastAsia="宋体" w:cs="Times New Roman"/>
                <w:b/>
                <w:bCs/>
                <w:color w:val="auto"/>
                <w:sz w:val="24"/>
                <w:lang w:val="en-US" w:eastAsia="zh-CN"/>
              </w:rPr>
              <w:t>T 362—2011）（摘录部分）</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5476"/>
              <w:gridCol w:w="1942"/>
            </w:tblGrid>
            <w:tr w14:paraId="6DAE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71E2402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3267" w:type="pct"/>
                </w:tcPr>
                <w:p w14:paraId="696AD28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理化指标</w:t>
                  </w:r>
                </w:p>
              </w:tc>
              <w:tc>
                <w:tcPr>
                  <w:tcW w:w="1158" w:type="pct"/>
                </w:tcPr>
                <w:p w14:paraId="4E76121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限值</w:t>
                  </w:r>
                </w:p>
              </w:tc>
            </w:tr>
            <w:tr w14:paraId="1070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33B6CA1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3267" w:type="pct"/>
                </w:tcPr>
                <w:p w14:paraId="4DAC109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pH</w:t>
                  </w:r>
                </w:p>
              </w:tc>
              <w:tc>
                <w:tcPr>
                  <w:tcW w:w="1158" w:type="pct"/>
                </w:tcPr>
                <w:p w14:paraId="1E0091A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5.5</w:t>
                  </w:r>
                  <w:r>
                    <w:rPr>
                      <w:rFonts w:hint="default" w:ascii="Times New Roman" w:hAnsi="Times New Roman" w:eastAsia="宋体" w:cs="Times New Roman"/>
                      <w:color w:val="auto"/>
                      <w:kern w:val="2"/>
                      <w:sz w:val="18"/>
                      <w:szCs w:val="18"/>
                      <w:lang w:val="en-US" w:eastAsia="zh-CN"/>
                    </w:rPr>
                    <w:t>-8.5</w:t>
                  </w:r>
                </w:p>
              </w:tc>
            </w:tr>
            <w:tr w14:paraId="7484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6DFB147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3267" w:type="pct"/>
                </w:tcPr>
                <w:p w14:paraId="255C4A5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含水率%</w:t>
                  </w:r>
                </w:p>
              </w:tc>
              <w:tc>
                <w:tcPr>
                  <w:tcW w:w="1158" w:type="pct"/>
                </w:tcPr>
                <w:p w14:paraId="4D17213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≤60</w:t>
                  </w:r>
                </w:p>
              </w:tc>
            </w:tr>
            <w:tr w14:paraId="4813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277EE90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3267" w:type="pct"/>
                </w:tcPr>
                <w:p w14:paraId="31FD56E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氮磷钾养分</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N+P2O₃+K₂O</w:t>
                  </w:r>
                  <w:r>
                    <w:rPr>
                      <w:rFonts w:hint="default" w:ascii="Times New Roman" w:hAnsi="Times New Roman" w:cs="Times New Roman"/>
                      <w:color w:val="auto"/>
                      <w:kern w:val="2"/>
                      <w:sz w:val="18"/>
                      <w:szCs w:val="18"/>
                      <w:lang w:val="en-US" w:eastAsia="zh-CN"/>
                    </w:rPr>
                    <w:t>）</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g/kg干污泥</w:t>
                  </w:r>
                  <w:r>
                    <w:rPr>
                      <w:rFonts w:hint="default" w:ascii="Times New Roman" w:hAnsi="Times New Roman" w:cs="Times New Roman"/>
                      <w:color w:val="auto"/>
                      <w:kern w:val="2"/>
                      <w:sz w:val="18"/>
                      <w:szCs w:val="18"/>
                      <w:lang w:val="en-US" w:eastAsia="zh-CN"/>
                    </w:rPr>
                    <w:t>）</w:t>
                  </w:r>
                </w:p>
              </w:tc>
              <w:tc>
                <w:tcPr>
                  <w:tcW w:w="1158" w:type="pct"/>
                </w:tcPr>
                <w:p w14:paraId="2FAFFA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r>
                    <w:rPr>
                      <w:rFonts w:hint="default" w:ascii="Times New Roman" w:hAnsi="Times New Roman" w:cs="Times New Roman"/>
                      <w:color w:val="auto"/>
                      <w:kern w:val="2"/>
                      <w:sz w:val="18"/>
                      <w:szCs w:val="18"/>
                      <w:lang w:val="en-US" w:eastAsia="zh-CN"/>
                    </w:rPr>
                    <w:t>25</w:t>
                  </w:r>
                </w:p>
              </w:tc>
            </w:tr>
            <w:tr w14:paraId="34A7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0E73C73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3267" w:type="pct"/>
                </w:tcPr>
                <w:p w14:paraId="0A02049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有机质</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g/kg干污泥</w:t>
                  </w:r>
                  <w:r>
                    <w:rPr>
                      <w:rFonts w:hint="default" w:ascii="Times New Roman" w:hAnsi="Times New Roman" w:cs="Times New Roman"/>
                      <w:color w:val="auto"/>
                      <w:kern w:val="2"/>
                      <w:sz w:val="18"/>
                      <w:szCs w:val="18"/>
                      <w:lang w:val="en-US" w:eastAsia="zh-CN"/>
                    </w:rPr>
                    <w:t>）</w:t>
                  </w:r>
                </w:p>
              </w:tc>
              <w:tc>
                <w:tcPr>
                  <w:tcW w:w="1158" w:type="pct"/>
                </w:tcPr>
                <w:p w14:paraId="0AAC31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r>
                    <w:rPr>
                      <w:rFonts w:hint="default" w:ascii="Times New Roman" w:hAnsi="Times New Roman" w:cs="Times New Roman"/>
                      <w:color w:val="auto"/>
                      <w:kern w:val="2"/>
                      <w:sz w:val="18"/>
                      <w:szCs w:val="18"/>
                      <w:lang w:val="en-US" w:eastAsia="zh-CN"/>
                    </w:rPr>
                    <w:t>180</w:t>
                  </w:r>
                </w:p>
              </w:tc>
            </w:tr>
            <w:tr w14:paraId="0C3C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4178C4D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3267" w:type="pct"/>
                </w:tcPr>
                <w:p w14:paraId="07ED9D2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粪大肠菌群菌值</w:t>
                  </w:r>
                </w:p>
              </w:tc>
              <w:tc>
                <w:tcPr>
                  <w:tcW w:w="1158" w:type="pct"/>
                </w:tcPr>
                <w:p w14:paraId="2F6D59C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0.01</w:t>
                  </w:r>
                </w:p>
              </w:tc>
            </w:tr>
            <w:tr w14:paraId="0387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tcPr>
                <w:p w14:paraId="4BBADEB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3267" w:type="pct"/>
                </w:tcPr>
                <w:p w14:paraId="71B5287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螨虫卵死亡率%</w:t>
                  </w:r>
                </w:p>
              </w:tc>
              <w:tc>
                <w:tcPr>
                  <w:tcW w:w="1158" w:type="pct"/>
                </w:tcPr>
                <w:p w14:paraId="216BBDC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95</w:t>
                  </w:r>
                </w:p>
              </w:tc>
            </w:tr>
          </w:tbl>
          <w:p w14:paraId="28AEA9A8">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vertAlign w:val="baseline"/>
                <w:lang w:val="en-US" w:eastAsia="zh-CN"/>
              </w:rPr>
            </w:pPr>
            <w:r>
              <w:rPr>
                <w:rFonts w:hint="default" w:ascii="Times New Roman" w:hAnsi="Times New Roman" w:cs="Times New Roman"/>
                <w:b/>
                <w:bCs/>
                <w:color w:val="auto"/>
                <w:sz w:val="24"/>
                <w:lang w:eastAsia="zh-CN"/>
              </w:rPr>
              <w:t>表</w:t>
            </w:r>
            <w:r>
              <w:rPr>
                <w:rFonts w:hint="default" w:ascii="Times New Roman" w:hAnsi="Times New Roman" w:eastAsia="宋体" w:cs="Times New Roman"/>
                <w:b/>
                <w:bCs/>
                <w:color w:val="auto"/>
                <w:sz w:val="24"/>
                <w:lang w:val="en-US" w:eastAsia="zh-CN"/>
              </w:rPr>
              <w:t>2-</w:t>
            </w:r>
            <w:r>
              <w:rPr>
                <w:rFonts w:hint="default" w:ascii="Times New Roman" w:hAnsi="Times New Roman" w:cs="Times New Roman"/>
                <w:b/>
                <w:bCs/>
                <w:color w:val="auto"/>
                <w:sz w:val="24"/>
                <w:lang w:val="en-US" w:eastAsia="zh-CN"/>
              </w:rPr>
              <w:t>8</w:t>
            </w:r>
            <w:r>
              <w:rPr>
                <w:rFonts w:hint="default" w:ascii="Times New Roman" w:hAnsi="Times New Roman" w:eastAsia="宋体" w:cs="Times New Roman"/>
                <w:b/>
                <w:bCs/>
                <w:color w:val="auto"/>
                <w:sz w:val="24"/>
                <w:lang w:val="en-US" w:eastAsia="zh-CN"/>
              </w:rPr>
              <w:t>《污泥制备的园林绿化营养土》（</w:t>
            </w:r>
            <w:r>
              <w:rPr>
                <w:rFonts w:hint="default" w:ascii="Times New Roman" w:hAnsi="Times New Roman" w:eastAsia="宋体" w:cs="Times New Roman"/>
                <w:b/>
                <w:bCs/>
                <w:color w:val="auto"/>
                <w:sz w:val="24"/>
                <w:lang w:val="en-US" w:eastAsia="zh-CN"/>
              </w:rPr>
              <w:fldChar w:fldCharType="begin"/>
            </w:r>
            <w:r>
              <w:rPr>
                <w:rFonts w:hint="default" w:ascii="Times New Roman" w:hAnsi="Times New Roman" w:eastAsia="宋体" w:cs="Times New Roman"/>
                <w:b/>
                <w:bCs/>
                <w:color w:val="auto"/>
                <w:sz w:val="24"/>
                <w:lang w:val="en-US" w:eastAsia="zh-CN"/>
              </w:rPr>
              <w:instrText xml:space="preserve"> HYPERLINK "http://www.baidu.com/link?url=aokvEr6ce07n-Ew_m_igrrVIJsF8J-di9p0QSgPscHbpDT08YmLKjhtjPnpiWxf1ZRtSUTw5wAfSl763wo2jJq" \t "https://www.baidu.com/_blank" </w:instrText>
            </w:r>
            <w:r>
              <w:rPr>
                <w:rFonts w:hint="default" w:ascii="Times New Roman" w:hAnsi="Times New Roman" w:eastAsia="宋体" w:cs="Times New Roman"/>
                <w:b/>
                <w:bCs/>
                <w:color w:val="auto"/>
                <w:sz w:val="24"/>
                <w:lang w:val="en-US" w:eastAsia="zh-CN"/>
              </w:rPr>
              <w:fldChar w:fldCharType="separate"/>
            </w:r>
            <w:r>
              <w:rPr>
                <w:rFonts w:hint="default" w:ascii="Times New Roman" w:hAnsi="Times New Roman" w:eastAsia="宋体" w:cs="Times New Roman"/>
                <w:b/>
                <w:bCs/>
                <w:color w:val="auto"/>
                <w:sz w:val="24"/>
                <w:lang w:val="en-US" w:eastAsia="zh-CN"/>
              </w:rPr>
              <w:t>T/CACE 046-2021</w:t>
            </w:r>
            <w:r>
              <w:rPr>
                <w:rFonts w:hint="default" w:ascii="Times New Roman" w:hAnsi="Times New Roman" w:eastAsia="宋体" w:cs="Times New Roman"/>
                <w:b/>
                <w:bCs/>
                <w:color w:val="auto"/>
                <w:sz w:val="24"/>
                <w:lang w:val="en-US" w:eastAsia="zh-CN"/>
              </w:rPr>
              <w:fldChar w:fldCharType="end"/>
            </w:r>
            <w:r>
              <w:rPr>
                <w:rFonts w:hint="default" w:ascii="Times New Roman" w:hAnsi="Times New Roman" w:eastAsia="宋体" w:cs="Times New Roman"/>
                <w:b/>
                <w:bCs/>
                <w:color w:val="auto"/>
                <w:sz w:val="24"/>
                <w:lang w:val="en-US" w:eastAsia="zh-CN"/>
              </w:rPr>
              <w:t>）（摘录部分）</w:t>
            </w:r>
          </w:p>
          <w:tbl>
            <w:tblPr>
              <w:tblStyle w:val="3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3914"/>
              <w:gridCol w:w="1742"/>
              <w:gridCol w:w="2146"/>
            </w:tblGrid>
            <w:tr w14:paraId="0B28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Merge w:val="restart"/>
                </w:tcPr>
                <w:p w14:paraId="39FFB21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2335" w:type="pct"/>
                  <w:vMerge w:val="restart"/>
                </w:tcPr>
                <w:p w14:paraId="78F9697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理化指标</w:t>
                  </w:r>
                </w:p>
              </w:tc>
              <w:tc>
                <w:tcPr>
                  <w:tcW w:w="2319" w:type="pct"/>
                  <w:gridSpan w:val="2"/>
                </w:tcPr>
                <w:p w14:paraId="301822D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限值</w:t>
                  </w:r>
                </w:p>
              </w:tc>
            </w:tr>
            <w:tr w14:paraId="3C1C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Merge w:val="continue"/>
                </w:tcPr>
                <w:p w14:paraId="05D0CED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2335" w:type="pct"/>
                  <w:vMerge w:val="continue"/>
                </w:tcPr>
                <w:p w14:paraId="1C7D162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1039" w:type="pct"/>
                </w:tcPr>
                <w:p w14:paraId="6EFC22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酸性土壤（</w:t>
                  </w:r>
                  <w:r>
                    <w:rPr>
                      <w:rFonts w:hint="default" w:ascii="Times New Roman" w:hAnsi="Times New Roman" w:cs="Times New Roman"/>
                      <w:color w:val="auto"/>
                      <w:kern w:val="2"/>
                      <w:sz w:val="18"/>
                      <w:szCs w:val="18"/>
                      <w:lang w:val="en-US" w:eastAsia="zh-CN"/>
                    </w:rPr>
                    <w:t>pH</w:t>
                  </w:r>
                  <w:r>
                    <w:rPr>
                      <w:rFonts w:hint="default" w:ascii="Times New Roman" w:hAnsi="Times New Roman" w:eastAsia="宋体" w:cs="Times New Roman"/>
                      <w:color w:val="auto"/>
                      <w:kern w:val="2"/>
                      <w:sz w:val="18"/>
                      <w:szCs w:val="18"/>
                      <w:lang w:val="en-US" w:eastAsia="zh-CN"/>
                    </w:rPr>
                    <w:t>＜6.5）</w:t>
                  </w:r>
                </w:p>
              </w:tc>
              <w:tc>
                <w:tcPr>
                  <w:tcW w:w="1279" w:type="pct"/>
                </w:tcPr>
                <w:p w14:paraId="3294E4E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中性和碱性土壤（PH≥6.5）</w:t>
                  </w:r>
                </w:p>
              </w:tc>
            </w:tr>
            <w:tr w14:paraId="4192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tcPr>
                <w:p w14:paraId="7F8DAF1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2335" w:type="pct"/>
                </w:tcPr>
                <w:p w14:paraId="7E3DC83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pH</w:t>
                  </w:r>
                </w:p>
              </w:tc>
              <w:tc>
                <w:tcPr>
                  <w:tcW w:w="1039" w:type="pct"/>
                </w:tcPr>
                <w:p w14:paraId="0E00ACC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6.5-8.5</w:t>
                  </w:r>
                </w:p>
              </w:tc>
              <w:tc>
                <w:tcPr>
                  <w:tcW w:w="1279" w:type="pct"/>
                </w:tcPr>
                <w:p w14:paraId="14D048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5.5-7.8</w:t>
                  </w:r>
                </w:p>
              </w:tc>
            </w:tr>
            <w:tr w14:paraId="448D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tcPr>
                <w:p w14:paraId="655701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2335" w:type="pct"/>
                </w:tcPr>
                <w:p w14:paraId="13D7936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含水率%</w:t>
                  </w:r>
                </w:p>
              </w:tc>
              <w:tc>
                <w:tcPr>
                  <w:tcW w:w="2319" w:type="pct"/>
                  <w:gridSpan w:val="2"/>
                </w:tcPr>
                <w:p w14:paraId="440E9EE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&lt;</w:t>
                  </w:r>
                  <w:r>
                    <w:rPr>
                      <w:rFonts w:hint="default" w:ascii="Times New Roman" w:hAnsi="Times New Roman" w:eastAsia="宋体" w:cs="Times New Roman"/>
                      <w:color w:val="auto"/>
                      <w:kern w:val="2"/>
                      <w:sz w:val="18"/>
                      <w:szCs w:val="18"/>
                      <w:lang w:val="en-US" w:eastAsia="zh-CN"/>
                    </w:rPr>
                    <w:t>40</w:t>
                  </w:r>
                </w:p>
              </w:tc>
            </w:tr>
            <w:tr w14:paraId="56EB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tcPr>
                <w:p w14:paraId="580D9E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2335" w:type="pct"/>
                </w:tcPr>
                <w:p w14:paraId="280AF72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总养分%</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总氮</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以N计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+总磷</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以P203计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+总钾</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以K20计</w:t>
                  </w:r>
                  <w:r>
                    <w:rPr>
                      <w:rFonts w:hint="default" w:ascii="Times New Roman" w:hAnsi="Times New Roman" w:cs="Times New Roman"/>
                      <w:color w:val="auto"/>
                      <w:kern w:val="2"/>
                      <w:sz w:val="18"/>
                      <w:szCs w:val="18"/>
                      <w:lang w:val="en-US" w:eastAsia="zh-CN"/>
                    </w:rPr>
                    <w:t>）</w:t>
                  </w:r>
                  <w:r>
                    <w:rPr>
                      <w:rFonts w:hint="eastAsia" w:cs="Times New Roman"/>
                      <w:color w:val="auto"/>
                      <w:kern w:val="2"/>
                      <w:sz w:val="18"/>
                      <w:szCs w:val="18"/>
                      <w:lang w:val="en-US" w:eastAsia="zh-CN"/>
                    </w:rPr>
                    <w:t>]</w:t>
                  </w:r>
                </w:p>
              </w:tc>
              <w:tc>
                <w:tcPr>
                  <w:tcW w:w="2319" w:type="pct"/>
                  <w:gridSpan w:val="2"/>
                </w:tcPr>
                <w:p w14:paraId="77F6109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r>
                    <w:rPr>
                      <w:rFonts w:hint="default" w:ascii="Times New Roman" w:hAnsi="Times New Roman" w:cs="Times New Roman"/>
                      <w:color w:val="auto"/>
                      <w:kern w:val="2"/>
                      <w:sz w:val="18"/>
                      <w:szCs w:val="18"/>
                      <w:lang w:val="en-US" w:eastAsia="zh-CN"/>
                    </w:rPr>
                    <w:t>2</w:t>
                  </w:r>
                </w:p>
              </w:tc>
            </w:tr>
            <w:tr w14:paraId="6401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tcPr>
                <w:p w14:paraId="4D3C6D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2335" w:type="pct"/>
                </w:tcPr>
                <w:p w14:paraId="6C84B12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有机物含量%</w:t>
                  </w:r>
                </w:p>
              </w:tc>
              <w:tc>
                <w:tcPr>
                  <w:tcW w:w="2319" w:type="pct"/>
                  <w:gridSpan w:val="2"/>
                </w:tcPr>
                <w:p w14:paraId="27D01E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r>
                    <w:rPr>
                      <w:rFonts w:hint="default" w:ascii="Times New Roman" w:hAnsi="Times New Roman" w:cs="Times New Roman"/>
                      <w:color w:val="auto"/>
                      <w:kern w:val="2"/>
                      <w:sz w:val="18"/>
                      <w:szCs w:val="18"/>
                      <w:lang w:val="en-US" w:eastAsia="zh-CN"/>
                    </w:rPr>
                    <w:t>10</w:t>
                  </w:r>
                </w:p>
              </w:tc>
            </w:tr>
            <w:tr w14:paraId="3C88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tcPr>
                <w:p w14:paraId="32206EC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2335" w:type="pct"/>
                </w:tcPr>
                <w:p w14:paraId="55E36E9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粪大肠菌群菌值</w:t>
                  </w:r>
                </w:p>
              </w:tc>
              <w:tc>
                <w:tcPr>
                  <w:tcW w:w="2319" w:type="pct"/>
                  <w:gridSpan w:val="2"/>
                </w:tcPr>
                <w:p w14:paraId="49CE590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＞0.01</w:t>
                  </w:r>
                </w:p>
              </w:tc>
            </w:tr>
            <w:tr w14:paraId="7FEC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tcPr>
                <w:p w14:paraId="062162D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2335" w:type="pct"/>
                </w:tcPr>
                <w:p w14:paraId="308F0C1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螨虫卵死亡率%</w:t>
                  </w:r>
                </w:p>
              </w:tc>
              <w:tc>
                <w:tcPr>
                  <w:tcW w:w="2319" w:type="pct"/>
                  <w:gridSpan w:val="2"/>
                </w:tcPr>
                <w:p w14:paraId="47287F4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＞95</w:t>
                  </w:r>
                </w:p>
              </w:tc>
            </w:tr>
          </w:tbl>
          <w:p w14:paraId="6A5EA935">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②替代燃料：为保障产品适配性与使用安全性，外售至发电厂的污泥生物质燃料，其指标参照《火力发电用固体替代燃料》（T/CIC048-2021）表1循环流化床锅炉用SRF主要理化指标限值执行；外售至水泥厂的污泥生物质燃料，其指标参照《水泥窑用固体替代燃料》（T/CIC049-2021）中表2窑尾用SRF主要理化指标限值执行。污泥生物质燃料产品标准如下：</w:t>
            </w:r>
          </w:p>
          <w:p w14:paraId="578EC04E">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表2-9 替代燃料产品标准值</w:t>
            </w:r>
          </w:p>
          <w:tbl>
            <w:tblPr>
              <w:tblStyle w:val="30"/>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2156"/>
              <w:gridCol w:w="1198"/>
              <w:gridCol w:w="2035"/>
              <w:gridCol w:w="2036"/>
            </w:tblGrid>
            <w:tr w14:paraId="057A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41991173">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default" w:ascii="Times New Roman" w:hAnsi="Times New Roman" w:cs="Times New Roman"/>
                      <w:b/>
                      <w:bCs/>
                    </w:rPr>
                    <w:t>序号</w:t>
                  </w:r>
                </w:p>
              </w:tc>
              <w:tc>
                <w:tcPr>
                  <w:tcW w:w="1314" w:type="pct"/>
                  <w:noWrap w:val="0"/>
                  <w:vAlign w:val="center"/>
                </w:tcPr>
                <w:p w14:paraId="7D47AE50">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default" w:ascii="Times New Roman" w:hAnsi="Times New Roman" w:cs="Times New Roman"/>
                      <w:b/>
                      <w:bCs/>
                    </w:rPr>
                    <w:t>项目</w:t>
                  </w:r>
                </w:p>
              </w:tc>
              <w:tc>
                <w:tcPr>
                  <w:tcW w:w="730" w:type="pct"/>
                  <w:noWrap w:val="0"/>
                  <w:vAlign w:val="center"/>
                </w:tcPr>
                <w:p w14:paraId="20187D95">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default" w:ascii="Times New Roman" w:hAnsi="Times New Roman" w:cs="Times New Roman"/>
                      <w:b/>
                      <w:bCs/>
                    </w:rPr>
                    <w:t>单位</w:t>
                  </w:r>
                </w:p>
              </w:tc>
              <w:tc>
                <w:tcPr>
                  <w:tcW w:w="1240" w:type="pct"/>
                  <w:noWrap w:val="0"/>
                  <w:vAlign w:val="center"/>
                </w:tcPr>
                <w:p w14:paraId="62B74968">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default" w:ascii="Times New Roman" w:hAnsi="Times New Roman" w:cs="Times New Roman"/>
                      <w:b/>
                      <w:bCs/>
                    </w:rPr>
                    <w:t>技术要求</w:t>
                  </w:r>
                </w:p>
                <w:p w14:paraId="4FD44509">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eastAsia" w:cs="Times New Roman"/>
                      <w:b/>
                      <w:bCs/>
                      <w:lang w:eastAsia="zh-CN"/>
                    </w:rPr>
                    <w:t>(</w:t>
                  </w:r>
                  <w:r>
                    <w:rPr>
                      <w:rFonts w:hint="default" w:ascii="Times New Roman" w:hAnsi="Times New Roman" w:cs="Times New Roman"/>
                      <w:b/>
                      <w:bCs/>
                    </w:rPr>
                    <w:t>T/CIC048-2021</w:t>
                  </w:r>
                  <w:r>
                    <w:rPr>
                      <w:rFonts w:hint="eastAsia" w:cs="Times New Roman"/>
                      <w:b/>
                      <w:bCs/>
                      <w:lang w:eastAsia="zh-CN"/>
                    </w:rPr>
                    <w:t>)</w:t>
                  </w:r>
                </w:p>
              </w:tc>
              <w:tc>
                <w:tcPr>
                  <w:tcW w:w="1241" w:type="pct"/>
                  <w:noWrap w:val="0"/>
                  <w:vAlign w:val="center"/>
                </w:tcPr>
                <w:p w14:paraId="712F276B">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default" w:ascii="Times New Roman" w:hAnsi="Times New Roman" w:cs="Times New Roman"/>
                      <w:b/>
                      <w:bCs/>
                    </w:rPr>
                    <w:t>技术要求</w:t>
                  </w:r>
                </w:p>
                <w:p w14:paraId="6DE3B740">
                  <w:pPr>
                    <w:pStyle w:val="131"/>
                    <w:keepNext w:val="0"/>
                    <w:keepLines w:val="0"/>
                    <w:suppressLineNumbers w:val="0"/>
                    <w:spacing w:before="0" w:beforeAutospacing="0" w:after="0" w:afterAutospacing="0"/>
                    <w:ind w:left="0" w:right="0"/>
                    <w:rPr>
                      <w:rFonts w:hint="default" w:ascii="Times New Roman" w:hAnsi="Times New Roman" w:cs="Times New Roman"/>
                      <w:b/>
                      <w:bCs/>
                    </w:rPr>
                  </w:pPr>
                  <w:r>
                    <w:rPr>
                      <w:rFonts w:hint="eastAsia" w:cs="Times New Roman"/>
                      <w:b/>
                      <w:bCs/>
                      <w:lang w:eastAsia="zh-CN"/>
                    </w:rPr>
                    <w:t>(</w:t>
                  </w:r>
                  <w:r>
                    <w:rPr>
                      <w:rFonts w:hint="default" w:ascii="Times New Roman" w:hAnsi="Times New Roman" w:cs="Times New Roman"/>
                      <w:b/>
                      <w:bCs/>
                    </w:rPr>
                    <w:t>T/CIC049-2021</w:t>
                  </w:r>
                  <w:r>
                    <w:rPr>
                      <w:rFonts w:hint="eastAsia" w:cs="Times New Roman"/>
                      <w:b/>
                      <w:bCs/>
                      <w:lang w:eastAsia="zh-CN"/>
                    </w:rPr>
                    <w:t>)</w:t>
                  </w:r>
                </w:p>
              </w:tc>
            </w:tr>
            <w:tr w14:paraId="29C5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6773ED59">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w:t>
                  </w:r>
                </w:p>
              </w:tc>
              <w:tc>
                <w:tcPr>
                  <w:tcW w:w="1314" w:type="pct"/>
                  <w:noWrap w:val="0"/>
                  <w:vAlign w:val="center"/>
                </w:tcPr>
                <w:p w14:paraId="6BDDF0FE">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低位热值（QARB）</w:t>
                  </w:r>
                </w:p>
              </w:tc>
              <w:tc>
                <w:tcPr>
                  <w:tcW w:w="730" w:type="pct"/>
                  <w:noWrap w:val="0"/>
                  <w:vAlign w:val="center"/>
                </w:tcPr>
                <w:p w14:paraId="5AB12D35">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MJ/kg</w:t>
                  </w:r>
                </w:p>
              </w:tc>
              <w:tc>
                <w:tcPr>
                  <w:tcW w:w="1240" w:type="pct"/>
                  <w:noWrap w:val="0"/>
                  <w:vAlign w:val="center"/>
                </w:tcPr>
                <w:p w14:paraId="124FF358">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≥5</w:t>
                  </w:r>
                </w:p>
              </w:tc>
              <w:tc>
                <w:tcPr>
                  <w:tcW w:w="1241" w:type="pct"/>
                  <w:noWrap w:val="0"/>
                  <w:vAlign w:val="center"/>
                </w:tcPr>
                <w:p w14:paraId="090B7CBB">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≥6.0</w:t>
                  </w:r>
                </w:p>
              </w:tc>
            </w:tr>
            <w:tr w14:paraId="03D6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4D7F635A">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w:t>
                  </w:r>
                </w:p>
              </w:tc>
              <w:tc>
                <w:tcPr>
                  <w:tcW w:w="1314" w:type="pct"/>
                  <w:noWrap w:val="0"/>
                  <w:vAlign w:val="center"/>
                </w:tcPr>
                <w:p w14:paraId="2253C628">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氯（ClADB）</w:t>
                  </w:r>
                </w:p>
              </w:tc>
              <w:tc>
                <w:tcPr>
                  <w:tcW w:w="730" w:type="pct"/>
                  <w:noWrap w:val="0"/>
                  <w:vAlign w:val="center"/>
                </w:tcPr>
                <w:p w14:paraId="557332E3">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w:t>
                  </w:r>
                </w:p>
              </w:tc>
              <w:tc>
                <w:tcPr>
                  <w:tcW w:w="1240" w:type="pct"/>
                  <w:noWrap w:val="0"/>
                  <w:vAlign w:val="center"/>
                </w:tcPr>
                <w:p w14:paraId="7AFE0BF9">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≤1.5</w:t>
                  </w:r>
                </w:p>
              </w:tc>
              <w:tc>
                <w:tcPr>
                  <w:tcW w:w="1241" w:type="pct"/>
                  <w:noWrap w:val="0"/>
                  <w:vAlign w:val="center"/>
                </w:tcPr>
                <w:p w14:paraId="34BA4F1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≤2.0</w:t>
                  </w:r>
                </w:p>
              </w:tc>
            </w:tr>
            <w:tr w14:paraId="3D21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2DD48575">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3</w:t>
                  </w:r>
                </w:p>
              </w:tc>
              <w:tc>
                <w:tcPr>
                  <w:tcW w:w="1314" w:type="pct"/>
                  <w:noWrap w:val="0"/>
                  <w:vAlign w:val="center"/>
                </w:tcPr>
                <w:p w14:paraId="1E5BB6CF">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汞（HgARB）</w:t>
                  </w:r>
                </w:p>
              </w:tc>
              <w:tc>
                <w:tcPr>
                  <w:tcW w:w="730" w:type="pct"/>
                  <w:noWrap w:val="0"/>
                  <w:vAlign w:val="center"/>
                </w:tcPr>
                <w:p w14:paraId="23D5AE09">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μg/g</w:t>
                  </w:r>
                </w:p>
              </w:tc>
              <w:tc>
                <w:tcPr>
                  <w:tcW w:w="1240" w:type="pct"/>
                  <w:noWrap w:val="0"/>
                  <w:vAlign w:val="center"/>
                </w:tcPr>
                <w:p w14:paraId="0E52F058">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≤1.0</w:t>
                  </w:r>
                </w:p>
              </w:tc>
              <w:tc>
                <w:tcPr>
                  <w:tcW w:w="1241" w:type="pct"/>
                  <w:noWrap w:val="0"/>
                  <w:vAlign w:val="center"/>
                </w:tcPr>
                <w:p w14:paraId="441815D2">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≤1.0</w:t>
                  </w:r>
                </w:p>
              </w:tc>
            </w:tr>
            <w:tr w14:paraId="7753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23721EF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4</w:t>
                  </w:r>
                </w:p>
              </w:tc>
              <w:tc>
                <w:tcPr>
                  <w:tcW w:w="1314" w:type="pct"/>
                  <w:noWrap w:val="0"/>
                  <w:vAlign w:val="center"/>
                </w:tcPr>
                <w:p w14:paraId="1125FD26">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粒径（d90）</w:t>
                  </w:r>
                </w:p>
              </w:tc>
              <w:tc>
                <w:tcPr>
                  <w:tcW w:w="730" w:type="pct"/>
                  <w:noWrap w:val="0"/>
                  <w:vAlign w:val="center"/>
                </w:tcPr>
                <w:p w14:paraId="2C8E3D79">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mm</w:t>
                  </w:r>
                </w:p>
              </w:tc>
              <w:tc>
                <w:tcPr>
                  <w:tcW w:w="1240" w:type="pct"/>
                  <w:noWrap w:val="0"/>
                  <w:vAlign w:val="center"/>
                </w:tcPr>
                <w:p w14:paraId="28858510">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≤100</w:t>
                  </w:r>
                </w:p>
              </w:tc>
              <w:tc>
                <w:tcPr>
                  <w:tcW w:w="1241" w:type="pct"/>
                  <w:noWrap w:val="0"/>
                  <w:vAlign w:val="center"/>
                </w:tcPr>
                <w:p w14:paraId="4A6A403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≤100</w:t>
                  </w:r>
                </w:p>
              </w:tc>
            </w:tr>
            <w:tr w14:paraId="7DCA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3E5B418D">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5</w:t>
                  </w:r>
                </w:p>
              </w:tc>
              <w:tc>
                <w:tcPr>
                  <w:tcW w:w="1314" w:type="pct"/>
                  <w:noWrap w:val="0"/>
                  <w:vAlign w:val="center"/>
                </w:tcPr>
                <w:p w14:paraId="7C75C82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灰分（ACADB）</w:t>
                  </w:r>
                </w:p>
              </w:tc>
              <w:tc>
                <w:tcPr>
                  <w:tcW w:w="730" w:type="pct"/>
                  <w:noWrap w:val="0"/>
                  <w:vAlign w:val="center"/>
                </w:tcPr>
                <w:p w14:paraId="64AE5EF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w:t>
                  </w:r>
                </w:p>
              </w:tc>
              <w:tc>
                <w:tcPr>
                  <w:tcW w:w="1240" w:type="pct"/>
                  <w:noWrap w:val="0"/>
                  <w:vAlign w:val="center"/>
                </w:tcPr>
                <w:p w14:paraId="60FF44C2">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≤40</w:t>
                  </w:r>
                </w:p>
              </w:tc>
              <w:tc>
                <w:tcPr>
                  <w:tcW w:w="1241" w:type="pct"/>
                  <w:noWrap w:val="0"/>
                  <w:vAlign w:val="center"/>
                </w:tcPr>
                <w:p w14:paraId="768046A1">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≤50</w:t>
                  </w:r>
                </w:p>
              </w:tc>
            </w:tr>
            <w:tr w14:paraId="3786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0CE3FCDD">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6</w:t>
                  </w:r>
                </w:p>
              </w:tc>
              <w:tc>
                <w:tcPr>
                  <w:tcW w:w="1314" w:type="pct"/>
                  <w:noWrap w:val="0"/>
                  <w:vAlign w:val="center"/>
                </w:tcPr>
                <w:p w14:paraId="7D964392">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挥发分（VCADB）</w:t>
                  </w:r>
                </w:p>
              </w:tc>
              <w:tc>
                <w:tcPr>
                  <w:tcW w:w="730" w:type="pct"/>
                  <w:noWrap w:val="0"/>
                  <w:vAlign w:val="center"/>
                </w:tcPr>
                <w:p w14:paraId="0337AF45">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w:t>
                  </w:r>
                </w:p>
              </w:tc>
              <w:tc>
                <w:tcPr>
                  <w:tcW w:w="1240" w:type="pct"/>
                  <w:noWrap w:val="0"/>
                  <w:vAlign w:val="center"/>
                </w:tcPr>
                <w:p w14:paraId="007F3A0B">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
                  </w:r>
                </w:p>
              </w:tc>
              <w:tc>
                <w:tcPr>
                  <w:tcW w:w="1241" w:type="pct"/>
                  <w:noWrap w:val="0"/>
                  <w:vAlign w:val="center"/>
                </w:tcPr>
                <w:p w14:paraId="6FD225F2">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≥25</w:t>
                  </w:r>
                </w:p>
              </w:tc>
            </w:tr>
            <w:tr w14:paraId="7075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0E2B379A">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7</w:t>
                  </w:r>
                </w:p>
              </w:tc>
              <w:tc>
                <w:tcPr>
                  <w:tcW w:w="1314" w:type="pct"/>
                  <w:noWrap w:val="0"/>
                  <w:vAlign w:val="center"/>
                </w:tcPr>
                <w:p w14:paraId="7987037F">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全水分（TMCARB）</w:t>
                  </w:r>
                </w:p>
              </w:tc>
              <w:tc>
                <w:tcPr>
                  <w:tcW w:w="730" w:type="pct"/>
                  <w:noWrap w:val="0"/>
                  <w:vAlign w:val="center"/>
                </w:tcPr>
                <w:p w14:paraId="503372CC">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w:t>
                  </w:r>
                </w:p>
              </w:tc>
              <w:tc>
                <w:tcPr>
                  <w:tcW w:w="1240" w:type="pct"/>
                  <w:noWrap w:val="0"/>
                  <w:vAlign w:val="center"/>
                </w:tcPr>
                <w:p w14:paraId="63FA72C7">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≤40</w:t>
                  </w:r>
                </w:p>
              </w:tc>
              <w:tc>
                <w:tcPr>
                  <w:tcW w:w="1241" w:type="pct"/>
                  <w:noWrap w:val="0"/>
                  <w:vAlign w:val="center"/>
                </w:tcPr>
                <w:p w14:paraId="43877290">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≤40</w:t>
                  </w:r>
                </w:p>
              </w:tc>
            </w:tr>
            <w:tr w14:paraId="391B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2E2F89C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8</w:t>
                  </w:r>
                </w:p>
              </w:tc>
              <w:tc>
                <w:tcPr>
                  <w:tcW w:w="1314" w:type="pct"/>
                  <w:noWrap w:val="0"/>
                  <w:vAlign w:val="center"/>
                </w:tcPr>
                <w:p w14:paraId="6D33A68D">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全硫（SADB）</w:t>
                  </w:r>
                </w:p>
              </w:tc>
              <w:tc>
                <w:tcPr>
                  <w:tcW w:w="730" w:type="pct"/>
                  <w:noWrap w:val="0"/>
                  <w:vAlign w:val="center"/>
                </w:tcPr>
                <w:p w14:paraId="73988918">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w:t>
                  </w:r>
                </w:p>
              </w:tc>
              <w:tc>
                <w:tcPr>
                  <w:tcW w:w="1240" w:type="pct"/>
                  <w:noWrap w:val="0"/>
                  <w:vAlign w:val="center"/>
                </w:tcPr>
                <w:p w14:paraId="614F74A4">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≤2.5</w:t>
                  </w:r>
                </w:p>
              </w:tc>
              <w:tc>
                <w:tcPr>
                  <w:tcW w:w="1241" w:type="pct"/>
                  <w:noWrap w:val="0"/>
                  <w:vAlign w:val="center"/>
                </w:tcPr>
                <w:p w14:paraId="1C52677E">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≤2.0</w:t>
                  </w:r>
                </w:p>
              </w:tc>
            </w:tr>
            <w:tr w14:paraId="1687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71F3DBE7">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9</w:t>
                  </w:r>
                </w:p>
              </w:tc>
              <w:tc>
                <w:tcPr>
                  <w:tcW w:w="1314" w:type="pct"/>
                  <w:noWrap w:val="0"/>
                  <w:vAlign w:val="center"/>
                </w:tcPr>
                <w:p w14:paraId="2FCD41CB">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砷（ASADB）</w:t>
                  </w:r>
                </w:p>
              </w:tc>
              <w:tc>
                <w:tcPr>
                  <w:tcW w:w="730" w:type="pct"/>
                  <w:noWrap w:val="0"/>
                  <w:vAlign w:val="center"/>
                </w:tcPr>
                <w:p w14:paraId="7ED4F74A">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µg/g</w:t>
                  </w:r>
                </w:p>
              </w:tc>
              <w:tc>
                <w:tcPr>
                  <w:tcW w:w="1240" w:type="pct"/>
                  <w:noWrap w:val="0"/>
                  <w:vAlign w:val="center"/>
                </w:tcPr>
                <w:p w14:paraId="76FDC06B">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≤40</w:t>
                  </w:r>
                </w:p>
              </w:tc>
              <w:tc>
                <w:tcPr>
                  <w:tcW w:w="1241" w:type="pct"/>
                  <w:noWrap w:val="0"/>
                  <w:vAlign w:val="center"/>
                </w:tcPr>
                <w:p w14:paraId="096ABEE5">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
                  </w:r>
                </w:p>
              </w:tc>
            </w:tr>
            <w:tr w14:paraId="3682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2EF28DA9">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10</w:t>
                  </w:r>
                </w:p>
              </w:tc>
              <w:tc>
                <w:tcPr>
                  <w:tcW w:w="1314" w:type="pct"/>
                  <w:noWrap w:val="0"/>
                  <w:vAlign w:val="center"/>
                </w:tcPr>
                <w:p w14:paraId="757954DB">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磷（PADB）</w:t>
                  </w:r>
                </w:p>
              </w:tc>
              <w:tc>
                <w:tcPr>
                  <w:tcW w:w="730" w:type="pct"/>
                  <w:noWrap w:val="0"/>
                  <w:vAlign w:val="center"/>
                </w:tcPr>
                <w:p w14:paraId="52B38C60">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w:t>
                  </w:r>
                </w:p>
              </w:tc>
              <w:tc>
                <w:tcPr>
                  <w:tcW w:w="1240" w:type="pct"/>
                  <w:noWrap w:val="0"/>
                  <w:vAlign w:val="center"/>
                </w:tcPr>
                <w:p w14:paraId="1600C25E">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≤0.10</w:t>
                  </w:r>
                </w:p>
              </w:tc>
              <w:tc>
                <w:tcPr>
                  <w:tcW w:w="1241" w:type="pct"/>
                  <w:noWrap w:val="0"/>
                  <w:vAlign w:val="center"/>
                </w:tcPr>
                <w:p w14:paraId="7F805FF6">
                  <w:pPr>
                    <w:pStyle w:val="131"/>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w:t>
                  </w:r>
                </w:p>
              </w:tc>
            </w:tr>
          </w:tbl>
          <w:p w14:paraId="225E1DB3">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rPr>
            </w:pPr>
            <w:r>
              <w:rPr>
                <w:rFonts w:hint="default" w:ascii="Times New Roman" w:hAnsi="Times New Roman" w:cs="Times New Roman"/>
                <w:snapToGrid w:val="0"/>
                <w:color w:val="auto"/>
                <w:kern w:val="0"/>
                <w:sz w:val="24"/>
                <w:lang w:val="en-US" w:eastAsia="zh-CN"/>
              </w:rPr>
              <w:t>③免烧砖：本项目将</w:t>
            </w:r>
            <w:r>
              <w:rPr>
                <w:rFonts w:hint="default" w:ascii="Times New Roman" w:hAnsi="Times New Roman" w:cs="Times New Roman"/>
                <w:color w:val="auto"/>
                <w:sz w:val="24"/>
              </w:rPr>
              <w:t>脱硫石膏、钢渣、炉渣等一般固废、水泥、固化剂按照一定的配比</w:t>
            </w:r>
            <w:r>
              <w:rPr>
                <w:rFonts w:hint="eastAsia" w:cs="Times New Roman"/>
                <w:color w:val="auto"/>
                <w:sz w:val="24"/>
                <w:lang w:eastAsia="zh-CN"/>
              </w:rPr>
              <w:t>加入</w:t>
            </w:r>
            <w:r>
              <w:rPr>
                <w:rFonts w:hint="default" w:ascii="Times New Roman" w:hAnsi="Times New Roman" w:cs="Times New Roman"/>
                <w:color w:val="auto"/>
                <w:sz w:val="24"/>
              </w:rPr>
              <w:t>搅拌设备中搅拌均匀，搅拌好的混合物料经免烧砖机压制成不同形状尺寸的</w:t>
            </w:r>
            <w:r>
              <w:rPr>
                <w:rFonts w:hint="default" w:ascii="Times New Roman" w:hAnsi="Times New Roman" w:cs="Times New Roman"/>
                <w:color w:val="auto"/>
                <w:sz w:val="24"/>
                <w:lang w:eastAsia="zh-CN"/>
              </w:rPr>
              <w:t>砖坯</w:t>
            </w:r>
            <w:r>
              <w:rPr>
                <w:rFonts w:hint="default" w:ascii="Times New Roman" w:hAnsi="Times New Roman" w:cs="Times New Roman"/>
                <w:color w:val="auto"/>
                <w:sz w:val="24"/>
              </w:rPr>
              <w:t>，码垛后的</w:t>
            </w:r>
            <w:r>
              <w:rPr>
                <w:rFonts w:hint="default" w:ascii="Times New Roman" w:hAnsi="Times New Roman" w:cs="Times New Roman"/>
                <w:color w:val="auto"/>
                <w:sz w:val="24"/>
                <w:lang w:eastAsia="zh-CN"/>
              </w:rPr>
              <w:t>砖坯</w:t>
            </w:r>
            <w:r>
              <w:rPr>
                <w:rFonts w:hint="default" w:ascii="Times New Roman" w:hAnsi="Times New Roman" w:cs="Times New Roman"/>
                <w:color w:val="auto"/>
                <w:sz w:val="24"/>
              </w:rPr>
              <w:t>自然养护25-28天即得到环保免烧砖</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本产品符合GB28635-2012《混凝土路面砖》C40标准要求，具体指标如下表2-</w:t>
            </w:r>
            <w:r>
              <w:rPr>
                <w:rFonts w:hint="default" w:ascii="Times New Roman" w:hAnsi="Times New Roman" w:cs="Times New Roman"/>
                <w:color w:val="auto"/>
                <w:sz w:val="24"/>
                <w:lang w:val="en-US" w:eastAsia="zh-CN"/>
              </w:rPr>
              <w:t>10</w:t>
            </w:r>
            <w:r>
              <w:rPr>
                <w:rFonts w:hint="default" w:ascii="Times New Roman" w:hAnsi="Times New Roman" w:cs="Times New Roman"/>
                <w:color w:val="auto"/>
                <w:sz w:val="24"/>
              </w:rPr>
              <w:t>所示</w:t>
            </w:r>
          </w:p>
          <w:p w14:paraId="3EDC9453">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表2-</w:t>
            </w:r>
            <w:r>
              <w:rPr>
                <w:rFonts w:hint="default" w:ascii="Times New Roman" w:hAnsi="Times New Roman" w:cs="Times New Roman"/>
                <w:b/>
                <w:bCs/>
                <w:color w:val="auto"/>
                <w:sz w:val="24"/>
                <w:lang w:val="en-US" w:eastAsia="zh-CN"/>
              </w:rPr>
              <w:t>10</w:t>
            </w:r>
            <w:r>
              <w:rPr>
                <w:rFonts w:hint="default" w:ascii="Times New Roman" w:hAnsi="Times New Roman" w:cs="Times New Roman"/>
                <w:b/>
                <w:bCs/>
                <w:color w:val="auto"/>
                <w:sz w:val="24"/>
              </w:rPr>
              <w:t>固体废弃物环保免烧砖标准要求</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1331"/>
              <w:gridCol w:w="1302"/>
              <w:gridCol w:w="1277"/>
              <w:gridCol w:w="1294"/>
              <w:gridCol w:w="1267"/>
            </w:tblGrid>
            <w:tr w14:paraId="2D73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Align w:val="center"/>
                </w:tcPr>
                <w:p w14:paraId="296FF18F">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产品规格</w:t>
                  </w:r>
                </w:p>
              </w:tc>
              <w:tc>
                <w:tcPr>
                  <w:tcW w:w="2333" w:type="pct"/>
                  <w:gridSpan w:val="3"/>
                  <w:vAlign w:val="center"/>
                </w:tcPr>
                <w:p w14:paraId="3592CC4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标准要求</w:t>
                  </w:r>
                </w:p>
              </w:tc>
              <w:tc>
                <w:tcPr>
                  <w:tcW w:w="772" w:type="pct"/>
                  <w:vAlign w:val="center"/>
                </w:tcPr>
                <w:p w14:paraId="69733471">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检测结果</w:t>
                  </w:r>
                </w:p>
              </w:tc>
              <w:tc>
                <w:tcPr>
                  <w:tcW w:w="756" w:type="pct"/>
                  <w:vAlign w:val="center"/>
                </w:tcPr>
                <w:p w14:paraId="57731A61">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结论</w:t>
                  </w:r>
                </w:p>
              </w:tc>
            </w:tr>
            <w:tr w14:paraId="4282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restart"/>
                  <w:vAlign w:val="center"/>
                </w:tcPr>
                <w:p w14:paraId="23D9C6A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标砖238×115×46mm</w:t>
                  </w:r>
                </w:p>
              </w:tc>
              <w:tc>
                <w:tcPr>
                  <w:tcW w:w="794" w:type="pct"/>
                  <w:vMerge w:val="restart"/>
                  <w:vAlign w:val="center"/>
                </w:tcPr>
                <w:p w14:paraId="20B547C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抗压强度</w:t>
                  </w:r>
                </w:p>
              </w:tc>
              <w:tc>
                <w:tcPr>
                  <w:tcW w:w="777" w:type="pct"/>
                  <w:vAlign w:val="center"/>
                </w:tcPr>
                <w:p w14:paraId="7F6AE0CB">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强度平均值，Mpa</w:t>
                  </w:r>
                </w:p>
              </w:tc>
              <w:tc>
                <w:tcPr>
                  <w:tcW w:w="760" w:type="pct"/>
                  <w:vAlign w:val="center"/>
                </w:tcPr>
                <w:p w14:paraId="5D75F2B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≥40</w:t>
                  </w:r>
                </w:p>
              </w:tc>
              <w:tc>
                <w:tcPr>
                  <w:tcW w:w="772" w:type="pct"/>
                  <w:vAlign w:val="center"/>
                </w:tcPr>
                <w:p w14:paraId="5E2DFDB8">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42.1</w:t>
                  </w:r>
                </w:p>
              </w:tc>
              <w:tc>
                <w:tcPr>
                  <w:tcW w:w="756" w:type="pct"/>
                  <w:vAlign w:val="center"/>
                </w:tcPr>
                <w:p w14:paraId="210C02A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合格</w:t>
                  </w:r>
                </w:p>
              </w:tc>
            </w:tr>
            <w:tr w14:paraId="28A5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continue"/>
                  <w:vAlign w:val="center"/>
                </w:tcPr>
                <w:p w14:paraId="4DB03D8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p>
              </w:tc>
              <w:tc>
                <w:tcPr>
                  <w:tcW w:w="794" w:type="pct"/>
                  <w:vMerge w:val="continue"/>
                  <w:vAlign w:val="center"/>
                </w:tcPr>
                <w:p w14:paraId="367FCAAB">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p>
              </w:tc>
              <w:tc>
                <w:tcPr>
                  <w:tcW w:w="777" w:type="pct"/>
                  <w:vAlign w:val="center"/>
                </w:tcPr>
                <w:p w14:paraId="3591729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单块最小值，Mpa</w:t>
                  </w:r>
                </w:p>
              </w:tc>
              <w:tc>
                <w:tcPr>
                  <w:tcW w:w="760" w:type="pct"/>
                  <w:vAlign w:val="center"/>
                </w:tcPr>
                <w:p w14:paraId="274446E2">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≥35</w:t>
                  </w:r>
                </w:p>
              </w:tc>
              <w:tc>
                <w:tcPr>
                  <w:tcW w:w="772" w:type="pct"/>
                  <w:vAlign w:val="center"/>
                </w:tcPr>
                <w:p w14:paraId="1793688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40.9</w:t>
                  </w:r>
                </w:p>
              </w:tc>
              <w:tc>
                <w:tcPr>
                  <w:tcW w:w="756" w:type="pct"/>
                  <w:vAlign w:val="center"/>
                </w:tcPr>
                <w:p w14:paraId="54A3AD8A">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合格</w:t>
                  </w:r>
                </w:p>
              </w:tc>
            </w:tr>
            <w:tr w14:paraId="17BD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continue"/>
                  <w:vAlign w:val="center"/>
                </w:tcPr>
                <w:p w14:paraId="05F5CDE8">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p>
              </w:tc>
              <w:tc>
                <w:tcPr>
                  <w:tcW w:w="794" w:type="pct"/>
                  <w:vAlign w:val="center"/>
                </w:tcPr>
                <w:p w14:paraId="158C437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吸水性（%）</w:t>
                  </w:r>
                </w:p>
              </w:tc>
              <w:tc>
                <w:tcPr>
                  <w:tcW w:w="777" w:type="pct"/>
                  <w:vAlign w:val="center"/>
                </w:tcPr>
                <w:p w14:paraId="31B291A8">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平均值</w:t>
                  </w:r>
                </w:p>
              </w:tc>
              <w:tc>
                <w:tcPr>
                  <w:tcW w:w="760" w:type="pct"/>
                  <w:vAlign w:val="center"/>
                </w:tcPr>
                <w:p w14:paraId="41F7282F">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≤6.5</w:t>
                  </w:r>
                </w:p>
              </w:tc>
              <w:tc>
                <w:tcPr>
                  <w:tcW w:w="772" w:type="pct"/>
                  <w:vAlign w:val="center"/>
                </w:tcPr>
                <w:p w14:paraId="0F369DE2">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3.9</w:t>
                  </w:r>
                </w:p>
              </w:tc>
              <w:tc>
                <w:tcPr>
                  <w:tcW w:w="756" w:type="pct"/>
                  <w:vAlign w:val="center"/>
                </w:tcPr>
                <w:p w14:paraId="5B4162C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合格</w:t>
                  </w:r>
                </w:p>
              </w:tc>
            </w:tr>
            <w:tr w14:paraId="4086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continue"/>
                  <w:vAlign w:val="center"/>
                </w:tcPr>
                <w:p w14:paraId="2D1EB46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p>
              </w:tc>
              <w:tc>
                <w:tcPr>
                  <w:tcW w:w="794" w:type="pct"/>
                  <w:vAlign w:val="center"/>
                </w:tcPr>
                <w:p w14:paraId="03BB23B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抗冻性（%）</w:t>
                  </w:r>
                </w:p>
              </w:tc>
              <w:tc>
                <w:tcPr>
                  <w:tcW w:w="777" w:type="pct"/>
                  <w:vAlign w:val="center"/>
                </w:tcPr>
                <w:p w14:paraId="39497DC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强度损失率</w:t>
                  </w:r>
                </w:p>
              </w:tc>
              <w:tc>
                <w:tcPr>
                  <w:tcW w:w="760" w:type="pct"/>
                  <w:vAlign w:val="center"/>
                </w:tcPr>
                <w:p w14:paraId="14C5763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≤20</w:t>
                  </w:r>
                </w:p>
              </w:tc>
              <w:tc>
                <w:tcPr>
                  <w:tcW w:w="772" w:type="pct"/>
                  <w:vAlign w:val="center"/>
                </w:tcPr>
                <w:p w14:paraId="1681460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11.1</w:t>
                  </w:r>
                </w:p>
              </w:tc>
              <w:tc>
                <w:tcPr>
                  <w:tcW w:w="756" w:type="pct"/>
                  <w:vAlign w:val="center"/>
                </w:tcPr>
                <w:p w14:paraId="0EE37218">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rPr>
                  </w:pPr>
                  <w:r>
                    <w:rPr>
                      <w:rFonts w:hint="default" w:ascii="Times New Roman" w:hAnsi="Times New Roman" w:cs="Times New Roman"/>
                      <w:color w:val="auto"/>
                      <w:kern w:val="2"/>
                      <w:sz w:val="18"/>
                      <w:szCs w:val="18"/>
                    </w:rPr>
                    <w:t>合格</w:t>
                  </w:r>
                </w:p>
              </w:tc>
            </w:tr>
          </w:tbl>
          <w:p w14:paraId="32E81E7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9</w:t>
            </w:r>
            <w:r>
              <w:rPr>
                <w:rFonts w:hint="default"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rPr>
              <w:t>项目主要生产设备见表</w:t>
            </w:r>
            <w:r>
              <w:rPr>
                <w:rFonts w:hint="default" w:ascii="Times New Roman" w:hAnsi="Times New Roman" w:cs="Times New Roman"/>
                <w:color w:val="000000"/>
                <w:sz w:val="24"/>
                <w:szCs w:val="24"/>
                <w:highlight w:val="none"/>
                <w:lang w:val="en-US" w:eastAsia="zh-CN"/>
              </w:rPr>
              <w:t>2-11</w:t>
            </w:r>
            <w:r>
              <w:rPr>
                <w:rFonts w:hint="default" w:ascii="Times New Roman" w:hAnsi="Times New Roman" w:eastAsia="宋体" w:cs="Times New Roman"/>
                <w:color w:val="000000"/>
                <w:sz w:val="24"/>
                <w:szCs w:val="24"/>
                <w:highlight w:val="none"/>
              </w:rPr>
              <w:t>。</w:t>
            </w:r>
          </w:p>
          <w:p w14:paraId="66505D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4"/>
                <w:szCs w:val="24"/>
                <w:highlight w:val="none"/>
              </w:rPr>
              <w:t>表</w:t>
            </w:r>
            <w:r>
              <w:rPr>
                <w:rFonts w:hint="default" w:ascii="Times New Roman" w:hAnsi="Times New Roman" w:eastAsia="宋体" w:cs="Times New Roman"/>
                <w:b/>
                <w:bCs/>
                <w:color w:val="000000"/>
                <w:sz w:val="24"/>
                <w:szCs w:val="24"/>
                <w:highlight w:val="none"/>
                <w:lang w:val="en-US" w:eastAsia="zh-CN"/>
              </w:rPr>
              <w:t>2-</w:t>
            </w:r>
            <w:r>
              <w:rPr>
                <w:rFonts w:hint="default" w:ascii="Times New Roman" w:hAnsi="Times New Roman" w:cs="Times New Roman"/>
                <w:b/>
                <w:bCs/>
                <w:color w:val="000000"/>
                <w:sz w:val="24"/>
                <w:szCs w:val="24"/>
                <w:highlight w:val="none"/>
                <w:lang w:val="en-US" w:eastAsia="zh-CN"/>
              </w:rPr>
              <w:t>11</w:t>
            </w:r>
            <w:r>
              <w:rPr>
                <w:rFonts w:hint="default" w:ascii="Times New Roman" w:hAnsi="Times New Roman" w:eastAsia="宋体" w:cs="Times New Roman"/>
                <w:b/>
                <w:bCs/>
                <w:color w:val="000000"/>
                <w:sz w:val="24"/>
                <w:szCs w:val="24"/>
                <w:highlight w:val="none"/>
                <w:lang w:val="en-US" w:eastAsia="zh-CN"/>
              </w:rPr>
              <w:t xml:space="preserve">   </w:t>
            </w:r>
            <w:r>
              <w:rPr>
                <w:rFonts w:hint="default" w:ascii="Times New Roman" w:hAnsi="Times New Roman" w:eastAsia="宋体" w:cs="Times New Roman"/>
                <w:b/>
                <w:bCs/>
                <w:color w:val="000000"/>
                <w:sz w:val="24"/>
                <w:szCs w:val="24"/>
                <w:highlight w:val="none"/>
              </w:rPr>
              <w:t xml:space="preserve"> 本项目主要生产设备、设施一览表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918"/>
              <w:gridCol w:w="874"/>
              <w:gridCol w:w="1072"/>
              <w:gridCol w:w="2772"/>
            </w:tblGrid>
            <w:tr w14:paraId="46CF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42" w:type="pct"/>
                  <w:tcBorders>
                    <w:tl2br w:val="nil"/>
                    <w:tr2bl w:val="nil"/>
                  </w:tcBorders>
                  <w:vAlign w:val="center"/>
                </w:tcPr>
                <w:p w14:paraId="127EAEF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序号</w:t>
                  </w:r>
                </w:p>
              </w:tc>
              <w:tc>
                <w:tcPr>
                  <w:tcW w:w="1742" w:type="pct"/>
                  <w:tcBorders>
                    <w:tl2br w:val="nil"/>
                    <w:tr2bl w:val="nil"/>
                  </w:tcBorders>
                  <w:vAlign w:val="center"/>
                </w:tcPr>
                <w:p w14:paraId="576172D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设备名称</w:t>
                  </w:r>
                </w:p>
              </w:tc>
              <w:tc>
                <w:tcPr>
                  <w:tcW w:w="522" w:type="pct"/>
                  <w:tcBorders>
                    <w:tl2br w:val="nil"/>
                    <w:tr2bl w:val="nil"/>
                  </w:tcBorders>
                  <w:vAlign w:val="center"/>
                </w:tcPr>
                <w:p w14:paraId="502618A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数量</w:t>
                  </w:r>
                </w:p>
              </w:tc>
              <w:tc>
                <w:tcPr>
                  <w:tcW w:w="640" w:type="pct"/>
                  <w:tcBorders>
                    <w:tl2br w:val="nil"/>
                    <w:tr2bl w:val="nil"/>
                  </w:tcBorders>
                  <w:vAlign w:val="center"/>
                </w:tcPr>
                <w:p w14:paraId="4F5930B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单位</w:t>
                  </w:r>
                </w:p>
              </w:tc>
              <w:tc>
                <w:tcPr>
                  <w:tcW w:w="1652" w:type="pct"/>
                  <w:tcBorders>
                    <w:tl2br w:val="nil"/>
                    <w:tr2bl w:val="nil"/>
                  </w:tcBorders>
                  <w:vAlign w:val="center"/>
                </w:tcPr>
                <w:p w14:paraId="16447A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处理能力</w:t>
                  </w:r>
                </w:p>
              </w:tc>
            </w:tr>
            <w:tr w14:paraId="3024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5"/>
                  <w:tcBorders>
                    <w:tl2br w:val="nil"/>
                    <w:tr2bl w:val="nil"/>
                  </w:tcBorders>
                  <w:vAlign w:val="center"/>
                </w:tcPr>
                <w:p w14:paraId="42CD6FD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固废</w:t>
                  </w:r>
                  <w:r>
                    <w:rPr>
                      <w:rFonts w:hint="default" w:ascii="Times New Roman" w:hAnsi="Times New Roman" w:eastAsia="宋体" w:cs="Times New Roman"/>
                      <w:color w:val="auto"/>
                      <w:kern w:val="2"/>
                      <w:sz w:val="18"/>
                      <w:szCs w:val="18"/>
                      <w:lang w:eastAsia="zh-CN"/>
                    </w:rPr>
                    <w:t>烘干</w:t>
                  </w:r>
                  <w:r>
                    <w:rPr>
                      <w:rFonts w:hint="default" w:ascii="Times New Roman" w:hAnsi="Times New Roman" w:cs="Times New Roman"/>
                      <w:color w:val="auto"/>
                      <w:kern w:val="2"/>
                      <w:sz w:val="18"/>
                      <w:szCs w:val="18"/>
                      <w:lang w:val="en-US" w:eastAsia="zh-CN"/>
                    </w:rPr>
                    <w:t>生产线</w:t>
                  </w:r>
                </w:p>
              </w:tc>
            </w:tr>
            <w:tr w14:paraId="0857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442" w:type="pct"/>
                  <w:tcBorders>
                    <w:tl2br w:val="nil"/>
                    <w:tr2bl w:val="nil"/>
                  </w:tcBorders>
                  <w:vAlign w:val="center"/>
                </w:tcPr>
                <w:p w14:paraId="3E7730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1</w:t>
                  </w:r>
                </w:p>
              </w:tc>
              <w:tc>
                <w:tcPr>
                  <w:tcW w:w="1742" w:type="pct"/>
                  <w:tcBorders>
                    <w:tl2br w:val="nil"/>
                    <w:tr2bl w:val="nil"/>
                  </w:tcBorders>
                  <w:vAlign w:val="center"/>
                </w:tcPr>
                <w:p w14:paraId="471013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打碎机</w:t>
                  </w:r>
                </w:p>
              </w:tc>
              <w:tc>
                <w:tcPr>
                  <w:tcW w:w="522" w:type="pct"/>
                  <w:tcBorders>
                    <w:tl2br w:val="nil"/>
                    <w:tr2bl w:val="nil"/>
                  </w:tcBorders>
                  <w:vAlign w:val="center"/>
                </w:tcPr>
                <w:p w14:paraId="1484C5E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75F982A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vAlign w:val="center"/>
                </w:tcPr>
                <w:p w14:paraId="12118AD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15t/h</w:t>
                  </w:r>
                </w:p>
              </w:tc>
            </w:tr>
            <w:tr w14:paraId="556C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42" w:type="pct"/>
                  <w:tcBorders>
                    <w:tl2br w:val="nil"/>
                    <w:tr2bl w:val="nil"/>
                  </w:tcBorders>
                  <w:vAlign w:val="center"/>
                </w:tcPr>
                <w:p w14:paraId="0CCF85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2</w:t>
                  </w:r>
                </w:p>
              </w:tc>
              <w:tc>
                <w:tcPr>
                  <w:tcW w:w="1742" w:type="pct"/>
                  <w:tcBorders>
                    <w:tl2br w:val="nil"/>
                    <w:tr2bl w:val="nil"/>
                  </w:tcBorders>
                  <w:vAlign w:val="center"/>
                </w:tcPr>
                <w:p w14:paraId="41AABDE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搅拌式滚筒干燥杀菌机</w:t>
                  </w:r>
                </w:p>
                <w:p w14:paraId="0B16A84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（仅用于烘干一般固废</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配套燃烧机功率330万kcal</w:t>
                  </w:r>
                  <w:r>
                    <w:rPr>
                      <w:rFonts w:hint="default" w:ascii="Times New Roman" w:hAnsi="Times New Roman" w:eastAsia="宋体" w:cs="Times New Roman"/>
                      <w:color w:val="auto"/>
                      <w:kern w:val="2"/>
                      <w:sz w:val="18"/>
                      <w:szCs w:val="18"/>
                      <w:lang w:eastAsia="zh-CN"/>
                    </w:rPr>
                    <w:t>）</w:t>
                  </w:r>
                </w:p>
              </w:tc>
              <w:tc>
                <w:tcPr>
                  <w:tcW w:w="522" w:type="pct"/>
                  <w:tcBorders>
                    <w:tl2br w:val="nil"/>
                    <w:tr2bl w:val="nil"/>
                  </w:tcBorders>
                  <w:vAlign w:val="center"/>
                </w:tcPr>
                <w:p w14:paraId="7218AC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27171DB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vAlign w:val="center"/>
                </w:tcPr>
                <w:p w14:paraId="2290A03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15t/h</w:t>
                  </w:r>
                </w:p>
              </w:tc>
            </w:tr>
            <w:tr w14:paraId="1CD0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42" w:type="pct"/>
                  <w:tcBorders>
                    <w:tl2br w:val="nil"/>
                    <w:tr2bl w:val="nil"/>
                  </w:tcBorders>
                  <w:vAlign w:val="center"/>
                </w:tcPr>
                <w:p w14:paraId="1861278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3</w:t>
                  </w:r>
                </w:p>
              </w:tc>
              <w:tc>
                <w:tcPr>
                  <w:tcW w:w="1742" w:type="pct"/>
                  <w:tcBorders>
                    <w:tl2br w:val="nil"/>
                    <w:tr2bl w:val="nil"/>
                  </w:tcBorders>
                  <w:vAlign w:val="center"/>
                </w:tcPr>
                <w:p w14:paraId="6C817E6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传送带</w:t>
                  </w:r>
                </w:p>
              </w:tc>
              <w:tc>
                <w:tcPr>
                  <w:tcW w:w="522" w:type="pct"/>
                  <w:tcBorders>
                    <w:tl2br w:val="nil"/>
                    <w:tr2bl w:val="nil"/>
                  </w:tcBorders>
                  <w:vAlign w:val="center"/>
                </w:tcPr>
                <w:p w14:paraId="0F7984D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w:t>
                  </w:r>
                </w:p>
              </w:tc>
              <w:tc>
                <w:tcPr>
                  <w:tcW w:w="640" w:type="pct"/>
                  <w:tcBorders>
                    <w:tl2br w:val="nil"/>
                    <w:tr2bl w:val="nil"/>
                  </w:tcBorders>
                  <w:vAlign w:val="center"/>
                </w:tcPr>
                <w:p w14:paraId="602BFDF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条</w:t>
                  </w:r>
                </w:p>
              </w:tc>
              <w:tc>
                <w:tcPr>
                  <w:tcW w:w="1652" w:type="pct"/>
                  <w:tcBorders>
                    <w:tl2br w:val="nil"/>
                    <w:tr2bl w:val="nil"/>
                  </w:tcBorders>
                  <w:vAlign w:val="center"/>
                </w:tcPr>
                <w:p w14:paraId="77B6C90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15t/h</w:t>
                  </w:r>
                </w:p>
              </w:tc>
            </w:tr>
            <w:tr w14:paraId="307F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42" w:type="pct"/>
                  <w:tcBorders>
                    <w:tl2br w:val="nil"/>
                    <w:tr2bl w:val="nil"/>
                  </w:tcBorders>
                  <w:vAlign w:val="center"/>
                </w:tcPr>
                <w:p w14:paraId="5D52C7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4</w:t>
                  </w:r>
                </w:p>
              </w:tc>
              <w:tc>
                <w:tcPr>
                  <w:tcW w:w="1742" w:type="pct"/>
                  <w:tcBorders>
                    <w:tl2br w:val="nil"/>
                    <w:tr2bl w:val="nil"/>
                  </w:tcBorders>
                  <w:vAlign w:val="center"/>
                </w:tcPr>
                <w:p w14:paraId="3DABFDD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上料斗</w:t>
                  </w:r>
                </w:p>
              </w:tc>
              <w:tc>
                <w:tcPr>
                  <w:tcW w:w="522" w:type="pct"/>
                  <w:tcBorders>
                    <w:tl2br w:val="nil"/>
                    <w:tr2bl w:val="nil"/>
                  </w:tcBorders>
                  <w:vAlign w:val="center"/>
                </w:tcPr>
                <w:p w14:paraId="67CC239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050C460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个</w:t>
                  </w:r>
                </w:p>
              </w:tc>
              <w:tc>
                <w:tcPr>
                  <w:tcW w:w="1652" w:type="pct"/>
                  <w:tcBorders>
                    <w:tl2br w:val="nil"/>
                    <w:tr2bl w:val="nil"/>
                  </w:tcBorders>
                  <w:vAlign w:val="center"/>
                </w:tcPr>
                <w:p w14:paraId="3107F4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r w14:paraId="02CF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42" w:type="pct"/>
                  <w:tcBorders>
                    <w:tl2br w:val="nil"/>
                    <w:tr2bl w:val="nil"/>
                  </w:tcBorders>
                  <w:vAlign w:val="center"/>
                </w:tcPr>
                <w:p w14:paraId="4F0BD3B0">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5</w:t>
                  </w:r>
                </w:p>
              </w:tc>
              <w:tc>
                <w:tcPr>
                  <w:tcW w:w="1742" w:type="pct"/>
                  <w:tcBorders>
                    <w:tl2br w:val="nil"/>
                    <w:tr2bl w:val="nil"/>
                  </w:tcBorders>
                  <w:vAlign w:val="center"/>
                </w:tcPr>
                <w:p w14:paraId="5009392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搅拌机</w:t>
                  </w:r>
                </w:p>
              </w:tc>
              <w:tc>
                <w:tcPr>
                  <w:tcW w:w="522" w:type="pct"/>
                  <w:tcBorders>
                    <w:tl2br w:val="nil"/>
                    <w:tr2bl w:val="nil"/>
                  </w:tcBorders>
                  <w:vAlign w:val="center"/>
                </w:tcPr>
                <w:p w14:paraId="1A352E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vAlign w:val="center"/>
                </w:tcPr>
                <w:p w14:paraId="512B73B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台</w:t>
                  </w:r>
                </w:p>
              </w:tc>
              <w:tc>
                <w:tcPr>
                  <w:tcW w:w="1652" w:type="pct"/>
                  <w:tcBorders>
                    <w:tl2br w:val="nil"/>
                    <w:tr2bl w:val="nil"/>
                  </w:tcBorders>
                  <w:vAlign w:val="center"/>
                </w:tcPr>
                <w:p w14:paraId="65EE6A5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15t/h</w:t>
                  </w:r>
                </w:p>
              </w:tc>
            </w:tr>
            <w:tr w14:paraId="14A1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42" w:type="pct"/>
                  <w:tcBorders>
                    <w:tl2br w:val="nil"/>
                    <w:tr2bl w:val="nil"/>
                  </w:tcBorders>
                  <w:vAlign w:val="center"/>
                </w:tcPr>
                <w:p w14:paraId="1FA20740">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6</w:t>
                  </w:r>
                </w:p>
              </w:tc>
              <w:tc>
                <w:tcPr>
                  <w:tcW w:w="1742" w:type="pct"/>
                  <w:tcBorders>
                    <w:tl2br w:val="nil"/>
                    <w:tr2bl w:val="nil"/>
                  </w:tcBorders>
                  <w:vAlign w:val="center"/>
                </w:tcPr>
                <w:p w14:paraId="587B617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螺旋输送泵</w:t>
                  </w:r>
                </w:p>
              </w:tc>
              <w:tc>
                <w:tcPr>
                  <w:tcW w:w="522" w:type="pct"/>
                  <w:tcBorders>
                    <w:tl2br w:val="nil"/>
                    <w:tr2bl w:val="nil"/>
                  </w:tcBorders>
                  <w:vAlign w:val="center"/>
                </w:tcPr>
                <w:p w14:paraId="5305AA3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vAlign w:val="center"/>
                </w:tcPr>
                <w:p w14:paraId="21F4170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台</w:t>
                  </w:r>
                </w:p>
              </w:tc>
              <w:tc>
                <w:tcPr>
                  <w:tcW w:w="1652" w:type="pct"/>
                  <w:tcBorders>
                    <w:tl2br w:val="nil"/>
                    <w:tr2bl w:val="nil"/>
                  </w:tcBorders>
                  <w:vAlign w:val="center"/>
                </w:tcPr>
                <w:p w14:paraId="31DDAA9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r w14:paraId="7B6E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000" w:type="pct"/>
                  <w:gridSpan w:val="5"/>
                  <w:tcBorders>
                    <w:tl2br w:val="nil"/>
                    <w:tr2bl w:val="nil"/>
                  </w:tcBorders>
                  <w:vAlign w:val="center"/>
                </w:tcPr>
                <w:p w14:paraId="16FDEEE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营养土</w:t>
                  </w:r>
                  <w:r>
                    <w:rPr>
                      <w:rFonts w:hint="default" w:ascii="Times New Roman" w:hAnsi="Times New Roman" w:cs="Times New Roman"/>
                      <w:color w:val="auto"/>
                      <w:kern w:val="2"/>
                      <w:sz w:val="18"/>
                      <w:szCs w:val="18"/>
                      <w:lang w:val="en-US" w:eastAsia="zh-CN"/>
                    </w:rPr>
                    <w:t>生产线</w:t>
                  </w:r>
                </w:p>
              </w:tc>
            </w:tr>
            <w:tr w14:paraId="452C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01C2086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w:t>
                  </w:r>
                </w:p>
              </w:tc>
              <w:tc>
                <w:tcPr>
                  <w:tcW w:w="1742" w:type="pct"/>
                  <w:tcBorders>
                    <w:tl2br w:val="nil"/>
                    <w:tr2bl w:val="nil"/>
                  </w:tcBorders>
                  <w:vAlign w:val="center"/>
                </w:tcPr>
                <w:p w14:paraId="255C3DE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营养土发酵池</w:t>
                  </w:r>
                </w:p>
              </w:tc>
              <w:tc>
                <w:tcPr>
                  <w:tcW w:w="522" w:type="pct"/>
                  <w:tcBorders>
                    <w:tl2br w:val="nil"/>
                    <w:tr2bl w:val="nil"/>
                  </w:tcBorders>
                  <w:vAlign w:val="center"/>
                </w:tcPr>
                <w:p w14:paraId="2349826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10</w:t>
                  </w:r>
                </w:p>
              </w:tc>
              <w:tc>
                <w:tcPr>
                  <w:tcW w:w="640" w:type="pct"/>
                  <w:tcBorders>
                    <w:tl2br w:val="nil"/>
                    <w:tr2bl w:val="nil"/>
                  </w:tcBorders>
                  <w:vAlign w:val="center"/>
                </w:tcPr>
                <w:p w14:paraId="6B9E86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个</w:t>
                  </w:r>
                </w:p>
              </w:tc>
              <w:tc>
                <w:tcPr>
                  <w:tcW w:w="1652" w:type="pct"/>
                  <w:tcBorders>
                    <w:tl2br w:val="nil"/>
                    <w:tr2bl w:val="nil"/>
                  </w:tcBorders>
                  <w:vAlign w:val="center"/>
                </w:tcPr>
                <w:p w14:paraId="51D5579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营养土发酵池为地上装置，池体呈三面围挡状的半包围混凝土结构，池体挡墙上方设置轨道，便于翻抛机在各个发酵池中移动翻抛，每个池体体积为50m</w:t>
                  </w:r>
                  <w:r>
                    <w:rPr>
                      <w:rFonts w:hint="default" w:ascii="Times New Roman" w:hAnsi="Times New Roman" w:cs="Times New Roman"/>
                      <w:color w:val="auto"/>
                      <w:kern w:val="2"/>
                      <w:sz w:val="18"/>
                      <w:szCs w:val="18"/>
                      <w:vertAlign w:val="superscript"/>
                      <w:lang w:val="en-US" w:eastAsia="zh-CN"/>
                    </w:rPr>
                    <w:t>3</w:t>
                  </w:r>
                </w:p>
              </w:tc>
            </w:tr>
            <w:tr w14:paraId="6B73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2122ED9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2</w:t>
                  </w:r>
                </w:p>
              </w:tc>
              <w:tc>
                <w:tcPr>
                  <w:tcW w:w="1742" w:type="pct"/>
                  <w:tcBorders>
                    <w:tl2br w:val="nil"/>
                    <w:tr2bl w:val="nil"/>
                  </w:tcBorders>
                  <w:vAlign w:val="center"/>
                </w:tcPr>
                <w:p w14:paraId="209EF4D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搅拌机</w:t>
                  </w:r>
                </w:p>
              </w:tc>
              <w:tc>
                <w:tcPr>
                  <w:tcW w:w="522" w:type="pct"/>
                  <w:tcBorders>
                    <w:tl2br w:val="nil"/>
                    <w:tr2bl w:val="nil"/>
                  </w:tcBorders>
                  <w:vAlign w:val="center"/>
                </w:tcPr>
                <w:p w14:paraId="019A86E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2B527C9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vAlign w:val="center"/>
                </w:tcPr>
                <w:p w14:paraId="2650790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35t/h</w:t>
                  </w:r>
                </w:p>
              </w:tc>
            </w:tr>
            <w:tr w14:paraId="6679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6A04247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3</w:t>
                  </w:r>
                </w:p>
              </w:tc>
              <w:tc>
                <w:tcPr>
                  <w:tcW w:w="1742" w:type="pct"/>
                  <w:tcBorders>
                    <w:tl2br w:val="nil"/>
                    <w:tr2bl w:val="nil"/>
                  </w:tcBorders>
                  <w:shd w:val="clear" w:color="auto" w:fill="auto"/>
                  <w:vAlign w:val="center"/>
                </w:tcPr>
                <w:p w14:paraId="61A51E6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撕碎机</w:t>
                  </w:r>
                </w:p>
              </w:tc>
              <w:tc>
                <w:tcPr>
                  <w:tcW w:w="522" w:type="pct"/>
                  <w:tcBorders>
                    <w:tl2br w:val="nil"/>
                    <w:tr2bl w:val="nil"/>
                  </w:tcBorders>
                  <w:shd w:val="clear" w:color="auto" w:fill="auto"/>
                  <w:vAlign w:val="center"/>
                </w:tcPr>
                <w:p w14:paraId="7A7C659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1</w:t>
                  </w:r>
                </w:p>
              </w:tc>
              <w:tc>
                <w:tcPr>
                  <w:tcW w:w="640" w:type="pct"/>
                  <w:tcBorders>
                    <w:tl2br w:val="nil"/>
                    <w:tr2bl w:val="nil"/>
                  </w:tcBorders>
                  <w:shd w:val="clear" w:color="auto" w:fill="auto"/>
                  <w:vAlign w:val="center"/>
                </w:tcPr>
                <w:p w14:paraId="790ADB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台</w:t>
                  </w:r>
                </w:p>
              </w:tc>
              <w:tc>
                <w:tcPr>
                  <w:tcW w:w="1652" w:type="pct"/>
                  <w:tcBorders>
                    <w:tl2br w:val="nil"/>
                    <w:tr2bl w:val="nil"/>
                  </w:tcBorders>
                  <w:shd w:val="clear" w:color="auto" w:fill="auto"/>
                  <w:vAlign w:val="center"/>
                </w:tcPr>
                <w:p w14:paraId="20F89CA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20t/h</w:t>
                  </w:r>
                </w:p>
              </w:tc>
            </w:tr>
            <w:tr w14:paraId="709B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003DAD7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4</w:t>
                  </w:r>
                </w:p>
              </w:tc>
              <w:tc>
                <w:tcPr>
                  <w:tcW w:w="1742" w:type="pct"/>
                  <w:tcBorders>
                    <w:tl2br w:val="nil"/>
                    <w:tr2bl w:val="nil"/>
                  </w:tcBorders>
                  <w:shd w:val="clear" w:color="auto" w:fill="auto"/>
                  <w:vAlign w:val="center"/>
                </w:tcPr>
                <w:p w14:paraId="65784CA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粉碎机</w:t>
                  </w:r>
                </w:p>
              </w:tc>
              <w:tc>
                <w:tcPr>
                  <w:tcW w:w="522" w:type="pct"/>
                  <w:tcBorders>
                    <w:tl2br w:val="nil"/>
                    <w:tr2bl w:val="nil"/>
                  </w:tcBorders>
                  <w:shd w:val="clear" w:color="auto" w:fill="auto"/>
                  <w:vAlign w:val="center"/>
                </w:tcPr>
                <w:p w14:paraId="4C063BC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1</w:t>
                  </w:r>
                </w:p>
              </w:tc>
              <w:tc>
                <w:tcPr>
                  <w:tcW w:w="640" w:type="pct"/>
                  <w:tcBorders>
                    <w:tl2br w:val="nil"/>
                    <w:tr2bl w:val="nil"/>
                  </w:tcBorders>
                  <w:shd w:val="clear" w:color="auto" w:fill="auto"/>
                  <w:vAlign w:val="center"/>
                </w:tcPr>
                <w:p w14:paraId="7EEC262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台</w:t>
                  </w:r>
                </w:p>
              </w:tc>
              <w:tc>
                <w:tcPr>
                  <w:tcW w:w="1652" w:type="pct"/>
                  <w:tcBorders>
                    <w:tl2br w:val="nil"/>
                    <w:tr2bl w:val="nil"/>
                  </w:tcBorders>
                  <w:shd w:val="clear" w:color="auto" w:fill="auto"/>
                  <w:vAlign w:val="center"/>
                </w:tcPr>
                <w:p w14:paraId="5CFD56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20t/h</w:t>
                  </w:r>
                </w:p>
              </w:tc>
            </w:tr>
            <w:tr w14:paraId="7A0A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1C5CAD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5</w:t>
                  </w:r>
                </w:p>
              </w:tc>
              <w:tc>
                <w:tcPr>
                  <w:tcW w:w="1742" w:type="pct"/>
                  <w:tcBorders>
                    <w:tl2br w:val="nil"/>
                    <w:tr2bl w:val="nil"/>
                  </w:tcBorders>
                  <w:shd w:val="clear" w:color="auto" w:fill="auto"/>
                  <w:vAlign w:val="center"/>
                </w:tcPr>
                <w:p w14:paraId="014BFF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翻抛机</w:t>
                  </w:r>
                </w:p>
              </w:tc>
              <w:tc>
                <w:tcPr>
                  <w:tcW w:w="522" w:type="pct"/>
                  <w:tcBorders>
                    <w:tl2br w:val="nil"/>
                    <w:tr2bl w:val="nil"/>
                  </w:tcBorders>
                  <w:shd w:val="clear" w:color="auto" w:fill="auto"/>
                  <w:vAlign w:val="center"/>
                </w:tcPr>
                <w:p w14:paraId="52EAA1E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1</w:t>
                  </w:r>
                </w:p>
              </w:tc>
              <w:tc>
                <w:tcPr>
                  <w:tcW w:w="640" w:type="pct"/>
                  <w:tcBorders>
                    <w:tl2br w:val="nil"/>
                    <w:tr2bl w:val="nil"/>
                  </w:tcBorders>
                  <w:shd w:val="clear" w:color="auto" w:fill="auto"/>
                  <w:vAlign w:val="center"/>
                </w:tcPr>
                <w:p w14:paraId="2B6DD00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台</w:t>
                  </w:r>
                </w:p>
              </w:tc>
              <w:tc>
                <w:tcPr>
                  <w:tcW w:w="1652" w:type="pct"/>
                  <w:tcBorders>
                    <w:tl2br w:val="nil"/>
                    <w:tr2bl w:val="nil"/>
                  </w:tcBorders>
                  <w:shd w:val="clear" w:color="auto" w:fill="auto"/>
                  <w:vAlign w:val="center"/>
                </w:tcPr>
                <w:p w14:paraId="5627ADB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w:t>
                  </w:r>
                </w:p>
              </w:tc>
            </w:tr>
            <w:tr w14:paraId="2653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08B5DD1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6</w:t>
                  </w:r>
                </w:p>
              </w:tc>
              <w:tc>
                <w:tcPr>
                  <w:tcW w:w="1742" w:type="pct"/>
                  <w:tcBorders>
                    <w:tl2br w:val="nil"/>
                    <w:tr2bl w:val="nil"/>
                  </w:tcBorders>
                  <w:shd w:val="clear" w:color="auto" w:fill="auto"/>
                  <w:vAlign w:val="center"/>
                </w:tcPr>
                <w:p w14:paraId="19154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18"/>
                      <w:szCs w:val="18"/>
                      <w:lang w:val="en-US" w:eastAsia="zh-CN" w:bidi="ar-SA"/>
                    </w:rPr>
                  </w:pPr>
                  <w:r>
                    <w:rPr>
                      <w:rFonts w:hint="default" w:ascii="Times New Roman" w:hAnsi="Times New Roman" w:cs="Times New Roman"/>
                      <w:b w:val="0"/>
                      <w:bCs/>
                      <w:color w:val="auto"/>
                      <w:sz w:val="18"/>
                      <w:szCs w:val="18"/>
                      <w:lang w:val="en-US" w:eastAsia="zh-CN"/>
                    </w:rPr>
                    <w:t>信息化智慧管理平台</w:t>
                  </w:r>
                </w:p>
              </w:tc>
              <w:tc>
                <w:tcPr>
                  <w:tcW w:w="522" w:type="pct"/>
                  <w:tcBorders>
                    <w:tl2br w:val="nil"/>
                    <w:tr2bl w:val="nil"/>
                  </w:tcBorders>
                  <w:shd w:val="clear" w:color="auto" w:fill="auto"/>
                  <w:vAlign w:val="center"/>
                </w:tcPr>
                <w:p w14:paraId="784ACC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71468D5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套</w:t>
                  </w:r>
                </w:p>
              </w:tc>
              <w:tc>
                <w:tcPr>
                  <w:tcW w:w="1652" w:type="pct"/>
                  <w:tcBorders>
                    <w:tl2br w:val="nil"/>
                    <w:tr2bl w:val="nil"/>
                  </w:tcBorders>
                  <w:shd w:val="clear" w:color="auto" w:fill="auto"/>
                  <w:vAlign w:val="center"/>
                </w:tcPr>
                <w:p w14:paraId="27DCAAC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2E7F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3256A08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7</w:t>
                  </w:r>
                </w:p>
              </w:tc>
              <w:tc>
                <w:tcPr>
                  <w:tcW w:w="1742" w:type="pct"/>
                  <w:tcBorders>
                    <w:tl2br w:val="nil"/>
                    <w:tr2bl w:val="nil"/>
                  </w:tcBorders>
                  <w:shd w:val="clear" w:color="auto" w:fill="auto"/>
                  <w:vAlign w:val="center"/>
                </w:tcPr>
                <w:p w14:paraId="63CB6F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在线监测平台</w:t>
                  </w:r>
                </w:p>
              </w:tc>
              <w:tc>
                <w:tcPr>
                  <w:tcW w:w="522" w:type="pct"/>
                  <w:tcBorders>
                    <w:tl2br w:val="nil"/>
                    <w:tr2bl w:val="nil"/>
                  </w:tcBorders>
                  <w:shd w:val="clear" w:color="auto" w:fill="auto"/>
                  <w:vAlign w:val="center"/>
                </w:tcPr>
                <w:p w14:paraId="05DD8BC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04A254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套</w:t>
                  </w:r>
                </w:p>
              </w:tc>
              <w:tc>
                <w:tcPr>
                  <w:tcW w:w="1652" w:type="pct"/>
                  <w:tcBorders>
                    <w:tl2br w:val="nil"/>
                    <w:tr2bl w:val="nil"/>
                  </w:tcBorders>
                  <w:shd w:val="clear" w:color="auto" w:fill="auto"/>
                  <w:vAlign w:val="center"/>
                </w:tcPr>
                <w:p w14:paraId="1C3D273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7C49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0D0C5C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8</w:t>
                  </w:r>
                </w:p>
              </w:tc>
              <w:tc>
                <w:tcPr>
                  <w:tcW w:w="1742" w:type="pct"/>
                  <w:tcBorders>
                    <w:tl2br w:val="nil"/>
                    <w:tr2bl w:val="nil"/>
                  </w:tcBorders>
                  <w:shd w:val="clear" w:color="auto" w:fill="auto"/>
                  <w:vAlign w:val="center"/>
                </w:tcPr>
                <w:p w14:paraId="06A4D07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负压抽风装置</w:t>
                  </w:r>
                </w:p>
              </w:tc>
              <w:tc>
                <w:tcPr>
                  <w:tcW w:w="522" w:type="pct"/>
                  <w:tcBorders>
                    <w:tl2br w:val="nil"/>
                    <w:tr2bl w:val="nil"/>
                  </w:tcBorders>
                  <w:shd w:val="clear" w:color="auto" w:fill="auto"/>
                  <w:vAlign w:val="center"/>
                </w:tcPr>
                <w:p w14:paraId="6FE3EF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4</w:t>
                  </w:r>
                </w:p>
              </w:tc>
              <w:tc>
                <w:tcPr>
                  <w:tcW w:w="640" w:type="pct"/>
                  <w:tcBorders>
                    <w:tl2br w:val="nil"/>
                    <w:tr2bl w:val="nil"/>
                  </w:tcBorders>
                  <w:shd w:val="clear" w:color="auto" w:fill="auto"/>
                  <w:vAlign w:val="center"/>
                </w:tcPr>
                <w:p w14:paraId="0060ADC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套</w:t>
                  </w:r>
                </w:p>
              </w:tc>
              <w:tc>
                <w:tcPr>
                  <w:tcW w:w="1652" w:type="pct"/>
                  <w:tcBorders>
                    <w:tl2br w:val="nil"/>
                    <w:tr2bl w:val="nil"/>
                  </w:tcBorders>
                  <w:shd w:val="clear" w:color="auto" w:fill="auto"/>
                  <w:vAlign w:val="center"/>
                </w:tcPr>
                <w:p w14:paraId="6C4EAA6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408C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000" w:type="pct"/>
                  <w:gridSpan w:val="5"/>
                  <w:tcBorders>
                    <w:tl2br w:val="nil"/>
                    <w:tr2bl w:val="nil"/>
                  </w:tcBorders>
                  <w:vAlign w:val="center"/>
                </w:tcPr>
                <w:p w14:paraId="58B2C1B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替代燃料颗粒</w:t>
                  </w:r>
                  <w:r>
                    <w:rPr>
                      <w:rFonts w:hint="default" w:ascii="Times New Roman" w:hAnsi="Times New Roman" w:cs="Times New Roman"/>
                      <w:color w:val="auto"/>
                      <w:kern w:val="2"/>
                      <w:sz w:val="18"/>
                      <w:szCs w:val="18"/>
                      <w:lang w:val="en-US" w:eastAsia="zh-CN"/>
                    </w:rPr>
                    <w:t>生产线</w:t>
                  </w:r>
                </w:p>
              </w:tc>
            </w:tr>
            <w:tr w14:paraId="6007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2BE1CFE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1742" w:type="pct"/>
                  <w:tcBorders>
                    <w:tl2br w:val="nil"/>
                    <w:tr2bl w:val="nil"/>
                  </w:tcBorders>
                  <w:vAlign w:val="center"/>
                </w:tcPr>
                <w:p w14:paraId="1F4E828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撕碎机</w:t>
                  </w:r>
                </w:p>
              </w:tc>
              <w:tc>
                <w:tcPr>
                  <w:tcW w:w="522" w:type="pct"/>
                  <w:tcBorders>
                    <w:tl2br w:val="nil"/>
                    <w:tr2bl w:val="nil"/>
                  </w:tcBorders>
                  <w:vAlign w:val="center"/>
                </w:tcPr>
                <w:p w14:paraId="3AA3E94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63A034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台</w:t>
                  </w:r>
                </w:p>
              </w:tc>
              <w:tc>
                <w:tcPr>
                  <w:tcW w:w="1652" w:type="pct"/>
                  <w:tcBorders>
                    <w:tl2br w:val="nil"/>
                    <w:tr2bl w:val="nil"/>
                  </w:tcBorders>
                  <w:vAlign w:val="center"/>
                </w:tcPr>
                <w:p w14:paraId="4606B67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15t/h</w:t>
                  </w:r>
                </w:p>
              </w:tc>
            </w:tr>
            <w:tr w14:paraId="6106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06134E9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1742" w:type="pct"/>
                  <w:tcBorders>
                    <w:tl2br w:val="nil"/>
                    <w:tr2bl w:val="nil"/>
                  </w:tcBorders>
                  <w:vAlign w:val="center"/>
                </w:tcPr>
                <w:p w14:paraId="1BB632E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传送带</w:t>
                  </w:r>
                </w:p>
              </w:tc>
              <w:tc>
                <w:tcPr>
                  <w:tcW w:w="522" w:type="pct"/>
                  <w:tcBorders>
                    <w:tl2br w:val="nil"/>
                    <w:tr2bl w:val="nil"/>
                  </w:tcBorders>
                  <w:vAlign w:val="center"/>
                </w:tcPr>
                <w:p w14:paraId="0D5EEA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4</w:t>
                  </w:r>
                </w:p>
              </w:tc>
              <w:tc>
                <w:tcPr>
                  <w:tcW w:w="640" w:type="pct"/>
                  <w:tcBorders>
                    <w:tl2br w:val="nil"/>
                    <w:tr2bl w:val="nil"/>
                  </w:tcBorders>
                  <w:vAlign w:val="center"/>
                </w:tcPr>
                <w:p w14:paraId="310BE36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条</w:t>
                  </w:r>
                </w:p>
              </w:tc>
              <w:tc>
                <w:tcPr>
                  <w:tcW w:w="1652" w:type="pct"/>
                  <w:tcBorders>
                    <w:tl2br w:val="nil"/>
                    <w:tr2bl w:val="nil"/>
                  </w:tcBorders>
                  <w:vAlign w:val="center"/>
                </w:tcPr>
                <w:p w14:paraId="45DDDA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15t/h</w:t>
                  </w:r>
                </w:p>
              </w:tc>
            </w:tr>
            <w:tr w14:paraId="2A2B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3CFADB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1742" w:type="pct"/>
                  <w:tcBorders>
                    <w:tl2br w:val="nil"/>
                    <w:tr2bl w:val="nil"/>
                  </w:tcBorders>
                  <w:vAlign w:val="center"/>
                </w:tcPr>
                <w:p w14:paraId="49B1DAA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粉碎机</w:t>
                  </w:r>
                </w:p>
              </w:tc>
              <w:tc>
                <w:tcPr>
                  <w:tcW w:w="522" w:type="pct"/>
                  <w:tcBorders>
                    <w:tl2br w:val="nil"/>
                    <w:tr2bl w:val="nil"/>
                  </w:tcBorders>
                  <w:vAlign w:val="center"/>
                </w:tcPr>
                <w:p w14:paraId="7DB7DD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40A106F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台</w:t>
                  </w:r>
                </w:p>
              </w:tc>
              <w:tc>
                <w:tcPr>
                  <w:tcW w:w="1652" w:type="pct"/>
                  <w:tcBorders>
                    <w:tl2br w:val="nil"/>
                    <w:tr2bl w:val="nil"/>
                  </w:tcBorders>
                  <w:vAlign w:val="center"/>
                </w:tcPr>
                <w:p w14:paraId="71C4B1C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15t/h</w:t>
                  </w:r>
                </w:p>
              </w:tc>
            </w:tr>
            <w:tr w14:paraId="2446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07573DD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1742" w:type="pct"/>
                  <w:tcBorders>
                    <w:tl2br w:val="nil"/>
                    <w:tr2bl w:val="nil"/>
                  </w:tcBorders>
                  <w:vAlign w:val="center"/>
                </w:tcPr>
                <w:p w14:paraId="2B229C1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搅拌机</w:t>
                  </w:r>
                </w:p>
              </w:tc>
              <w:tc>
                <w:tcPr>
                  <w:tcW w:w="522" w:type="pct"/>
                  <w:tcBorders>
                    <w:tl2br w:val="nil"/>
                    <w:tr2bl w:val="nil"/>
                  </w:tcBorders>
                  <w:vAlign w:val="center"/>
                </w:tcPr>
                <w:p w14:paraId="7DF7A28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660E13E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个</w:t>
                  </w:r>
                </w:p>
              </w:tc>
              <w:tc>
                <w:tcPr>
                  <w:tcW w:w="1652" w:type="pct"/>
                  <w:tcBorders>
                    <w:tl2br w:val="nil"/>
                    <w:tr2bl w:val="nil"/>
                  </w:tcBorders>
                  <w:vAlign w:val="center"/>
                </w:tcPr>
                <w:p w14:paraId="22F1AA7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15t/h</w:t>
                  </w:r>
                </w:p>
              </w:tc>
            </w:tr>
            <w:tr w14:paraId="3BA9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769AE5D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1742" w:type="pct"/>
                  <w:tcBorders>
                    <w:tl2br w:val="nil"/>
                    <w:tr2bl w:val="nil"/>
                  </w:tcBorders>
                  <w:vAlign w:val="center"/>
                </w:tcPr>
                <w:p w14:paraId="760A651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造粒机</w:t>
                  </w:r>
                </w:p>
              </w:tc>
              <w:tc>
                <w:tcPr>
                  <w:tcW w:w="522" w:type="pct"/>
                  <w:tcBorders>
                    <w:tl2br w:val="nil"/>
                    <w:tr2bl w:val="nil"/>
                  </w:tcBorders>
                  <w:vAlign w:val="center"/>
                </w:tcPr>
                <w:p w14:paraId="46F1EE3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640" w:type="pct"/>
                  <w:tcBorders>
                    <w:tl2br w:val="nil"/>
                    <w:tr2bl w:val="nil"/>
                  </w:tcBorders>
                  <w:vAlign w:val="center"/>
                </w:tcPr>
                <w:p w14:paraId="47C1C42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台</w:t>
                  </w:r>
                </w:p>
              </w:tc>
              <w:tc>
                <w:tcPr>
                  <w:tcW w:w="1652" w:type="pct"/>
                  <w:tcBorders>
                    <w:tl2br w:val="nil"/>
                    <w:tr2bl w:val="nil"/>
                  </w:tcBorders>
                  <w:vAlign w:val="center"/>
                </w:tcPr>
                <w:p w14:paraId="0C7F98C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15t/h</w:t>
                  </w:r>
                </w:p>
              </w:tc>
            </w:tr>
            <w:tr w14:paraId="6ED2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235708F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6</w:t>
                  </w:r>
                </w:p>
              </w:tc>
              <w:tc>
                <w:tcPr>
                  <w:tcW w:w="1742" w:type="pct"/>
                  <w:tcBorders>
                    <w:tl2br w:val="nil"/>
                    <w:tr2bl w:val="nil"/>
                  </w:tcBorders>
                  <w:vAlign w:val="center"/>
                </w:tcPr>
                <w:p w14:paraId="58A3166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上料斗</w:t>
                  </w:r>
                </w:p>
              </w:tc>
              <w:tc>
                <w:tcPr>
                  <w:tcW w:w="522" w:type="pct"/>
                  <w:tcBorders>
                    <w:tl2br w:val="nil"/>
                    <w:tr2bl w:val="nil"/>
                  </w:tcBorders>
                  <w:vAlign w:val="center"/>
                </w:tcPr>
                <w:p w14:paraId="026303E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vAlign w:val="center"/>
                </w:tcPr>
                <w:p w14:paraId="71F6BD0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个</w:t>
                  </w:r>
                </w:p>
              </w:tc>
              <w:tc>
                <w:tcPr>
                  <w:tcW w:w="1652" w:type="pct"/>
                  <w:tcBorders>
                    <w:tl2br w:val="nil"/>
                    <w:tr2bl w:val="nil"/>
                  </w:tcBorders>
                  <w:vAlign w:val="center"/>
                </w:tcPr>
                <w:p w14:paraId="714AE98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r w14:paraId="6054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vAlign w:val="center"/>
                </w:tcPr>
                <w:p w14:paraId="36E3A9F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7</w:t>
                  </w:r>
                </w:p>
              </w:tc>
              <w:tc>
                <w:tcPr>
                  <w:tcW w:w="1742" w:type="pct"/>
                  <w:tcBorders>
                    <w:tl2br w:val="nil"/>
                    <w:tr2bl w:val="nil"/>
                  </w:tcBorders>
                  <w:shd w:val="clear" w:color="auto" w:fill="auto"/>
                  <w:vAlign w:val="center"/>
                </w:tcPr>
                <w:p w14:paraId="270F83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螺旋输送泵</w:t>
                  </w:r>
                </w:p>
              </w:tc>
              <w:tc>
                <w:tcPr>
                  <w:tcW w:w="522" w:type="pct"/>
                  <w:tcBorders>
                    <w:tl2br w:val="nil"/>
                    <w:tr2bl w:val="nil"/>
                  </w:tcBorders>
                  <w:shd w:val="clear" w:color="auto" w:fill="auto"/>
                  <w:vAlign w:val="center"/>
                </w:tcPr>
                <w:p w14:paraId="20F4A5D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2</w:t>
                  </w:r>
                </w:p>
              </w:tc>
              <w:tc>
                <w:tcPr>
                  <w:tcW w:w="640" w:type="pct"/>
                  <w:tcBorders>
                    <w:tl2br w:val="nil"/>
                    <w:tr2bl w:val="nil"/>
                  </w:tcBorders>
                  <w:shd w:val="clear" w:color="auto" w:fill="auto"/>
                  <w:vAlign w:val="center"/>
                </w:tcPr>
                <w:p w14:paraId="387B3BE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台</w:t>
                  </w:r>
                </w:p>
              </w:tc>
              <w:tc>
                <w:tcPr>
                  <w:tcW w:w="1652" w:type="pct"/>
                  <w:tcBorders>
                    <w:tl2br w:val="nil"/>
                    <w:tr2bl w:val="nil"/>
                  </w:tcBorders>
                  <w:shd w:val="clear" w:color="auto" w:fill="auto"/>
                  <w:vAlign w:val="center"/>
                </w:tcPr>
                <w:p w14:paraId="7CC998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434D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000" w:type="pct"/>
                  <w:gridSpan w:val="5"/>
                  <w:tcBorders>
                    <w:tl2br w:val="nil"/>
                    <w:tr2bl w:val="nil"/>
                  </w:tcBorders>
                  <w:shd w:val="clear" w:color="auto" w:fill="auto"/>
                  <w:vAlign w:val="center"/>
                </w:tcPr>
                <w:p w14:paraId="3CB1A6D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免烧砖</w:t>
                  </w:r>
                  <w:r>
                    <w:rPr>
                      <w:rFonts w:hint="default" w:ascii="Times New Roman" w:hAnsi="Times New Roman" w:cs="Times New Roman"/>
                      <w:color w:val="auto"/>
                      <w:kern w:val="2"/>
                      <w:sz w:val="18"/>
                      <w:szCs w:val="18"/>
                      <w:lang w:val="en-US" w:eastAsia="zh-CN"/>
                    </w:rPr>
                    <w:t>生产线</w:t>
                  </w:r>
                </w:p>
              </w:tc>
            </w:tr>
            <w:tr w14:paraId="0A6F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6CA0B22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1742" w:type="pct"/>
                  <w:tcBorders>
                    <w:tl2br w:val="nil"/>
                    <w:tr2bl w:val="nil"/>
                  </w:tcBorders>
                  <w:shd w:val="clear" w:color="auto" w:fill="auto"/>
                  <w:vAlign w:val="center"/>
                </w:tcPr>
                <w:p w14:paraId="0656766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打碎机</w:t>
                  </w:r>
                </w:p>
              </w:tc>
              <w:tc>
                <w:tcPr>
                  <w:tcW w:w="522" w:type="pct"/>
                  <w:tcBorders>
                    <w:tl2br w:val="nil"/>
                    <w:tr2bl w:val="nil"/>
                  </w:tcBorders>
                  <w:shd w:val="clear" w:color="auto" w:fill="auto"/>
                  <w:vAlign w:val="center"/>
                </w:tcPr>
                <w:p w14:paraId="690065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2B78BED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shd w:val="clear" w:color="auto" w:fill="auto"/>
                  <w:vAlign w:val="center"/>
                </w:tcPr>
                <w:p w14:paraId="1CF72DE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30t</w:t>
                  </w:r>
                </w:p>
              </w:tc>
            </w:tr>
            <w:tr w14:paraId="75DA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5F34E73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2</w:t>
                  </w:r>
                </w:p>
              </w:tc>
              <w:tc>
                <w:tcPr>
                  <w:tcW w:w="1742" w:type="pct"/>
                  <w:tcBorders>
                    <w:tl2br w:val="nil"/>
                    <w:tr2bl w:val="nil"/>
                  </w:tcBorders>
                  <w:shd w:val="clear" w:color="auto" w:fill="auto"/>
                  <w:vAlign w:val="center"/>
                </w:tcPr>
                <w:p w14:paraId="21C7C9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传送带</w:t>
                  </w:r>
                </w:p>
              </w:tc>
              <w:tc>
                <w:tcPr>
                  <w:tcW w:w="522" w:type="pct"/>
                  <w:tcBorders>
                    <w:tl2br w:val="nil"/>
                    <w:tr2bl w:val="nil"/>
                  </w:tcBorders>
                  <w:shd w:val="clear" w:color="auto" w:fill="auto"/>
                  <w:vAlign w:val="center"/>
                </w:tcPr>
                <w:p w14:paraId="4866E86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4</w:t>
                  </w:r>
                </w:p>
              </w:tc>
              <w:tc>
                <w:tcPr>
                  <w:tcW w:w="640" w:type="pct"/>
                  <w:tcBorders>
                    <w:tl2br w:val="nil"/>
                    <w:tr2bl w:val="nil"/>
                  </w:tcBorders>
                  <w:shd w:val="clear" w:color="auto" w:fill="auto"/>
                  <w:vAlign w:val="center"/>
                </w:tcPr>
                <w:p w14:paraId="0176B7F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条</w:t>
                  </w:r>
                </w:p>
              </w:tc>
              <w:tc>
                <w:tcPr>
                  <w:tcW w:w="1652" w:type="pct"/>
                  <w:tcBorders>
                    <w:tl2br w:val="nil"/>
                    <w:tr2bl w:val="nil"/>
                  </w:tcBorders>
                  <w:shd w:val="clear" w:color="auto" w:fill="auto"/>
                  <w:vAlign w:val="center"/>
                </w:tcPr>
                <w:p w14:paraId="49FFF0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3491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6D6FF16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3</w:t>
                  </w:r>
                </w:p>
              </w:tc>
              <w:tc>
                <w:tcPr>
                  <w:tcW w:w="1742" w:type="pct"/>
                  <w:tcBorders>
                    <w:tl2br w:val="nil"/>
                    <w:tr2bl w:val="nil"/>
                  </w:tcBorders>
                  <w:shd w:val="clear" w:color="auto" w:fill="auto"/>
                  <w:vAlign w:val="center"/>
                </w:tcPr>
                <w:p w14:paraId="183C7E3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免烧砖压型机</w:t>
                  </w:r>
                </w:p>
              </w:tc>
              <w:tc>
                <w:tcPr>
                  <w:tcW w:w="522" w:type="pct"/>
                  <w:tcBorders>
                    <w:tl2br w:val="nil"/>
                    <w:tr2bl w:val="nil"/>
                  </w:tcBorders>
                  <w:shd w:val="clear" w:color="auto" w:fill="auto"/>
                  <w:vAlign w:val="center"/>
                </w:tcPr>
                <w:p w14:paraId="318E677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5A37B2E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shd w:val="clear" w:color="auto" w:fill="auto"/>
                  <w:vAlign w:val="center"/>
                </w:tcPr>
                <w:p w14:paraId="3EF0C0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30t</w:t>
                  </w:r>
                </w:p>
              </w:tc>
            </w:tr>
            <w:tr w14:paraId="4279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445E7FD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4</w:t>
                  </w:r>
                </w:p>
              </w:tc>
              <w:tc>
                <w:tcPr>
                  <w:tcW w:w="1742" w:type="pct"/>
                  <w:tcBorders>
                    <w:tl2br w:val="nil"/>
                    <w:tr2bl w:val="nil"/>
                  </w:tcBorders>
                  <w:shd w:val="clear" w:color="auto" w:fill="auto"/>
                  <w:vAlign w:val="center"/>
                </w:tcPr>
                <w:p w14:paraId="65513EA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搅拌机</w:t>
                  </w:r>
                </w:p>
              </w:tc>
              <w:tc>
                <w:tcPr>
                  <w:tcW w:w="522" w:type="pct"/>
                  <w:tcBorders>
                    <w:tl2br w:val="nil"/>
                    <w:tr2bl w:val="nil"/>
                  </w:tcBorders>
                  <w:shd w:val="clear" w:color="auto" w:fill="auto"/>
                  <w:vAlign w:val="center"/>
                </w:tcPr>
                <w:p w14:paraId="191AAD3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4FCEF77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shd w:val="clear" w:color="auto" w:fill="auto"/>
                  <w:vAlign w:val="center"/>
                </w:tcPr>
                <w:p w14:paraId="18FF05D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30t</w:t>
                  </w:r>
                </w:p>
              </w:tc>
            </w:tr>
            <w:tr w14:paraId="232D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1FBF9C9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5</w:t>
                  </w:r>
                </w:p>
              </w:tc>
              <w:tc>
                <w:tcPr>
                  <w:tcW w:w="1742" w:type="pct"/>
                  <w:tcBorders>
                    <w:tl2br w:val="nil"/>
                    <w:tr2bl w:val="nil"/>
                  </w:tcBorders>
                  <w:shd w:val="clear" w:color="auto" w:fill="auto"/>
                  <w:vAlign w:val="center"/>
                </w:tcPr>
                <w:p w14:paraId="018AD9E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eastAsia="zh-CN"/>
                    </w:rPr>
                    <w:t>水泥仓</w:t>
                  </w:r>
                </w:p>
              </w:tc>
              <w:tc>
                <w:tcPr>
                  <w:tcW w:w="522" w:type="pct"/>
                  <w:tcBorders>
                    <w:tl2br w:val="nil"/>
                    <w:tr2bl w:val="nil"/>
                  </w:tcBorders>
                  <w:shd w:val="clear" w:color="auto" w:fill="auto"/>
                  <w:vAlign w:val="center"/>
                </w:tcPr>
                <w:p w14:paraId="703F2D8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1</w:t>
                  </w:r>
                </w:p>
              </w:tc>
              <w:tc>
                <w:tcPr>
                  <w:tcW w:w="640" w:type="pct"/>
                  <w:tcBorders>
                    <w:tl2br w:val="nil"/>
                    <w:tr2bl w:val="nil"/>
                  </w:tcBorders>
                  <w:shd w:val="clear" w:color="auto" w:fill="auto"/>
                  <w:vAlign w:val="center"/>
                </w:tcPr>
                <w:p w14:paraId="3807937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eastAsia="zh-CN"/>
                    </w:rPr>
                    <w:t>个</w:t>
                  </w:r>
                </w:p>
              </w:tc>
              <w:tc>
                <w:tcPr>
                  <w:tcW w:w="1652" w:type="pct"/>
                  <w:tcBorders>
                    <w:tl2br w:val="nil"/>
                    <w:tr2bl w:val="nil"/>
                  </w:tcBorders>
                  <w:shd w:val="clear" w:color="auto" w:fill="auto"/>
                  <w:vAlign w:val="center"/>
                </w:tcPr>
                <w:p w14:paraId="4943C11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300t</w:t>
                  </w:r>
                </w:p>
              </w:tc>
            </w:tr>
            <w:tr w14:paraId="5B9B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3AB24E0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6</w:t>
                  </w:r>
                </w:p>
              </w:tc>
              <w:tc>
                <w:tcPr>
                  <w:tcW w:w="1742" w:type="pct"/>
                  <w:tcBorders>
                    <w:tl2br w:val="nil"/>
                    <w:tr2bl w:val="nil"/>
                  </w:tcBorders>
                  <w:shd w:val="clear" w:color="auto" w:fill="auto"/>
                  <w:vAlign w:val="center"/>
                </w:tcPr>
                <w:p w14:paraId="24270D7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布料机</w:t>
                  </w:r>
                </w:p>
              </w:tc>
              <w:tc>
                <w:tcPr>
                  <w:tcW w:w="522" w:type="pct"/>
                  <w:tcBorders>
                    <w:tl2br w:val="nil"/>
                    <w:tr2bl w:val="nil"/>
                  </w:tcBorders>
                  <w:shd w:val="clear" w:color="auto" w:fill="auto"/>
                  <w:vAlign w:val="center"/>
                </w:tcPr>
                <w:p w14:paraId="2A7293D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40FC9DB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台</w:t>
                  </w:r>
                </w:p>
              </w:tc>
              <w:tc>
                <w:tcPr>
                  <w:tcW w:w="1652" w:type="pct"/>
                  <w:tcBorders>
                    <w:tl2br w:val="nil"/>
                    <w:tr2bl w:val="nil"/>
                  </w:tcBorders>
                  <w:shd w:val="clear" w:color="auto" w:fill="auto"/>
                  <w:vAlign w:val="center"/>
                </w:tcPr>
                <w:p w14:paraId="7AE6EF3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6A28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1FEE6D6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7</w:t>
                  </w:r>
                </w:p>
              </w:tc>
              <w:tc>
                <w:tcPr>
                  <w:tcW w:w="1742" w:type="pct"/>
                  <w:tcBorders>
                    <w:tl2br w:val="nil"/>
                    <w:tr2bl w:val="nil"/>
                  </w:tcBorders>
                  <w:shd w:val="clear" w:color="auto" w:fill="auto"/>
                  <w:vAlign w:val="center"/>
                </w:tcPr>
                <w:p w14:paraId="469648D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粉煤灰仓</w:t>
                  </w:r>
                </w:p>
              </w:tc>
              <w:tc>
                <w:tcPr>
                  <w:tcW w:w="522" w:type="pct"/>
                  <w:tcBorders>
                    <w:tl2br w:val="nil"/>
                    <w:tr2bl w:val="nil"/>
                  </w:tcBorders>
                  <w:shd w:val="clear" w:color="auto" w:fill="auto"/>
                  <w:vAlign w:val="center"/>
                </w:tcPr>
                <w:p w14:paraId="562F26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1</w:t>
                  </w:r>
                </w:p>
              </w:tc>
              <w:tc>
                <w:tcPr>
                  <w:tcW w:w="640" w:type="pct"/>
                  <w:tcBorders>
                    <w:tl2br w:val="nil"/>
                    <w:tr2bl w:val="nil"/>
                  </w:tcBorders>
                  <w:shd w:val="clear" w:color="auto" w:fill="auto"/>
                  <w:vAlign w:val="center"/>
                </w:tcPr>
                <w:p w14:paraId="27F88F1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eastAsia="zh-CN"/>
                    </w:rPr>
                    <w:t>台</w:t>
                  </w:r>
                </w:p>
              </w:tc>
              <w:tc>
                <w:tcPr>
                  <w:tcW w:w="1652" w:type="pct"/>
                  <w:tcBorders>
                    <w:tl2br w:val="nil"/>
                    <w:tr2bl w:val="nil"/>
                  </w:tcBorders>
                  <w:shd w:val="clear" w:color="auto" w:fill="auto"/>
                  <w:vAlign w:val="center"/>
                </w:tcPr>
                <w:p w14:paraId="5AE9853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150t</w:t>
                  </w:r>
                </w:p>
              </w:tc>
            </w:tr>
            <w:tr w14:paraId="073E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42" w:type="pct"/>
                  <w:tcBorders>
                    <w:tl2br w:val="nil"/>
                    <w:tr2bl w:val="nil"/>
                  </w:tcBorders>
                  <w:shd w:val="clear" w:color="auto" w:fill="auto"/>
                  <w:vAlign w:val="center"/>
                </w:tcPr>
                <w:p w14:paraId="29EA790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8</w:t>
                  </w:r>
                </w:p>
              </w:tc>
              <w:tc>
                <w:tcPr>
                  <w:tcW w:w="1742" w:type="pct"/>
                  <w:tcBorders>
                    <w:tl2br w:val="nil"/>
                    <w:tr2bl w:val="nil"/>
                  </w:tcBorders>
                  <w:shd w:val="clear" w:color="auto" w:fill="auto"/>
                  <w:vAlign w:val="center"/>
                </w:tcPr>
                <w:p w14:paraId="44A08F5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上料斗</w:t>
                  </w:r>
                </w:p>
              </w:tc>
              <w:tc>
                <w:tcPr>
                  <w:tcW w:w="522" w:type="pct"/>
                  <w:tcBorders>
                    <w:tl2br w:val="nil"/>
                    <w:tr2bl w:val="nil"/>
                  </w:tcBorders>
                  <w:shd w:val="clear" w:color="auto" w:fill="auto"/>
                  <w:vAlign w:val="center"/>
                </w:tcPr>
                <w:p w14:paraId="2AB0F21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640" w:type="pct"/>
                  <w:tcBorders>
                    <w:tl2br w:val="nil"/>
                    <w:tr2bl w:val="nil"/>
                  </w:tcBorders>
                  <w:shd w:val="clear" w:color="auto" w:fill="auto"/>
                  <w:vAlign w:val="center"/>
                </w:tcPr>
                <w:p w14:paraId="711E89E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个</w:t>
                  </w:r>
                </w:p>
              </w:tc>
              <w:tc>
                <w:tcPr>
                  <w:tcW w:w="1652" w:type="pct"/>
                  <w:tcBorders>
                    <w:tl2br w:val="nil"/>
                    <w:tr2bl w:val="nil"/>
                  </w:tcBorders>
                  <w:shd w:val="clear" w:color="auto" w:fill="auto"/>
                  <w:vAlign w:val="center"/>
                </w:tcPr>
                <w:p w14:paraId="7F751D9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04F2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000" w:type="pct"/>
                  <w:gridSpan w:val="5"/>
                  <w:tcBorders>
                    <w:tl2br w:val="nil"/>
                    <w:tr2bl w:val="nil"/>
                  </w:tcBorders>
                  <w:vAlign w:val="center"/>
                </w:tcPr>
                <w:p w14:paraId="503E428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其他</w:t>
                  </w:r>
                  <w:r>
                    <w:rPr>
                      <w:rFonts w:hint="default" w:ascii="Times New Roman" w:hAnsi="Times New Roman" w:cs="Times New Roman"/>
                      <w:color w:val="auto"/>
                      <w:kern w:val="2"/>
                      <w:sz w:val="18"/>
                      <w:szCs w:val="18"/>
                      <w:lang w:val="en-US" w:eastAsia="zh-CN"/>
                    </w:rPr>
                    <w:t>辅助设备</w:t>
                  </w:r>
                </w:p>
              </w:tc>
            </w:tr>
            <w:tr w14:paraId="7DE8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38" w:type="dxa"/>
                  <w:tcBorders>
                    <w:tl2br w:val="nil"/>
                    <w:tr2bl w:val="nil"/>
                  </w:tcBorders>
                  <w:vAlign w:val="center"/>
                </w:tcPr>
                <w:p w14:paraId="4E3302A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eastAsia="zh-CN"/>
                    </w:rPr>
                  </w:pPr>
                  <w:r>
                    <w:rPr>
                      <w:rFonts w:hint="default" w:ascii="Times New Roman" w:hAnsi="Times New Roman" w:eastAsia="宋体" w:cs="Times New Roman"/>
                      <w:color w:val="auto"/>
                      <w:kern w:val="2"/>
                      <w:sz w:val="18"/>
                      <w:szCs w:val="18"/>
                      <w:highlight w:val="none"/>
                      <w:lang w:eastAsia="zh-CN"/>
                    </w:rPr>
                    <w:t>1</w:t>
                  </w:r>
                </w:p>
              </w:tc>
              <w:tc>
                <w:tcPr>
                  <w:tcW w:w="2906" w:type="dxa"/>
                  <w:tcBorders>
                    <w:tl2br w:val="nil"/>
                    <w:tr2bl w:val="nil"/>
                  </w:tcBorders>
                  <w:shd w:val="clear" w:color="auto" w:fill="auto"/>
                  <w:vAlign w:val="center"/>
                </w:tcPr>
                <w:p w14:paraId="0320EAD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封闭式自卸车</w:t>
                  </w:r>
                </w:p>
              </w:tc>
              <w:tc>
                <w:tcPr>
                  <w:tcW w:w="872" w:type="dxa"/>
                  <w:tcBorders>
                    <w:tl2br w:val="nil"/>
                    <w:tr2bl w:val="nil"/>
                  </w:tcBorders>
                  <w:shd w:val="clear" w:color="auto" w:fill="auto"/>
                  <w:vAlign w:val="center"/>
                </w:tcPr>
                <w:p w14:paraId="44FAAC1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1068" w:type="dxa"/>
                  <w:tcBorders>
                    <w:tl2br w:val="nil"/>
                    <w:tr2bl w:val="nil"/>
                  </w:tcBorders>
                  <w:shd w:val="clear" w:color="auto" w:fill="auto"/>
                  <w:vAlign w:val="center"/>
                </w:tcPr>
                <w:p w14:paraId="552F673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辆</w:t>
                  </w:r>
                </w:p>
              </w:tc>
              <w:tc>
                <w:tcPr>
                  <w:tcW w:w="2756" w:type="dxa"/>
                  <w:tcBorders>
                    <w:tl2br w:val="nil"/>
                    <w:tr2bl w:val="nil"/>
                  </w:tcBorders>
                  <w:vAlign w:val="center"/>
                </w:tcPr>
                <w:p w14:paraId="2F3808E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国四以上标准</w:t>
                  </w:r>
                </w:p>
              </w:tc>
            </w:tr>
            <w:tr w14:paraId="2ECC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38" w:type="dxa"/>
                  <w:tcBorders>
                    <w:tl2br w:val="nil"/>
                    <w:tr2bl w:val="nil"/>
                  </w:tcBorders>
                  <w:vAlign w:val="center"/>
                </w:tcPr>
                <w:p w14:paraId="589CE67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highlight w:val="none"/>
                      <w:lang w:eastAsia="zh-CN"/>
                    </w:rPr>
                  </w:pPr>
                  <w:r>
                    <w:rPr>
                      <w:rFonts w:hint="default" w:ascii="Times New Roman" w:hAnsi="Times New Roman" w:cs="Times New Roman"/>
                      <w:color w:val="auto"/>
                      <w:kern w:val="2"/>
                      <w:sz w:val="18"/>
                      <w:szCs w:val="18"/>
                      <w:highlight w:val="none"/>
                      <w:lang w:val="en-US" w:eastAsia="zh-CN"/>
                    </w:rPr>
                    <w:t>2</w:t>
                  </w:r>
                </w:p>
              </w:tc>
              <w:tc>
                <w:tcPr>
                  <w:tcW w:w="2906" w:type="dxa"/>
                  <w:tcBorders>
                    <w:tl2br w:val="nil"/>
                    <w:tr2bl w:val="nil"/>
                  </w:tcBorders>
                  <w:shd w:val="clear" w:color="auto" w:fill="auto"/>
                  <w:vAlign w:val="center"/>
                </w:tcPr>
                <w:p w14:paraId="74F46D7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铲车</w:t>
                  </w:r>
                </w:p>
              </w:tc>
              <w:tc>
                <w:tcPr>
                  <w:tcW w:w="872" w:type="dxa"/>
                  <w:tcBorders>
                    <w:tl2br w:val="nil"/>
                    <w:tr2bl w:val="nil"/>
                  </w:tcBorders>
                  <w:shd w:val="clear" w:color="auto" w:fill="auto"/>
                  <w:vAlign w:val="center"/>
                </w:tcPr>
                <w:p w14:paraId="445D7DC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1068" w:type="dxa"/>
                  <w:tcBorders>
                    <w:tl2br w:val="nil"/>
                    <w:tr2bl w:val="nil"/>
                  </w:tcBorders>
                  <w:shd w:val="clear" w:color="auto" w:fill="auto"/>
                  <w:vAlign w:val="center"/>
                </w:tcPr>
                <w:p w14:paraId="1136BF5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辆</w:t>
                  </w:r>
                </w:p>
              </w:tc>
              <w:tc>
                <w:tcPr>
                  <w:tcW w:w="2756" w:type="dxa"/>
                  <w:tcBorders>
                    <w:tl2br w:val="nil"/>
                    <w:tr2bl w:val="nil"/>
                  </w:tcBorders>
                  <w:vAlign w:val="center"/>
                </w:tcPr>
                <w:p w14:paraId="7EBB1ED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国四以上标准</w:t>
                  </w:r>
                </w:p>
              </w:tc>
            </w:tr>
            <w:tr w14:paraId="0132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8" w:type="dxa"/>
                  <w:tcBorders>
                    <w:tl2br w:val="nil"/>
                    <w:tr2bl w:val="nil"/>
                  </w:tcBorders>
                  <w:vAlign w:val="center"/>
                </w:tcPr>
                <w:p w14:paraId="2503092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3</w:t>
                  </w:r>
                </w:p>
              </w:tc>
              <w:tc>
                <w:tcPr>
                  <w:tcW w:w="2906" w:type="dxa"/>
                  <w:tcBorders>
                    <w:tl2br w:val="nil"/>
                    <w:tr2bl w:val="nil"/>
                  </w:tcBorders>
                  <w:shd w:val="clear" w:color="auto" w:fill="auto"/>
                  <w:vAlign w:val="center"/>
                </w:tcPr>
                <w:p w14:paraId="61EF31B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污水处理站</w:t>
                  </w:r>
                </w:p>
              </w:tc>
              <w:tc>
                <w:tcPr>
                  <w:tcW w:w="872" w:type="dxa"/>
                  <w:tcBorders>
                    <w:tl2br w:val="nil"/>
                    <w:tr2bl w:val="nil"/>
                  </w:tcBorders>
                  <w:shd w:val="clear" w:color="auto" w:fill="auto"/>
                  <w:vAlign w:val="center"/>
                </w:tcPr>
                <w:p w14:paraId="3916F51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1</w:t>
                  </w:r>
                </w:p>
              </w:tc>
              <w:tc>
                <w:tcPr>
                  <w:tcW w:w="1068" w:type="dxa"/>
                  <w:tcBorders>
                    <w:tl2br w:val="nil"/>
                    <w:tr2bl w:val="nil"/>
                  </w:tcBorders>
                  <w:shd w:val="clear" w:color="auto" w:fill="auto"/>
                  <w:vAlign w:val="center"/>
                </w:tcPr>
                <w:p w14:paraId="39C29B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座</w:t>
                  </w:r>
                </w:p>
              </w:tc>
              <w:tc>
                <w:tcPr>
                  <w:tcW w:w="2756" w:type="dxa"/>
                  <w:tcBorders>
                    <w:tl2br w:val="nil"/>
                    <w:tr2bl w:val="nil"/>
                  </w:tcBorders>
                  <w:shd w:val="clear" w:color="auto" w:fill="auto"/>
                  <w:vAlign w:val="center"/>
                </w:tcPr>
                <w:p w14:paraId="709229C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36m</w:t>
                  </w:r>
                  <w:r>
                    <w:rPr>
                      <w:rFonts w:hint="default" w:ascii="Times New Roman" w:hAnsi="Times New Roman" w:cs="Times New Roman"/>
                      <w:color w:val="auto"/>
                      <w:kern w:val="2"/>
                      <w:sz w:val="18"/>
                      <w:szCs w:val="18"/>
                      <w:vertAlign w:val="superscript"/>
                      <w:lang w:val="en-US" w:eastAsia="zh-CN"/>
                    </w:rPr>
                    <w:t>3</w:t>
                  </w:r>
                  <w:r>
                    <w:rPr>
                      <w:rFonts w:hint="default" w:ascii="Times New Roman" w:hAnsi="Times New Roman" w:cs="Times New Roman"/>
                      <w:color w:val="auto"/>
                      <w:kern w:val="2"/>
                      <w:sz w:val="18"/>
                      <w:szCs w:val="18"/>
                      <w:lang w:val="en-US" w:eastAsia="zh-CN"/>
                    </w:rPr>
                    <w:t>/d</w:t>
                  </w:r>
                </w:p>
              </w:tc>
            </w:tr>
            <w:tr w14:paraId="4D2F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8" w:type="dxa"/>
                  <w:tcBorders>
                    <w:tl2br w:val="nil"/>
                    <w:tr2bl w:val="nil"/>
                  </w:tcBorders>
                  <w:vAlign w:val="center"/>
                </w:tcPr>
                <w:p w14:paraId="75F0065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4</w:t>
                  </w:r>
                </w:p>
              </w:tc>
              <w:tc>
                <w:tcPr>
                  <w:tcW w:w="2906" w:type="dxa"/>
                  <w:tcBorders>
                    <w:tl2br w:val="nil"/>
                    <w:tr2bl w:val="nil"/>
                  </w:tcBorders>
                  <w:vAlign w:val="center"/>
                </w:tcPr>
                <w:p w14:paraId="627BA3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b w:val="0"/>
                      <w:bCs/>
                      <w:color w:val="auto"/>
                      <w:sz w:val="18"/>
                      <w:szCs w:val="18"/>
                      <w:lang w:val="en-US" w:eastAsia="zh-CN"/>
                    </w:rPr>
                    <w:t>原料存储、发酵工序</w:t>
                  </w:r>
                  <w:r>
                    <w:rPr>
                      <w:rFonts w:hint="default" w:ascii="Times New Roman" w:hAnsi="Times New Roman" w:cs="Times New Roman"/>
                      <w:b w:val="0"/>
                      <w:bCs/>
                      <w:color w:val="auto"/>
                      <w:sz w:val="18"/>
                      <w:szCs w:val="18"/>
                      <w:lang w:val="en-US" w:eastAsia="zh-CN"/>
                    </w:rPr>
                    <w:t>、污水处理站</w:t>
                  </w:r>
                  <w:r>
                    <w:rPr>
                      <w:rFonts w:hint="default" w:ascii="Times New Roman" w:hAnsi="Times New Roman" w:eastAsia="宋体" w:cs="Times New Roman"/>
                      <w:b w:val="0"/>
                      <w:bCs/>
                      <w:color w:val="auto"/>
                      <w:sz w:val="18"/>
                      <w:szCs w:val="18"/>
                      <w:lang w:val="en-US" w:eastAsia="zh-CN"/>
                    </w:rPr>
                    <w:t>废气</w:t>
                  </w:r>
                  <w:r>
                    <w:rPr>
                      <w:rFonts w:hint="default" w:ascii="Times New Roman" w:hAnsi="Times New Roman" w:cs="Times New Roman"/>
                      <w:b w:val="0"/>
                      <w:bCs/>
                      <w:color w:val="auto"/>
                      <w:sz w:val="18"/>
                      <w:szCs w:val="18"/>
                      <w:lang w:val="en-US" w:eastAsia="zh-CN"/>
                    </w:rPr>
                    <w:t>处理设施</w:t>
                  </w:r>
                </w:p>
              </w:tc>
              <w:tc>
                <w:tcPr>
                  <w:tcW w:w="872" w:type="dxa"/>
                  <w:tcBorders>
                    <w:tl2br w:val="nil"/>
                    <w:tr2bl w:val="nil"/>
                  </w:tcBorders>
                  <w:vAlign w:val="center"/>
                </w:tcPr>
                <w:p w14:paraId="30ACF17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1068" w:type="dxa"/>
                  <w:tcBorders>
                    <w:tl2br w:val="nil"/>
                    <w:tr2bl w:val="nil"/>
                  </w:tcBorders>
                  <w:vAlign w:val="center"/>
                </w:tcPr>
                <w:p w14:paraId="5ED0899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套</w:t>
                  </w:r>
                </w:p>
              </w:tc>
              <w:tc>
                <w:tcPr>
                  <w:tcW w:w="2756" w:type="dxa"/>
                  <w:tcBorders>
                    <w:tl2br w:val="nil"/>
                    <w:tr2bl w:val="nil"/>
                  </w:tcBorders>
                  <w:vAlign w:val="center"/>
                </w:tcPr>
                <w:p w14:paraId="65F1F4ED">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r w14:paraId="6A56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8" w:type="dxa"/>
                  <w:tcBorders>
                    <w:tl2br w:val="nil"/>
                    <w:tr2bl w:val="nil"/>
                  </w:tcBorders>
                  <w:vAlign w:val="center"/>
                </w:tcPr>
                <w:p w14:paraId="2E610BA8">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5</w:t>
                  </w:r>
                </w:p>
              </w:tc>
              <w:tc>
                <w:tcPr>
                  <w:tcW w:w="2906" w:type="dxa"/>
                  <w:tcBorders>
                    <w:tl2br w:val="nil"/>
                    <w:tr2bl w:val="nil"/>
                  </w:tcBorders>
                  <w:vAlign w:val="center"/>
                </w:tcPr>
                <w:p w14:paraId="02ED55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b w:val="0"/>
                      <w:bCs/>
                      <w:color w:val="auto"/>
                      <w:sz w:val="18"/>
                      <w:szCs w:val="18"/>
                      <w:lang w:val="en-US" w:eastAsia="zh-CN"/>
                    </w:rPr>
                    <w:t>烘干、破碎、搅拌废气</w:t>
                  </w:r>
                  <w:r>
                    <w:rPr>
                      <w:rFonts w:hint="default" w:ascii="Times New Roman" w:hAnsi="Times New Roman" w:cs="Times New Roman"/>
                      <w:b w:val="0"/>
                      <w:bCs/>
                      <w:color w:val="auto"/>
                      <w:sz w:val="18"/>
                      <w:szCs w:val="18"/>
                      <w:lang w:val="en-US" w:eastAsia="zh-CN"/>
                    </w:rPr>
                    <w:t>处理设施</w:t>
                  </w:r>
                </w:p>
              </w:tc>
              <w:tc>
                <w:tcPr>
                  <w:tcW w:w="872" w:type="dxa"/>
                  <w:tcBorders>
                    <w:tl2br w:val="nil"/>
                    <w:tr2bl w:val="nil"/>
                  </w:tcBorders>
                  <w:vAlign w:val="center"/>
                </w:tcPr>
                <w:p w14:paraId="035F73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1068" w:type="dxa"/>
                  <w:tcBorders>
                    <w:tl2br w:val="nil"/>
                    <w:tr2bl w:val="nil"/>
                  </w:tcBorders>
                  <w:vAlign w:val="center"/>
                </w:tcPr>
                <w:p w14:paraId="164237C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套</w:t>
                  </w:r>
                </w:p>
              </w:tc>
              <w:tc>
                <w:tcPr>
                  <w:tcW w:w="2756" w:type="dxa"/>
                  <w:tcBorders>
                    <w:tl2br w:val="nil"/>
                    <w:tr2bl w:val="nil"/>
                  </w:tcBorders>
                  <w:vAlign w:val="center"/>
                </w:tcPr>
                <w:p w14:paraId="2EF74121">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r w14:paraId="042D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8" w:type="dxa"/>
                  <w:tcBorders>
                    <w:tl2br w:val="nil"/>
                    <w:tr2bl w:val="nil"/>
                  </w:tcBorders>
                  <w:vAlign w:val="center"/>
                </w:tcPr>
                <w:p w14:paraId="369D9332">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6</w:t>
                  </w:r>
                </w:p>
              </w:tc>
              <w:tc>
                <w:tcPr>
                  <w:tcW w:w="2906" w:type="dxa"/>
                  <w:tcBorders>
                    <w:tl2br w:val="nil"/>
                    <w:tr2bl w:val="nil"/>
                  </w:tcBorders>
                  <w:vAlign w:val="center"/>
                </w:tcPr>
                <w:p w14:paraId="788D5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制砖废气处理设施</w:t>
                  </w:r>
                </w:p>
              </w:tc>
              <w:tc>
                <w:tcPr>
                  <w:tcW w:w="872" w:type="dxa"/>
                  <w:tcBorders>
                    <w:tl2br w:val="nil"/>
                    <w:tr2bl w:val="nil"/>
                  </w:tcBorders>
                  <w:shd w:val="clear" w:color="auto" w:fill="auto"/>
                  <w:vAlign w:val="center"/>
                </w:tcPr>
                <w:p w14:paraId="3AF526F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1068" w:type="dxa"/>
                  <w:tcBorders>
                    <w:tl2br w:val="nil"/>
                    <w:tr2bl w:val="nil"/>
                  </w:tcBorders>
                  <w:shd w:val="clear" w:color="auto" w:fill="auto"/>
                  <w:vAlign w:val="center"/>
                </w:tcPr>
                <w:p w14:paraId="3EB69B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套</w:t>
                  </w:r>
                </w:p>
              </w:tc>
              <w:tc>
                <w:tcPr>
                  <w:tcW w:w="2756" w:type="dxa"/>
                  <w:tcBorders>
                    <w:tl2br w:val="nil"/>
                    <w:tr2bl w:val="nil"/>
                  </w:tcBorders>
                  <w:shd w:val="clear" w:color="auto" w:fill="auto"/>
                  <w:vAlign w:val="center"/>
                </w:tcPr>
                <w:p w14:paraId="007834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3AF1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8" w:type="dxa"/>
                  <w:tcBorders>
                    <w:tl2br w:val="nil"/>
                    <w:tr2bl w:val="nil"/>
                  </w:tcBorders>
                  <w:vAlign w:val="center"/>
                </w:tcPr>
                <w:p w14:paraId="6F88EDBF">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7</w:t>
                  </w:r>
                </w:p>
              </w:tc>
              <w:tc>
                <w:tcPr>
                  <w:tcW w:w="2906" w:type="dxa"/>
                  <w:tcBorders>
                    <w:tl2br w:val="nil"/>
                    <w:tr2bl w:val="nil"/>
                  </w:tcBorders>
                  <w:vAlign w:val="center"/>
                </w:tcPr>
                <w:p w14:paraId="03AB1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替代燃料燃烧废气处理设施</w:t>
                  </w:r>
                </w:p>
              </w:tc>
              <w:tc>
                <w:tcPr>
                  <w:tcW w:w="872" w:type="dxa"/>
                  <w:tcBorders>
                    <w:tl2br w:val="nil"/>
                    <w:tr2bl w:val="nil"/>
                  </w:tcBorders>
                  <w:shd w:val="clear" w:color="auto" w:fill="auto"/>
                  <w:vAlign w:val="center"/>
                </w:tcPr>
                <w:p w14:paraId="1B247A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1</w:t>
                  </w:r>
                </w:p>
              </w:tc>
              <w:tc>
                <w:tcPr>
                  <w:tcW w:w="1068" w:type="dxa"/>
                  <w:tcBorders>
                    <w:tl2br w:val="nil"/>
                    <w:tr2bl w:val="nil"/>
                  </w:tcBorders>
                  <w:shd w:val="clear" w:color="auto" w:fill="auto"/>
                  <w:vAlign w:val="center"/>
                </w:tcPr>
                <w:p w14:paraId="2DBB9E4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套</w:t>
                  </w:r>
                </w:p>
              </w:tc>
              <w:tc>
                <w:tcPr>
                  <w:tcW w:w="2756" w:type="dxa"/>
                  <w:tcBorders>
                    <w:tl2br w:val="nil"/>
                    <w:tr2bl w:val="nil"/>
                  </w:tcBorders>
                  <w:shd w:val="clear" w:color="auto" w:fill="auto"/>
                  <w:vAlign w:val="center"/>
                </w:tcPr>
                <w:p w14:paraId="7FA12F7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w:t>
                  </w:r>
                </w:p>
              </w:tc>
            </w:tr>
            <w:tr w14:paraId="0A5A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8" w:type="dxa"/>
                  <w:tcBorders>
                    <w:tl2br w:val="nil"/>
                    <w:tr2bl w:val="nil"/>
                  </w:tcBorders>
                  <w:vAlign w:val="center"/>
                </w:tcPr>
                <w:p w14:paraId="2587FAA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8</w:t>
                  </w:r>
                </w:p>
              </w:tc>
              <w:tc>
                <w:tcPr>
                  <w:tcW w:w="2906" w:type="dxa"/>
                  <w:tcBorders>
                    <w:tl2br w:val="nil"/>
                    <w:tr2bl w:val="nil"/>
                  </w:tcBorders>
                  <w:vAlign w:val="center"/>
                </w:tcPr>
                <w:p w14:paraId="57974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洗车平台</w:t>
                  </w:r>
                </w:p>
              </w:tc>
              <w:tc>
                <w:tcPr>
                  <w:tcW w:w="872" w:type="dxa"/>
                  <w:tcBorders>
                    <w:tl2br w:val="nil"/>
                    <w:tr2bl w:val="nil"/>
                  </w:tcBorders>
                  <w:shd w:val="clear" w:color="auto" w:fill="auto"/>
                  <w:vAlign w:val="center"/>
                </w:tcPr>
                <w:p w14:paraId="686F329D">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1068" w:type="dxa"/>
                  <w:tcBorders>
                    <w:tl2br w:val="nil"/>
                    <w:tr2bl w:val="nil"/>
                  </w:tcBorders>
                  <w:shd w:val="clear" w:color="auto" w:fill="auto"/>
                  <w:vAlign w:val="center"/>
                </w:tcPr>
                <w:p w14:paraId="679572E7">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套</w:t>
                  </w:r>
                </w:p>
              </w:tc>
              <w:tc>
                <w:tcPr>
                  <w:tcW w:w="2756" w:type="dxa"/>
                  <w:tcBorders>
                    <w:tl2br w:val="nil"/>
                    <w:tr2bl w:val="nil"/>
                  </w:tcBorders>
                  <w:shd w:val="clear" w:color="auto" w:fill="auto"/>
                  <w:vAlign w:val="center"/>
                </w:tcPr>
                <w:p w14:paraId="4D4B0B82">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kern w:val="2"/>
                      <w:sz w:val="18"/>
                      <w:szCs w:val="18"/>
                      <w:highlight w:val="none"/>
                      <w:lang w:val="zh-TW"/>
                    </w:rPr>
                    <w:t>红外控制全自动洗车台一座</w:t>
                  </w:r>
                  <w:r>
                    <w:rPr>
                      <w:rFonts w:hint="default" w:ascii="Times New Roman" w:hAnsi="Times New Roman" w:cs="Times New Roman"/>
                      <w:kern w:val="2"/>
                      <w:sz w:val="18"/>
                      <w:szCs w:val="18"/>
                      <w:highlight w:val="none"/>
                      <w:lang w:val="zh-TW" w:eastAsia="zh-CN"/>
                    </w:rPr>
                    <w:t>，</w:t>
                  </w:r>
                  <w:r>
                    <w:rPr>
                      <w:rFonts w:hint="default" w:ascii="Times New Roman" w:hAnsi="Times New Roman" w:cs="Times New Roman"/>
                      <w:kern w:val="2"/>
                      <w:sz w:val="18"/>
                      <w:szCs w:val="18"/>
                      <w:highlight w:val="none"/>
                      <w:lang w:val="en-US" w:eastAsia="zh-CN"/>
                    </w:rPr>
                    <w:t>配套</w:t>
                  </w:r>
                  <w:r>
                    <w:rPr>
                      <w:rFonts w:hint="default" w:ascii="Times New Roman" w:hAnsi="Times New Roman" w:cs="Times New Roman"/>
                      <w:kern w:val="2"/>
                      <w:sz w:val="18"/>
                      <w:szCs w:val="18"/>
                      <w:highlight w:val="none"/>
                      <w:lang w:val="zh-TW"/>
                    </w:rPr>
                    <w:t>沉淀池</w:t>
                  </w:r>
                  <w:r>
                    <w:rPr>
                      <w:rFonts w:hint="eastAsia" w:cs="Times New Roman"/>
                      <w:kern w:val="2"/>
                      <w:sz w:val="18"/>
                      <w:szCs w:val="18"/>
                      <w:highlight w:val="none"/>
                      <w:lang w:val="zh-TW" w:eastAsia="zh-CN"/>
                    </w:rPr>
                    <w:t>（</w:t>
                  </w:r>
                  <w:r>
                    <w:rPr>
                      <w:rFonts w:hint="default" w:ascii="Times New Roman" w:hAnsi="Times New Roman" w:cs="Times New Roman"/>
                      <w:kern w:val="2"/>
                      <w:sz w:val="18"/>
                      <w:szCs w:val="18"/>
                      <w:highlight w:val="none"/>
                      <w:lang w:val="zh-TW" w:eastAsia="zh-CN"/>
                    </w:rPr>
                    <w:t>4</w:t>
                  </w:r>
                  <w:r>
                    <w:rPr>
                      <w:rFonts w:hint="default" w:ascii="Times New Roman" w:hAnsi="Times New Roman" w:cs="Times New Roman"/>
                      <w:kern w:val="2"/>
                      <w:sz w:val="18"/>
                      <w:szCs w:val="18"/>
                      <w:highlight w:val="none"/>
                      <w:lang w:val="en-US" w:eastAsia="zh-CN"/>
                    </w:rPr>
                    <w:t>m</w:t>
                  </w:r>
                  <w:r>
                    <w:rPr>
                      <w:rFonts w:hint="default" w:ascii="Times New Roman" w:hAnsi="Times New Roman" w:cs="Times New Roman"/>
                      <w:kern w:val="2"/>
                      <w:sz w:val="18"/>
                      <w:szCs w:val="18"/>
                      <w:highlight w:val="none"/>
                      <w:lang w:val="zh-TW" w:eastAsia="zh-CN"/>
                    </w:rPr>
                    <w:t>×4</w:t>
                  </w:r>
                  <w:r>
                    <w:rPr>
                      <w:rFonts w:hint="default" w:ascii="Times New Roman" w:hAnsi="Times New Roman" w:cs="Times New Roman"/>
                      <w:kern w:val="2"/>
                      <w:sz w:val="18"/>
                      <w:szCs w:val="18"/>
                      <w:highlight w:val="none"/>
                      <w:lang w:val="en-US" w:eastAsia="zh-CN"/>
                    </w:rPr>
                    <w:t>m</w:t>
                  </w:r>
                  <w:r>
                    <w:rPr>
                      <w:rFonts w:hint="default" w:ascii="Times New Roman" w:hAnsi="Times New Roman" w:cs="Times New Roman"/>
                      <w:kern w:val="2"/>
                      <w:sz w:val="18"/>
                      <w:szCs w:val="18"/>
                      <w:highlight w:val="none"/>
                      <w:lang w:val="zh-TW" w:eastAsia="zh-CN"/>
                    </w:rPr>
                    <w:t>×1.2</w:t>
                  </w:r>
                  <w:r>
                    <w:rPr>
                      <w:rFonts w:hint="default" w:ascii="Times New Roman" w:hAnsi="Times New Roman" w:cs="Times New Roman"/>
                      <w:kern w:val="2"/>
                      <w:sz w:val="18"/>
                      <w:szCs w:val="18"/>
                      <w:highlight w:val="none"/>
                      <w:lang w:val="en-US" w:eastAsia="zh-CN"/>
                    </w:rPr>
                    <w:t>m</w:t>
                  </w:r>
                  <w:r>
                    <w:rPr>
                      <w:rFonts w:hint="eastAsia" w:cs="Times New Roman"/>
                      <w:kern w:val="2"/>
                      <w:sz w:val="18"/>
                      <w:szCs w:val="18"/>
                      <w:highlight w:val="none"/>
                      <w:lang w:val="en-US" w:eastAsia="zh-CN"/>
                    </w:rPr>
                    <w:t>），</w:t>
                  </w:r>
                  <w:r>
                    <w:rPr>
                      <w:rFonts w:hint="default" w:ascii="Times New Roman" w:hAnsi="Times New Roman" w:cs="Times New Roman"/>
                      <w:kern w:val="2"/>
                      <w:sz w:val="18"/>
                      <w:szCs w:val="18"/>
                      <w:highlight w:val="none"/>
                      <w:lang w:val="zh-TW"/>
                    </w:rPr>
                    <w:t>清水池</w:t>
                  </w:r>
                  <w:r>
                    <w:rPr>
                      <w:rFonts w:hint="eastAsia" w:cs="Times New Roman"/>
                      <w:kern w:val="2"/>
                      <w:sz w:val="18"/>
                      <w:szCs w:val="18"/>
                      <w:highlight w:val="none"/>
                      <w:lang w:val="zh-TW" w:eastAsia="zh-CN"/>
                    </w:rPr>
                    <w:t>（</w:t>
                  </w:r>
                  <w:r>
                    <w:rPr>
                      <w:rFonts w:hint="default" w:ascii="Times New Roman" w:hAnsi="Times New Roman" w:cs="Times New Roman"/>
                      <w:kern w:val="2"/>
                      <w:sz w:val="18"/>
                      <w:szCs w:val="18"/>
                      <w:highlight w:val="none"/>
                      <w:lang w:val="en-US" w:eastAsia="zh-CN"/>
                    </w:rPr>
                    <w:t>5</w:t>
                  </w:r>
                  <w:r>
                    <w:rPr>
                      <w:rFonts w:hint="default" w:ascii="Times New Roman" w:hAnsi="Times New Roman" w:cs="Times New Roman"/>
                      <w:kern w:val="2"/>
                      <w:sz w:val="18"/>
                      <w:szCs w:val="18"/>
                      <w:highlight w:val="none"/>
                      <w:lang w:val="zh-TW"/>
                    </w:rPr>
                    <w:t>m×</w:t>
                  </w:r>
                  <w:r>
                    <w:rPr>
                      <w:rFonts w:hint="default" w:ascii="Times New Roman" w:hAnsi="Times New Roman" w:cs="Times New Roman"/>
                      <w:kern w:val="2"/>
                      <w:sz w:val="18"/>
                      <w:szCs w:val="18"/>
                      <w:highlight w:val="none"/>
                      <w:lang w:val="en-US" w:eastAsia="zh-CN"/>
                    </w:rPr>
                    <w:t>5</w:t>
                  </w:r>
                  <w:r>
                    <w:rPr>
                      <w:rFonts w:hint="default" w:ascii="Times New Roman" w:hAnsi="Times New Roman" w:cs="Times New Roman"/>
                      <w:kern w:val="2"/>
                      <w:sz w:val="18"/>
                      <w:szCs w:val="18"/>
                      <w:highlight w:val="none"/>
                      <w:lang w:val="zh-TW"/>
                    </w:rPr>
                    <w:t>m×1</w:t>
                  </w:r>
                  <w:r>
                    <w:rPr>
                      <w:rFonts w:hint="default" w:ascii="Times New Roman" w:hAnsi="Times New Roman" w:cs="Times New Roman"/>
                      <w:kern w:val="2"/>
                      <w:sz w:val="18"/>
                      <w:szCs w:val="18"/>
                      <w:highlight w:val="none"/>
                      <w:lang w:val="en-US" w:eastAsia="zh-CN"/>
                    </w:rPr>
                    <w:t>.2</w:t>
                  </w:r>
                  <w:r>
                    <w:rPr>
                      <w:rFonts w:hint="default" w:ascii="Times New Roman" w:hAnsi="Times New Roman" w:cs="Times New Roman"/>
                      <w:kern w:val="2"/>
                      <w:sz w:val="18"/>
                      <w:szCs w:val="18"/>
                      <w:highlight w:val="none"/>
                      <w:lang w:val="zh-TW"/>
                    </w:rPr>
                    <w:t>m</w:t>
                  </w:r>
                  <w:r>
                    <w:rPr>
                      <w:rFonts w:hint="eastAsia" w:cs="Times New Roman"/>
                      <w:kern w:val="2"/>
                      <w:sz w:val="18"/>
                      <w:szCs w:val="18"/>
                      <w:highlight w:val="none"/>
                      <w:lang w:val="zh-TW" w:eastAsia="zh-CN"/>
                    </w:rPr>
                    <w:t>）</w:t>
                  </w:r>
                </w:p>
              </w:tc>
            </w:tr>
            <w:tr w14:paraId="1A1F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000" w:type="pct"/>
                  <w:gridSpan w:val="5"/>
                  <w:tcBorders>
                    <w:tl2br w:val="nil"/>
                    <w:tr2bl w:val="nil"/>
                  </w:tcBorders>
                  <w:vAlign w:val="center"/>
                </w:tcPr>
                <w:p w14:paraId="75C39F9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实验室实验仪器</w:t>
                  </w:r>
                </w:p>
              </w:tc>
            </w:tr>
            <w:tr w14:paraId="2EB6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1D7EA70E">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w:t>
                  </w:r>
                </w:p>
              </w:tc>
              <w:tc>
                <w:tcPr>
                  <w:tcW w:w="1742" w:type="pct"/>
                  <w:tcBorders>
                    <w:tl2br w:val="nil"/>
                    <w:tr2bl w:val="nil"/>
                  </w:tcBorders>
                  <w:vAlign w:val="center"/>
                </w:tcPr>
                <w:p w14:paraId="0B1D42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马弗炉</w:t>
                  </w:r>
                </w:p>
              </w:tc>
              <w:tc>
                <w:tcPr>
                  <w:tcW w:w="522" w:type="pct"/>
                  <w:tcBorders>
                    <w:tl2br w:val="nil"/>
                    <w:tr2bl w:val="nil"/>
                  </w:tcBorders>
                  <w:shd w:val="clear" w:color="auto" w:fill="auto"/>
                  <w:vAlign w:val="center"/>
                </w:tcPr>
                <w:p w14:paraId="70A98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3D04B8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2145D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0501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2AE14062">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w:t>
                  </w:r>
                </w:p>
              </w:tc>
              <w:tc>
                <w:tcPr>
                  <w:tcW w:w="1742" w:type="pct"/>
                  <w:tcBorders>
                    <w:tl2br w:val="nil"/>
                    <w:tr2bl w:val="nil"/>
                  </w:tcBorders>
                  <w:vAlign w:val="center"/>
                </w:tcPr>
                <w:p w14:paraId="695E3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烘干箱</w:t>
                  </w:r>
                </w:p>
              </w:tc>
              <w:tc>
                <w:tcPr>
                  <w:tcW w:w="522" w:type="pct"/>
                  <w:tcBorders>
                    <w:tl2br w:val="nil"/>
                    <w:tr2bl w:val="nil"/>
                  </w:tcBorders>
                  <w:shd w:val="clear" w:color="auto" w:fill="auto"/>
                  <w:vAlign w:val="center"/>
                </w:tcPr>
                <w:p w14:paraId="1A63C8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37220C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1422BD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6CFA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6EFF7B5B">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3</w:t>
                  </w:r>
                </w:p>
              </w:tc>
              <w:tc>
                <w:tcPr>
                  <w:tcW w:w="1742" w:type="pct"/>
                  <w:tcBorders>
                    <w:tl2br w:val="nil"/>
                    <w:tr2bl w:val="nil"/>
                  </w:tcBorders>
                  <w:vAlign w:val="center"/>
                </w:tcPr>
                <w:p w14:paraId="1D53F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污泥有机肥快速检测仪</w:t>
                  </w:r>
                </w:p>
              </w:tc>
              <w:tc>
                <w:tcPr>
                  <w:tcW w:w="522" w:type="pct"/>
                  <w:tcBorders>
                    <w:tl2br w:val="nil"/>
                    <w:tr2bl w:val="nil"/>
                  </w:tcBorders>
                  <w:shd w:val="clear" w:color="auto" w:fill="auto"/>
                  <w:vAlign w:val="center"/>
                </w:tcPr>
                <w:p w14:paraId="52020B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356110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4CBAC2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4813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47CA663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4</w:t>
                  </w:r>
                </w:p>
              </w:tc>
              <w:tc>
                <w:tcPr>
                  <w:tcW w:w="1742" w:type="pct"/>
                  <w:tcBorders>
                    <w:tl2br w:val="nil"/>
                    <w:tr2bl w:val="nil"/>
                  </w:tcBorders>
                  <w:vAlign w:val="center"/>
                </w:tcPr>
                <w:p w14:paraId="3E9DE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定硫仪</w:t>
                  </w:r>
                </w:p>
              </w:tc>
              <w:tc>
                <w:tcPr>
                  <w:tcW w:w="522" w:type="pct"/>
                  <w:tcBorders>
                    <w:tl2br w:val="nil"/>
                    <w:tr2bl w:val="nil"/>
                  </w:tcBorders>
                  <w:shd w:val="clear" w:color="auto" w:fill="auto"/>
                  <w:vAlign w:val="center"/>
                </w:tcPr>
                <w:p w14:paraId="19D324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1E2E4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07055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3692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02C7C12E">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5</w:t>
                  </w:r>
                </w:p>
              </w:tc>
              <w:tc>
                <w:tcPr>
                  <w:tcW w:w="1742" w:type="pct"/>
                  <w:tcBorders>
                    <w:tl2br w:val="nil"/>
                    <w:tr2bl w:val="nil"/>
                  </w:tcBorders>
                  <w:vAlign w:val="center"/>
                </w:tcPr>
                <w:p w14:paraId="33E37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氯离子含量测定仪</w:t>
                  </w:r>
                </w:p>
              </w:tc>
              <w:tc>
                <w:tcPr>
                  <w:tcW w:w="522" w:type="pct"/>
                  <w:tcBorders>
                    <w:tl2br w:val="nil"/>
                    <w:tr2bl w:val="nil"/>
                  </w:tcBorders>
                  <w:shd w:val="clear" w:color="auto" w:fill="auto"/>
                  <w:vAlign w:val="center"/>
                </w:tcPr>
                <w:p w14:paraId="35D9F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11</w:t>
                  </w:r>
                </w:p>
              </w:tc>
              <w:tc>
                <w:tcPr>
                  <w:tcW w:w="640" w:type="pct"/>
                  <w:tcBorders>
                    <w:tl2br w:val="nil"/>
                    <w:tr2bl w:val="nil"/>
                  </w:tcBorders>
                  <w:shd w:val="clear" w:color="auto" w:fill="auto"/>
                  <w:vAlign w:val="center"/>
                </w:tcPr>
                <w:p w14:paraId="0444C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6CDB6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2F22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53E5CC17">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6</w:t>
                  </w:r>
                </w:p>
              </w:tc>
              <w:tc>
                <w:tcPr>
                  <w:tcW w:w="1742" w:type="pct"/>
                  <w:tcBorders>
                    <w:tl2br w:val="nil"/>
                    <w:tr2bl w:val="nil"/>
                  </w:tcBorders>
                  <w:vAlign w:val="center"/>
                </w:tcPr>
                <w:p w14:paraId="09E0F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量热仪</w:t>
                  </w:r>
                </w:p>
              </w:tc>
              <w:tc>
                <w:tcPr>
                  <w:tcW w:w="522" w:type="pct"/>
                  <w:tcBorders>
                    <w:tl2br w:val="nil"/>
                    <w:tr2bl w:val="nil"/>
                  </w:tcBorders>
                  <w:shd w:val="clear" w:color="auto" w:fill="auto"/>
                  <w:vAlign w:val="center"/>
                </w:tcPr>
                <w:p w14:paraId="3C247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521663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139BB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0D75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02700C1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7</w:t>
                  </w:r>
                </w:p>
              </w:tc>
              <w:tc>
                <w:tcPr>
                  <w:tcW w:w="1742" w:type="pct"/>
                  <w:tcBorders>
                    <w:tl2br w:val="nil"/>
                    <w:tr2bl w:val="nil"/>
                  </w:tcBorders>
                  <w:vAlign w:val="center"/>
                </w:tcPr>
                <w:p w14:paraId="4354F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灭菌锅</w:t>
                  </w:r>
                </w:p>
              </w:tc>
              <w:tc>
                <w:tcPr>
                  <w:tcW w:w="522" w:type="pct"/>
                  <w:tcBorders>
                    <w:tl2br w:val="nil"/>
                    <w:tr2bl w:val="nil"/>
                  </w:tcBorders>
                  <w:shd w:val="clear" w:color="auto" w:fill="auto"/>
                  <w:vAlign w:val="center"/>
                </w:tcPr>
                <w:p w14:paraId="41D9D9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24653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447884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5DA7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41AFADE7">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8</w:t>
                  </w:r>
                </w:p>
              </w:tc>
              <w:tc>
                <w:tcPr>
                  <w:tcW w:w="1742" w:type="pct"/>
                  <w:tcBorders>
                    <w:tl2br w:val="nil"/>
                    <w:tr2bl w:val="nil"/>
                  </w:tcBorders>
                  <w:vAlign w:val="center"/>
                </w:tcPr>
                <w:p w14:paraId="5E3ED5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培养箱</w:t>
                  </w:r>
                </w:p>
              </w:tc>
              <w:tc>
                <w:tcPr>
                  <w:tcW w:w="522" w:type="pct"/>
                  <w:tcBorders>
                    <w:tl2br w:val="nil"/>
                    <w:tr2bl w:val="nil"/>
                  </w:tcBorders>
                  <w:shd w:val="clear" w:color="auto" w:fill="auto"/>
                  <w:vAlign w:val="center"/>
                </w:tcPr>
                <w:p w14:paraId="107984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2A6976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5DF6CD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22E5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58A1F2C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9</w:t>
                  </w:r>
                </w:p>
              </w:tc>
              <w:tc>
                <w:tcPr>
                  <w:tcW w:w="1742" w:type="pct"/>
                  <w:tcBorders>
                    <w:tl2br w:val="nil"/>
                    <w:tr2bl w:val="nil"/>
                  </w:tcBorders>
                  <w:vAlign w:val="center"/>
                </w:tcPr>
                <w:p w14:paraId="01052C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蒸馏水发生器</w:t>
                  </w:r>
                </w:p>
              </w:tc>
              <w:tc>
                <w:tcPr>
                  <w:tcW w:w="522" w:type="pct"/>
                  <w:tcBorders>
                    <w:tl2br w:val="nil"/>
                    <w:tr2bl w:val="nil"/>
                  </w:tcBorders>
                  <w:shd w:val="clear" w:color="auto" w:fill="auto"/>
                  <w:vAlign w:val="center"/>
                </w:tcPr>
                <w:p w14:paraId="570EC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43EC2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55E728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1762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3AAE11AD">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10</w:t>
                  </w:r>
                </w:p>
              </w:tc>
              <w:tc>
                <w:tcPr>
                  <w:tcW w:w="1742" w:type="pct"/>
                  <w:tcBorders>
                    <w:tl2br w:val="nil"/>
                    <w:tr2bl w:val="nil"/>
                  </w:tcBorders>
                  <w:vAlign w:val="center"/>
                </w:tcPr>
                <w:p w14:paraId="0AA5F5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离心机</w:t>
                  </w:r>
                </w:p>
              </w:tc>
              <w:tc>
                <w:tcPr>
                  <w:tcW w:w="522" w:type="pct"/>
                  <w:tcBorders>
                    <w:tl2br w:val="nil"/>
                    <w:tr2bl w:val="nil"/>
                  </w:tcBorders>
                  <w:shd w:val="clear" w:color="auto" w:fill="auto"/>
                  <w:vAlign w:val="center"/>
                </w:tcPr>
                <w:p w14:paraId="4138DA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6BEA4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3190F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0BEB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51DB147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11</w:t>
                  </w:r>
                </w:p>
              </w:tc>
              <w:tc>
                <w:tcPr>
                  <w:tcW w:w="1742" w:type="pct"/>
                  <w:tcBorders>
                    <w:tl2br w:val="nil"/>
                    <w:tr2bl w:val="nil"/>
                  </w:tcBorders>
                  <w:vAlign w:val="center"/>
                </w:tcPr>
                <w:p w14:paraId="48A630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显微镜</w:t>
                  </w:r>
                </w:p>
              </w:tc>
              <w:tc>
                <w:tcPr>
                  <w:tcW w:w="522" w:type="pct"/>
                  <w:tcBorders>
                    <w:tl2br w:val="nil"/>
                    <w:tr2bl w:val="nil"/>
                  </w:tcBorders>
                  <w:shd w:val="clear" w:color="auto" w:fill="auto"/>
                  <w:vAlign w:val="center"/>
                </w:tcPr>
                <w:p w14:paraId="00C7F8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31D998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2C0664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7413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091A845F">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12</w:t>
                  </w:r>
                </w:p>
              </w:tc>
              <w:tc>
                <w:tcPr>
                  <w:tcW w:w="1742" w:type="pct"/>
                  <w:tcBorders>
                    <w:tl2br w:val="nil"/>
                    <w:tr2bl w:val="nil"/>
                  </w:tcBorders>
                  <w:vAlign w:val="center"/>
                </w:tcPr>
                <w:p w14:paraId="426DB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电子分析天平</w:t>
                  </w:r>
                </w:p>
              </w:tc>
              <w:tc>
                <w:tcPr>
                  <w:tcW w:w="522" w:type="pct"/>
                  <w:tcBorders>
                    <w:tl2br w:val="nil"/>
                    <w:tr2bl w:val="nil"/>
                  </w:tcBorders>
                  <w:shd w:val="clear" w:color="auto" w:fill="auto"/>
                  <w:vAlign w:val="center"/>
                </w:tcPr>
                <w:p w14:paraId="33D04E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580520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117E8B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590D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30436B2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13</w:t>
                  </w:r>
                </w:p>
              </w:tc>
              <w:tc>
                <w:tcPr>
                  <w:tcW w:w="1742" w:type="pct"/>
                  <w:tcBorders>
                    <w:tl2br w:val="nil"/>
                    <w:tr2bl w:val="nil"/>
                  </w:tcBorders>
                  <w:vAlign w:val="center"/>
                </w:tcPr>
                <w:p w14:paraId="067B8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通风橱</w:t>
                  </w:r>
                </w:p>
              </w:tc>
              <w:tc>
                <w:tcPr>
                  <w:tcW w:w="522" w:type="pct"/>
                  <w:tcBorders>
                    <w:tl2br w:val="nil"/>
                    <w:tr2bl w:val="nil"/>
                  </w:tcBorders>
                  <w:shd w:val="clear" w:color="auto" w:fill="auto"/>
                  <w:vAlign w:val="center"/>
                </w:tcPr>
                <w:p w14:paraId="6DB95D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1</w:t>
                  </w:r>
                </w:p>
              </w:tc>
              <w:tc>
                <w:tcPr>
                  <w:tcW w:w="640" w:type="pct"/>
                  <w:tcBorders>
                    <w:tl2br w:val="nil"/>
                    <w:tr2bl w:val="nil"/>
                  </w:tcBorders>
                  <w:shd w:val="clear" w:color="auto" w:fill="auto"/>
                  <w:vAlign w:val="center"/>
                </w:tcPr>
                <w:p w14:paraId="61C413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台</w:t>
                  </w:r>
                </w:p>
              </w:tc>
              <w:tc>
                <w:tcPr>
                  <w:tcW w:w="1652" w:type="pct"/>
                  <w:tcBorders>
                    <w:tl2br w:val="nil"/>
                    <w:tr2bl w:val="nil"/>
                  </w:tcBorders>
                  <w:shd w:val="clear" w:color="auto" w:fill="auto"/>
                  <w:vAlign w:val="center"/>
                </w:tcPr>
                <w:p w14:paraId="6E5984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48D8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2E218D6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14</w:t>
                  </w:r>
                </w:p>
              </w:tc>
              <w:tc>
                <w:tcPr>
                  <w:tcW w:w="1742" w:type="pct"/>
                  <w:tcBorders>
                    <w:tl2br w:val="nil"/>
                    <w:tr2bl w:val="nil"/>
                  </w:tcBorders>
                  <w:vAlign w:val="center"/>
                </w:tcPr>
                <w:p w14:paraId="4D27F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试管</w:t>
                  </w:r>
                </w:p>
              </w:tc>
              <w:tc>
                <w:tcPr>
                  <w:tcW w:w="522" w:type="pct"/>
                  <w:tcBorders>
                    <w:tl2br w:val="nil"/>
                    <w:tr2bl w:val="nil"/>
                  </w:tcBorders>
                  <w:shd w:val="clear" w:color="auto" w:fill="auto"/>
                  <w:vAlign w:val="center"/>
                </w:tcPr>
                <w:p w14:paraId="5BA66F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若干</w:t>
                  </w:r>
                </w:p>
              </w:tc>
              <w:tc>
                <w:tcPr>
                  <w:tcW w:w="640" w:type="pct"/>
                  <w:tcBorders>
                    <w:tl2br w:val="nil"/>
                    <w:tr2bl w:val="nil"/>
                  </w:tcBorders>
                  <w:shd w:val="clear" w:color="auto" w:fill="auto"/>
                  <w:vAlign w:val="center"/>
                </w:tcPr>
                <w:p w14:paraId="6EC66C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个</w:t>
                  </w:r>
                </w:p>
              </w:tc>
              <w:tc>
                <w:tcPr>
                  <w:tcW w:w="1652" w:type="pct"/>
                  <w:tcBorders>
                    <w:tl2br w:val="nil"/>
                    <w:tr2bl w:val="nil"/>
                  </w:tcBorders>
                  <w:shd w:val="clear" w:color="auto" w:fill="auto"/>
                  <w:vAlign w:val="center"/>
                </w:tcPr>
                <w:p w14:paraId="1BD214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0968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442" w:type="pct"/>
                  <w:tcBorders>
                    <w:tl2br w:val="nil"/>
                    <w:tr2bl w:val="nil"/>
                  </w:tcBorders>
                  <w:vAlign w:val="center"/>
                </w:tcPr>
                <w:p w14:paraId="2377724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w:t>
                  </w:r>
                </w:p>
              </w:tc>
              <w:tc>
                <w:tcPr>
                  <w:tcW w:w="1742" w:type="pct"/>
                  <w:tcBorders>
                    <w:tl2br w:val="nil"/>
                    <w:tr2bl w:val="nil"/>
                  </w:tcBorders>
                  <w:vAlign w:val="center"/>
                </w:tcPr>
                <w:p w14:paraId="70DA4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锥形瓶</w:t>
                  </w:r>
                </w:p>
              </w:tc>
              <w:tc>
                <w:tcPr>
                  <w:tcW w:w="522" w:type="pct"/>
                  <w:tcBorders>
                    <w:tl2br w:val="nil"/>
                    <w:tr2bl w:val="nil"/>
                  </w:tcBorders>
                  <w:shd w:val="clear" w:color="auto" w:fill="auto"/>
                  <w:vAlign w:val="center"/>
                </w:tcPr>
                <w:p w14:paraId="14487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若干</w:t>
                  </w:r>
                </w:p>
              </w:tc>
              <w:tc>
                <w:tcPr>
                  <w:tcW w:w="640" w:type="pct"/>
                  <w:tcBorders>
                    <w:tl2br w:val="nil"/>
                    <w:tr2bl w:val="nil"/>
                  </w:tcBorders>
                  <w:shd w:val="clear" w:color="auto" w:fill="auto"/>
                  <w:vAlign w:val="center"/>
                </w:tcPr>
                <w:p w14:paraId="6CC7B4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个</w:t>
                  </w:r>
                </w:p>
              </w:tc>
              <w:tc>
                <w:tcPr>
                  <w:tcW w:w="1652" w:type="pct"/>
                  <w:tcBorders>
                    <w:tl2br w:val="nil"/>
                    <w:tr2bl w:val="nil"/>
                  </w:tcBorders>
                  <w:shd w:val="clear" w:color="auto" w:fill="auto"/>
                  <w:vAlign w:val="center"/>
                </w:tcPr>
                <w:p w14:paraId="005B44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4805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6785C4D1">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16</w:t>
                  </w:r>
                </w:p>
              </w:tc>
              <w:tc>
                <w:tcPr>
                  <w:tcW w:w="1742" w:type="pct"/>
                  <w:tcBorders>
                    <w:tl2br w:val="nil"/>
                    <w:tr2bl w:val="nil"/>
                  </w:tcBorders>
                  <w:vAlign w:val="center"/>
                </w:tcPr>
                <w:p w14:paraId="026604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陶瓷坩埚</w:t>
                  </w:r>
                </w:p>
              </w:tc>
              <w:tc>
                <w:tcPr>
                  <w:tcW w:w="522" w:type="pct"/>
                  <w:tcBorders>
                    <w:tl2br w:val="nil"/>
                    <w:tr2bl w:val="nil"/>
                  </w:tcBorders>
                  <w:shd w:val="clear" w:color="auto" w:fill="auto"/>
                  <w:vAlign w:val="center"/>
                </w:tcPr>
                <w:p w14:paraId="5235E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若干</w:t>
                  </w:r>
                </w:p>
              </w:tc>
              <w:tc>
                <w:tcPr>
                  <w:tcW w:w="640" w:type="pct"/>
                  <w:tcBorders>
                    <w:tl2br w:val="nil"/>
                    <w:tr2bl w:val="nil"/>
                  </w:tcBorders>
                  <w:shd w:val="clear" w:color="auto" w:fill="auto"/>
                  <w:vAlign w:val="center"/>
                </w:tcPr>
                <w:p w14:paraId="17EFC9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个</w:t>
                  </w:r>
                </w:p>
              </w:tc>
              <w:tc>
                <w:tcPr>
                  <w:tcW w:w="1652" w:type="pct"/>
                  <w:tcBorders>
                    <w:tl2br w:val="nil"/>
                    <w:tr2bl w:val="nil"/>
                  </w:tcBorders>
                  <w:shd w:val="clear" w:color="auto" w:fill="auto"/>
                  <w:vAlign w:val="center"/>
                </w:tcPr>
                <w:p w14:paraId="61AB4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6759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6982594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17</w:t>
                  </w:r>
                </w:p>
              </w:tc>
              <w:tc>
                <w:tcPr>
                  <w:tcW w:w="1742" w:type="pct"/>
                  <w:tcBorders>
                    <w:tl2br w:val="nil"/>
                    <w:tr2bl w:val="nil"/>
                  </w:tcBorders>
                  <w:vAlign w:val="center"/>
                </w:tcPr>
                <w:p w14:paraId="0DA7D3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玻璃培养皿</w:t>
                  </w:r>
                </w:p>
              </w:tc>
              <w:tc>
                <w:tcPr>
                  <w:tcW w:w="522" w:type="pct"/>
                  <w:tcBorders>
                    <w:tl2br w:val="nil"/>
                    <w:tr2bl w:val="nil"/>
                  </w:tcBorders>
                  <w:shd w:val="clear" w:color="auto" w:fill="auto"/>
                  <w:vAlign w:val="center"/>
                </w:tcPr>
                <w:p w14:paraId="460EFE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若干</w:t>
                  </w:r>
                </w:p>
              </w:tc>
              <w:tc>
                <w:tcPr>
                  <w:tcW w:w="640" w:type="pct"/>
                  <w:tcBorders>
                    <w:tl2br w:val="nil"/>
                    <w:tr2bl w:val="nil"/>
                  </w:tcBorders>
                  <w:shd w:val="clear" w:color="auto" w:fill="auto"/>
                  <w:vAlign w:val="center"/>
                </w:tcPr>
                <w:p w14:paraId="792DA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个</w:t>
                  </w:r>
                </w:p>
              </w:tc>
              <w:tc>
                <w:tcPr>
                  <w:tcW w:w="1652" w:type="pct"/>
                  <w:tcBorders>
                    <w:tl2br w:val="nil"/>
                    <w:tr2bl w:val="nil"/>
                  </w:tcBorders>
                  <w:shd w:val="clear" w:color="auto" w:fill="auto"/>
                  <w:vAlign w:val="center"/>
                </w:tcPr>
                <w:p w14:paraId="1A436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r w14:paraId="5691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42" w:type="pct"/>
                  <w:tcBorders>
                    <w:tl2br w:val="nil"/>
                    <w:tr2bl w:val="nil"/>
                  </w:tcBorders>
                  <w:vAlign w:val="center"/>
                </w:tcPr>
                <w:p w14:paraId="4B142A0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18</w:t>
                  </w:r>
                </w:p>
              </w:tc>
              <w:tc>
                <w:tcPr>
                  <w:tcW w:w="1742" w:type="pct"/>
                  <w:tcBorders>
                    <w:tl2br w:val="nil"/>
                    <w:tr2bl w:val="nil"/>
                  </w:tcBorders>
                  <w:vAlign w:val="center"/>
                </w:tcPr>
                <w:p w14:paraId="13C49E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其他玻璃仪器</w:t>
                  </w:r>
                </w:p>
              </w:tc>
              <w:tc>
                <w:tcPr>
                  <w:tcW w:w="522" w:type="pct"/>
                  <w:tcBorders>
                    <w:tl2br w:val="nil"/>
                    <w:tr2bl w:val="nil"/>
                  </w:tcBorders>
                  <w:shd w:val="clear" w:color="auto" w:fill="auto"/>
                  <w:vAlign w:val="center"/>
                </w:tcPr>
                <w:p w14:paraId="50C700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若干</w:t>
                  </w:r>
                </w:p>
              </w:tc>
              <w:tc>
                <w:tcPr>
                  <w:tcW w:w="640" w:type="pct"/>
                  <w:tcBorders>
                    <w:tl2br w:val="nil"/>
                    <w:tr2bl w:val="nil"/>
                  </w:tcBorders>
                  <w:shd w:val="clear" w:color="auto" w:fill="auto"/>
                  <w:vAlign w:val="center"/>
                </w:tcPr>
                <w:p w14:paraId="11088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个</w:t>
                  </w:r>
                </w:p>
              </w:tc>
              <w:tc>
                <w:tcPr>
                  <w:tcW w:w="1652" w:type="pct"/>
                  <w:tcBorders>
                    <w:tl2br w:val="nil"/>
                    <w:tr2bl w:val="nil"/>
                  </w:tcBorders>
                  <w:shd w:val="clear" w:color="auto" w:fill="auto"/>
                  <w:vAlign w:val="center"/>
                </w:tcPr>
                <w:p w14:paraId="712D04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w:t>
                  </w:r>
                </w:p>
              </w:tc>
            </w:tr>
          </w:tbl>
          <w:p w14:paraId="07EBC80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主要原辅材料、能源消耗。</w:t>
            </w:r>
          </w:p>
          <w:p w14:paraId="7517F90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项目所用原料</w:t>
            </w:r>
            <w:r>
              <w:rPr>
                <w:rFonts w:hint="default" w:ascii="Times New Roman" w:hAnsi="Times New Roman" w:cs="Times New Roman"/>
                <w:color w:val="000000" w:themeColor="text1"/>
                <w:sz w:val="24"/>
                <w:lang w:val="en-US" w:eastAsia="zh-CN"/>
                <w14:textFill>
                  <w14:solidFill>
                    <w14:schemeClr w14:val="tx1"/>
                  </w14:solidFill>
                </w14:textFill>
              </w:rPr>
              <w:t>均属于</w:t>
            </w:r>
            <w:r>
              <w:rPr>
                <w:rFonts w:hint="default" w:ascii="Times New Roman" w:hAnsi="Times New Roman" w:cs="Times New Roman"/>
                <w:color w:val="000000" w:themeColor="text1"/>
                <w:sz w:val="24"/>
                <w14:textFill>
                  <w14:solidFill>
                    <w14:schemeClr w14:val="tx1"/>
                  </w14:solidFill>
                </w14:textFill>
              </w:rPr>
              <w:t>一般固</w:t>
            </w:r>
            <w:r>
              <w:rPr>
                <w:rFonts w:hint="default" w:ascii="Times New Roman" w:hAnsi="Times New Roman" w:cs="Times New Roman"/>
                <w:color w:val="000000" w:themeColor="text1"/>
                <w:sz w:val="24"/>
                <w:lang w:val="en-US" w:eastAsia="zh-CN"/>
                <w14:textFill>
                  <w14:solidFill>
                    <w14:schemeClr w14:val="tx1"/>
                  </w14:solidFill>
                </w14:textFill>
              </w:rPr>
              <w:t>体</w:t>
            </w:r>
            <w:r>
              <w:rPr>
                <w:rFonts w:hint="default" w:ascii="Times New Roman" w:hAnsi="Times New Roman" w:cs="Times New Roman"/>
                <w:color w:val="000000" w:themeColor="text1"/>
                <w:sz w:val="24"/>
                <w14:textFill>
                  <w14:solidFill>
                    <w14:schemeClr w14:val="tx1"/>
                  </w14:solidFill>
                </w14:textFill>
              </w:rPr>
              <w:t>废</w:t>
            </w:r>
            <w:r>
              <w:rPr>
                <w:rFonts w:hint="default" w:ascii="Times New Roman" w:hAnsi="Times New Roman" w:cs="Times New Roman"/>
                <w:color w:val="000000" w:themeColor="text1"/>
                <w:sz w:val="24"/>
                <w:lang w:val="en-US" w:eastAsia="zh-CN"/>
                <w14:textFill>
                  <w14:solidFill>
                    <w14:schemeClr w14:val="tx1"/>
                  </w14:solidFill>
                </w14:textFill>
              </w:rPr>
              <w:t>物</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入场要求</w:t>
            </w:r>
            <w:r>
              <w:rPr>
                <w:rFonts w:hint="default" w:ascii="Times New Roman" w:hAnsi="Times New Roman" w:cs="Times New Roman"/>
                <w:color w:val="000000" w:themeColor="text1"/>
                <w:sz w:val="24"/>
                <w:lang w:val="en-US" w:eastAsia="zh-CN"/>
                <w14:textFill>
                  <w14:solidFill>
                    <w14:schemeClr w14:val="tx1"/>
                  </w14:solidFill>
                </w14:textFill>
              </w:rPr>
              <w:t>需满足</w:t>
            </w:r>
            <w:r>
              <w:rPr>
                <w:rFonts w:hint="default" w:ascii="Times New Roman" w:hAnsi="Times New Roman" w:cs="Times New Roman"/>
                <w:color w:val="000000" w:themeColor="text1"/>
                <w:sz w:val="24"/>
                <w14:textFill>
                  <w14:solidFill>
                    <w14:schemeClr w14:val="tx1"/>
                  </w14:solidFill>
                </w14:textFill>
              </w:rPr>
              <w:t>：</w:t>
            </w:r>
          </w:p>
          <w:p w14:paraId="0747958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准入评估</w:t>
            </w:r>
          </w:p>
          <w:p w14:paraId="71BC9A2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1）建设单位与产生废物企业签订处置合同及废物运输到建设单位之前，</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应充分了解产废企业的生产工艺、固废的产生环节，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对拟处置的废物进行取样及特性分析，以保证</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生产</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过程不影响生产过程和操作运行安全，以确保后续烟气达标排放。</w:t>
            </w:r>
          </w:p>
          <w:p w14:paraId="317EC20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对拟处置的废物进行取样和特性分析前，应对废物产生过程进行调查分析，在此基础上制定取样分析方案，样品采集完成后，针对废物特性要求及确保运输、贮存和处置全过程安全、生产安全、烟气排放和产品质量满足标准所要求的项目，展开分析测试。废物特性经双方确认后在合同中注明。取样频率和取样方法按照现行《工业固态废物采样制样技术规范》（HJ/T20）和《危险废物鉴别技术规范》（HJ/T298）要求执行。</w:t>
            </w:r>
          </w:p>
          <w:p w14:paraId="432859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3）完成样品分析测试后，判断废物是否可以进行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综合利用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，不能</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的退回原产废单位。</w:t>
            </w:r>
          </w:p>
          <w:p w14:paraId="53B2483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4）对于同一企业同一生产工艺产生的不同批次废物，在生产工艺操作参数未改变的前提下，可仅对首批次废物进行采样分析，其后产生的废物采样分析可在制定处置方案时进行。</w:t>
            </w:r>
          </w:p>
          <w:p w14:paraId="6DEDD33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5）对入厂前废物采集分析的样品，经双方确认后封装保存，用于事故和纠纷的调查。备份样品应该保存到停止</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该种废物之后，如果保存期间备份样品的特性发生变化，应更换备份样品，保证备份样品特性与所处置废物特性一致。</w:t>
            </w:r>
          </w:p>
          <w:p w14:paraId="48B2229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（15）接收、分析与暂存要求</w:t>
            </w:r>
          </w:p>
          <w:p w14:paraId="670F258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1）入厂后一般固废的检查</w:t>
            </w:r>
          </w:p>
          <w:p w14:paraId="3DF5D8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固废入厂时，首先通过表观和气味初步判断是否与合同标注的一般固废类别一致；检查一般固废包装是否符合要求，无破损和泄漏现象；对入厂废物进行称重，确认符合所签合同的要求。在完成上述检查并确认符合各项要求后，一般固废方可进入项目的贮存设施。</w:t>
            </w:r>
          </w:p>
          <w:p w14:paraId="6C0F719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2）入厂后一般固废检验要求</w:t>
            </w:r>
          </w:p>
          <w:p w14:paraId="2D0C052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1）一般固废入厂后应及时进行取样分析，以判断是否与合同注明的废物特性一致，是否满足本项目的使用要求。</w:t>
            </w:r>
          </w:p>
          <w:p w14:paraId="1A002BE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2）企业应对各个产生废物的单位相关信息进行定期统计分析，评估其管理能力和一般固废的稳定性，并根据评估情况适当减少检验频次。</w:t>
            </w:r>
          </w:p>
          <w:p w14:paraId="19D9210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3）一般固废入厂检查和检验结果应记录备案，与废物处置方案共同入档保存。入厂检查和检验结果记录及废物处置方案保存时间不低于3年。</w:t>
            </w:r>
          </w:p>
          <w:p w14:paraId="6EAEF60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（3）暂存要求</w:t>
            </w:r>
          </w:p>
          <w:p w14:paraId="0B53B7B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本项目入厂的原料分类存放。车间需设有防火、防雨、防晒、防渗、防扬散措施。</w:t>
            </w:r>
          </w:p>
          <w:p w14:paraId="059C17E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1）按照《一般工业固体废物管理台账制定指南（试行）》（公告2021年第82号）的要求，进行管理。要求如下：</w:t>
            </w:r>
          </w:p>
          <w:p w14:paraId="6CAFDCD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①明确负责人及相关设施、场地。明确一般固废贮存部门、利用部门负责人，为一般固废贮存设施和处置设施编码。</w:t>
            </w:r>
          </w:p>
          <w:p w14:paraId="0BEE52D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②台账管理要求</w:t>
            </w:r>
          </w:p>
          <w:p w14:paraId="047B926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a.建立一般固废贮存台账，如实记录原料的贮存情况。做好原料的来源、入厂接收、贮存、利用、处置数量和处置方式等信息；</w:t>
            </w:r>
          </w:p>
          <w:p w14:paraId="425898D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b.采用国家建立的一般固废管理电子台账，简化数据填写、台账管理等工作。建立电子台账后，可不再记录纸质台账。</w:t>
            </w:r>
          </w:p>
          <w:p w14:paraId="1D5E998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c.应当设立专人负责台账的管理与归档，一般固废管理台账保存期限不少于5年。</w:t>
            </w:r>
          </w:p>
          <w:p w14:paraId="5012804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d.鼓励建设单位在一般固废产生场所、贮存场所及磅秤位置等关键点位设置视频监控，提高台账记录信息的准确性。</w:t>
            </w:r>
          </w:p>
          <w:p w14:paraId="593B72CD">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lang w:eastAsia="zh-CN"/>
              </w:rPr>
            </w:pPr>
            <w:r>
              <w:rPr>
                <w:rFonts w:hint="default" w:ascii="Times New Roman" w:hAnsi="Times New Roman" w:cs="Times New Roman"/>
                <w:b/>
                <w:bCs/>
                <w:color w:val="auto"/>
                <w:sz w:val="24"/>
              </w:rPr>
              <w:t>表2-</w:t>
            </w:r>
            <w:r>
              <w:rPr>
                <w:rFonts w:hint="default" w:ascii="Times New Roman" w:hAnsi="Times New Roman" w:cs="Times New Roman"/>
                <w:b/>
                <w:bCs/>
                <w:color w:val="auto"/>
                <w:sz w:val="24"/>
                <w:lang w:val="en-US" w:eastAsia="zh-CN"/>
              </w:rPr>
              <w:t>12</w:t>
            </w:r>
            <w:r>
              <w:rPr>
                <w:rFonts w:hint="default" w:ascii="Times New Roman" w:hAnsi="Times New Roman" w:cs="Times New Roman"/>
                <w:b/>
                <w:bCs/>
                <w:color w:val="auto"/>
                <w:sz w:val="24"/>
              </w:rPr>
              <w:t xml:space="preserve">  </w:t>
            </w:r>
            <w:r>
              <w:rPr>
                <w:rFonts w:hint="default" w:ascii="Times New Roman" w:hAnsi="Times New Roman" w:cs="Times New Roman"/>
                <w:b/>
                <w:bCs/>
                <w:color w:val="auto"/>
                <w:sz w:val="24"/>
                <w:lang w:val="en-US" w:eastAsia="zh-CN"/>
              </w:rPr>
              <w:t>一般固废烘干生产线</w:t>
            </w:r>
            <w:r>
              <w:rPr>
                <w:rFonts w:hint="default" w:ascii="Times New Roman" w:hAnsi="Times New Roman" w:cs="Times New Roman"/>
                <w:b/>
                <w:bCs/>
                <w:color w:val="auto"/>
                <w:sz w:val="24"/>
              </w:rPr>
              <w:t>原辅材料消耗一览表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352"/>
              <w:gridCol w:w="766"/>
              <w:gridCol w:w="2847"/>
              <w:gridCol w:w="555"/>
              <w:gridCol w:w="653"/>
              <w:gridCol w:w="627"/>
              <w:gridCol w:w="738"/>
            </w:tblGrid>
            <w:tr w14:paraId="5DC2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Align w:val="center"/>
                </w:tcPr>
                <w:p w14:paraId="2853036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名称</w:t>
                  </w:r>
                </w:p>
              </w:tc>
              <w:tc>
                <w:tcPr>
                  <w:tcW w:w="0" w:type="auto"/>
                  <w:vAlign w:val="center"/>
                </w:tcPr>
                <w:p w14:paraId="33880F4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用量</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t</w:t>
                  </w:r>
                  <w:r>
                    <w:rPr>
                      <w:rFonts w:hint="default" w:ascii="Times New Roman" w:hAnsi="Times New Roman" w:cs="Times New Roman"/>
                      <w:color w:val="auto"/>
                      <w:kern w:val="2"/>
                      <w:sz w:val="18"/>
                      <w:szCs w:val="18"/>
                      <w:lang w:eastAsia="zh-CN"/>
                    </w:rPr>
                    <w:t>）</w:t>
                  </w:r>
                </w:p>
              </w:tc>
              <w:tc>
                <w:tcPr>
                  <w:tcW w:w="0" w:type="auto"/>
                  <w:vAlign w:val="center"/>
                </w:tcPr>
                <w:p w14:paraId="65B8B48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来源</w:t>
                  </w:r>
                </w:p>
              </w:tc>
              <w:tc>
                <w:tcPr>
                  <w:tcW w:w="0" w:type="auto"/>
                  <w:vAlign w:val="center"/>
                </w:tcPr>
                <w:p w14:paraId="0B2D587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含水率</w:t>
                  </w:r>
                </w:p>
              </w:tc>
              <w:tc>
                <w:tcPr>
                  <w:tcW w:w="653" w:type="dxa"/>
                  <w:vAlign w:val="center"/>
                </w:tcPr>
                <w:p w14:paraId="70F2068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包装方式</w:t>
                  </w:r>
                </w:p>
              </w:tc>
              <w:tc>
                <w:tcPr>
                  <w:tcW w:w="627" w:type="dxa"/>
                  <w:vAlign w:val="center"/>
                </w:tcPr>
                <w:p w14:paraId="2E46A13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存放位置</w:t>
                  </w:r>
                </w:p>
              </w:tc>
              <w:tc>
                <w:tcPr>
                  <w:tcW w:w="738" w:type="dxa"/>
                  <w:vAlign w:val="center"/>
                </w:tcPr>
                <w:p w14:paraId="22806D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去向</w:t>
                  </w:r>
                </w:p>
              </w:tc>
            </w:tr>
            <w:tr w14:paraId="3058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4" w:type="dxa"/>
                  <w:vAlign w:val="center"/>
                </w:tcPr>
                <w:p w14:paraId="343A655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林业废物</w:t>
                  </w:r>
                </w:p>
              </w:tc>
              <w:tc>
                <w:tcPr>
                  <w:tcW w:w="1352" w:type="dxa"/>
                  <w:vAlign w:val="center"/>
                </w:tcPr>
                <w:p w14:paraId="6CC7144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林业废物020-001-S81</w:t>
                  </w:r>
                </w:p>
              </w:tc>
              <w:tc>
                <w:tcPr>
                  <w:tcW w:w="0" w:type="auto"/>
                  <w:vAlign w:val="center"/>
                </w:tcPr>
                <w:p w14:paraId="4FB9D80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5000</w:t>
                  </w:r>
                </w:p>
              </w:tc>
              <w:tc>
                <w:tcPr>
                  <w:tcW w:w="0" w:type="auto"/>
                  <w:vAlign w:val="center"/>
                </w:tcPr>
                <w:p w14:paraId="0081779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林业生产</w:t>
                  </w:r>
                </w:p>
              </w:tc>
              <w:tc>
                <w:tcPr>
                  <w:tcW w:w="0" w:type="auto"/>
                  <w:vAlign w:val="center"/>
                </w:tcPr>
                <w:p w14:paraId="065E8BA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40%</w:t>
                  </w:r>
                </w:p>
              </w:tc>
              <w:tc>
                <w:tcPr>
                  <w:tcW w:w="653" w:type="dxa"/>
                  <w:vAlign w:val="center"/>
                </w:tcPr>
                <w:p w14:paraId="525320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627" w:type="dxa"/>
                  <w:vAlign w:val="center"/>
                </w:tcPr>
                <w:p w14:paraId="5081B5B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c>
                <w:tcPr>
                  <w:tcW w:w="738" w:type="dxa"/>
                  <w:vMerge w:val="restart"/>
                  <w:vAlign w:val="center"/>
                </w:tcPr>
                <w:p w14:paraId="5EF09EF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用于生产替代燃烧颗粒</w:t>
                  </w:r>
                </w:p>
              </w:tc>
            </w:tr>
            <w:tr w14:paraId="47E2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4" w:type="dxa"/>
                  <w:vAlign w:val="center"/>
                </w:tcPr>
                <w:p w14:paraId="3BDD2DA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农业废物</w:t>
                  </w:r>
                </w:p>
              </w:tc>
              <w:tc>
                <w:tcPr>
                  <w:tcW w:w="1352" w:type="dxa"/>
                  <w:vAlign w:val="center"/>
                </w:tcPr>
                <w:p w14:paraId="396104E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作物秸秆010-002-S80</w:t>
                  </w:r>
                </w:p>
              </w:tc>
              <w:tc>
                <w:tcPr>
                  <w:tcW w:w="0" w:type="auto"/>
                  <w:vAlign w:val="center"/>
                </w:tcPr>
                <w:p w14:paraId="6ACA295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25</w:t>
                  </w:r>
                  <w:r>
                    <w:rPr>
                      <w:rFonts w:hint="default" w:ascii="Times New Roman" w:hAnsi="Times New Roman" w:eastAsia="宋体" w:cs="Times New Roman"/>
                      <w:color w:val="auto"/>
                      <w:kern w:val="2"/>
                      <w:sz w:val="18"/>
                      <w:szCs w:val="18"/>
                      <w:lang w:eastAsia="zh-CN"/>
                    </w:rPr>
                    <w:t>000</w:t>
                  </w:r>
                </w:p>
              </w:tc>
              <w:tc>
                <w:tcPr>
                  <w:tcW w:w="0" w:type="auto"/>
                  <w:vAlign w:val="center"/>
                </w:tcPr>
                <w:p w14:paraId="647A25B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农业生产</w:t>
                  </w:r>
                </w:p>
              </w:tc>
              <w:tc>
                <w:tcPr>
                  <w:tcW w:w="0" w:type="auto"/>
                  <w:vAlign w:val="center"/>
                </w:tcPr>
                <w:p w14:paraId="08F0CF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40%</w:t>
                  </w:r>
                </w:p>
              </w:tc>
              <w:tc>
                <w:tcPr>
                  <w:tcW w:w="653" w:type="dxa"/>
                  <w:vAlign w:val="center"/>
                </w:tcPr>
                <w:p w14:paraId="43FAE9E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627" w:type="dxa"/>
                  <w:vAlign w:val="center"/>
                </w:tcPr>
                <w:p w14:paraId="0198824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c>
                <w:tcPr>
                  <w:tcW w:w="738" w:type="dxa"/>
                  <w:vMerge w:val="continue"/>
                  <w:vAlign w:val="center"/>
                </w:tcPr>
                <w:p w14:paraId="7636D15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r w14:paraId="27D9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4" w:type="dxa"/>
                  <w:vMerge w:val="restart"/>
                  <w:vAlign w:val="center"/>
                </w:tcPr>
                <w:p w14:paraId="6E67422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其他工业固体废物</w:t>
                  </w:r>
                </w:p>
              </w:tc>
              <w:tc>
                <w:tcPr>
                  <w:tcW w:w="1352" w:type="dxa"/>
                  <w:vAlign w:val="center"/>
                </w:tcPr>
                <w:p w14:paraId="7252C27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提铜渣浆900-099-S59</w:t>
                  </w:r>
                </w:p>
              </w:tc>
              <w:tc>
                <w:tcPr>
                  <w:tcW w:w="0" w:type="auto"/>
                  <w:vAlign w:val="center"/>
                </w:tcPr>
                <w:p w14:paraId="26D5363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10000</w:t>
                  </w:r>
                </w:p>
              </w:tc>
              <w:tc>
                <w:tcPr>
                  <w:tcW w:w="0" w:type="auto"/>
                  <w:vAlign w:val="center"/>
                </w:tcPr>
                <w:p w14:paraId="2012F95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eastAsia="zh-CN"/>
                    </w:rPr>
                    <w:t>唐山三友硅业有限责任公司</w:t>
                  </w:r>
                  <w:r>
                    <w:rPr>
                      <w:rFonts w:hint="default" w:ascii="Times New Roman" w:hAnsi="Times New Roman" w:eastAsia="宋体" w:cs="Times New Roman"/>
                      <w:color w:val="auto"/>
                      <w:kern w:val="2"/>
                      <w:sz w:val="18"/>
                      <w:szCs w:val="18"/>
                      <w:lang w:val="en-US" w:eastAsia="zh-CN"/>
                    </w:rPr>
                    <w:t>产生的提铜渣浆</w:t>
                  </w:r>
                  <w:r>
                    <w:rPr>
                      <w:rFonts w:hint="default" w:ascii="Times New Roman" w:hAnsi="Times New Roman" w:cs="Times New Roman"/>
                      <w:color w:val="auto"/>
                      <w:kern w:val="0"/>
                      <w:sz w:val="18"/>
                      <w:szCs w:val="18"/>
                      <w:lang w:val="en-US" w:eastAsia="zh-CN" w:bidi="ar"/>
                    </w:rPr>
                    <w:t>为例进行分析，唐山三友硅业有限责任公司提铜渣浆浸出液的pH介于9.37~10.83之间，pH值＞9；浸出液中铜（以总铜计）检测值介于6.52</w:t>
                  </w:r>
                  <w:r>
                    <w:rPr>
                      <w:rFonts w:hint="eastAsia" w:cs="Times New Roman"/>
                      <w:color w:val="auto"/>
                      <w:kern w:val="0"/>
                      <w:sz w:val="18"/>
                      <w:szCs w:val="18"/>
                      <w:lang w:val="en-US" w:eastAsia="zh-CN" w:bidi="ar"/>
                    </w:rPr>
                    <w:t>～</w:t>
                  </w:r>
                  <w:r>
                    <w:rPr>
                      <w:rFonts w:hint="default" w:ascii="Times New Roman" w:hAnsi="Times New Roman" w:cs="Times New Roman"/>
                      <w:color w:val="auto"/>
                      <w:kern w:val="0"/>
                      <w:sz w:val="18"/>
                      <w:szCs w:val="18"/>
                      <w:lang w:val="en-US" w:eastAsia="zh-CN" w:bidi="ar"/>
                    </w:rPr>
                    <w:t>9.54mg/L之间，铍（以总铍计）检测值介于0.0073</w:t>
                  </w:r>
                  <w:r>
                    <w:rPr>
                      <w:rFonts w:hint="eastAsia" w:cs="Times New Roman"/>
                      <w:color w:val="auto"/>
                      <w:kern w:val="0"/>
                      <w:sz w:val="18"/>
                      <w:szCs w:val="18"/>
                      <w:lang w:val="en-US" w:eastAsia="zh-CN" w:bidi="ar"/>
                    </w:rPr>
                    <w:t>～</w:t>
                  </w:r>
                  <w:r>
                    <w:rPr>
                      <w:rFonts w:hint="default" w:ascii="Times New Roman" w:hAnsi="Times New Roman" w:cs="Times New Roman"/>
                      <w:color w:val="auto"/>
                      <w:kern w:val="0"/>
                      <w:sz w:val="18"/>
                      <w:szCs w:val="18"/>
                      <w:lang w:val="en-US" w:eastAsia="zh-CN" w:bidi="ar"/>
                    </w:rPr>
                    <w:t>0.0112mg/L之间，超过《污水综合排放标准》（GB8978-1996）最高允许排放浓度，其余污染物均低于《污水综合排放标准》（GB8978-1996）最高允许排放浓度；因此，提铜固渣属于第Ⅱ类一般工业固体废物。</w:t>
                  </w:r>
                </w:p>
              </w:tc>
              <w:tc>
                <w:tcPr>
                  <w:tcW w:w="0" w:type="auto"/>
                  <w:vAlign w:val="center"/>
                </w:tcPr>
                <w:p w14:paraId="01BA6EB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70%</w:t>
                  </w:r>
                </w:p>
              </w:tc>
              <w:tc>
                <w:tcPr>
                  <w:tcW w:w="653" w:type="dxa"/>
                  <w:vAlign w:val="center"/>
                </w:tcPr>
                <w:p w14:paraId="3AEDA80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627" w:type="dxa"/>
                  <w:vAlign w:val="center"/>
                </w:tcPr>
                <w:p w14:paraId="6D51591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c>
                <w:tcPr>
                  <w:tcW w:w="738" w:type="dxa"/>
                  <w:vMerge w:val="continue"/>
                  <w:vAlign w:val="center"/>
                </w:tcPr>
                <w:p w14:paraId="163975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r w14:paraId="17BA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4" w:type="dxa"/>
                  <w:vMerge w:val="continue"/>
                  <w:vAlign w:val="center"/>
                </w:tcPr>
                <w:p w14:paraId="6F0833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352" w:type="dxa"/>
                  <w:vAlign w:val="center"/>
                </w:tcPr>
                <w:p w14:paraId="414FCD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i w:val="0"/>
                      <w:iCs w:val="0"/>
                      <w:color w:val="auto"/>
                      <w:kern w:val="0"/>
                      <w:sz w:val="18"/>
                      <w:szCs w:val="18"/>
                      <w:u w:val="none"/>
                      <w:lang w:val="en-US" w:eastAsia="zh-CN" w:bidi="ar"/>
                    </w:rPr>
                    <w:t>中药渣900-099-S59</w:t>
                  </w:r>
                </w:p>
              </w:tc>
              <w:tc>
                <w:tcPr>
                  <w:tcW w:w="0" w:type="auto"/>
                  <w:vMerge w:val="restart"/>
                  <w:vAlign w:val="center"/>
                </w:tcPr>
                <w:p w14:paraId="5F3234B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30000</w:t>
                  </w:r>
                </w:p>
              </w:tc>
              <w:tc>
                <w:tcPr>
                  <w:tcW w:w="0" w:type="auto"/>
                  <w:shd w:val="clear" w:color="auto" w:fill="auto"/>
                  <w:vAlign w:val="center"/>
                </w:tcPr>
                <w:p w14:paraId="478367A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cs="Times New Roman"/>
                      <w:color w:val="auto"/>
                      <w:kern w:val="2"/>
                      <w:sz w:val="18"/>
                      <w:szCs w:val="18"/>
                      <w:lang w:eastAsia="zh-CN"/>
                    </w:rPr>
                    <w:t>景忠山国药（唐山）有限公司</w:t>
                  </w:r>
                  <w:r>
                    <w:rPr>
                      <w:rFonts w:hint="default" w:ascii="Times New Roman" w:hAnsi="Times New Roman" w:eastAsia="宋体" w:cs="Times New Roman"/>
                      <w:color w:val="auto"/>
                      <w:kern w:val="2"/>
                      <w:sz w:val="18"/>
                      <w:szCs w:val="18"/>
                      <w:lang w:val="en-US" w:eastAsia="zh-CN"/>
                    </w:rPr>
                    <w:t>产生的</w:t>
                  </w:r>
                  <w:r>
                    <w:rPr>
                      <w:rFonts w:hint="default" w:ascii="Times New Roman" w:hAnsi="Times New Roman" w:cs="Times New Roman"/>
                      <w:color w:val="auto"/>
                      <w:kern w:val="2"/>
                      <w:sz w:val="18"/>
                      <w:szCs w:val="18"/>
                      <w:lang w:val="en-US" w:eastAsia="zh-CN"/>
                    </w:rPr>
                    <w:t>水提</w:t>
                  </w:r>
                  <w:r>
                    <w:rPr>
                      <w:rFonts w:hint="default" w:ascii="Times New Roman" w:hAnsi="Times New Roman" w:eastAsia="宋体" w:cs="Times New Roman"/>
                      <w:color w:val="auto"/>
                      <w:kern w:val="2"/>
                      <w:sz w:val="18"/>
                      <w:szCs w:val="18"/>
                      <w:lang w:val="en-US" w:eastAsia="zh-CN"/>
                    </w:rPr>
                    <w:t>中药渣</w:t>
                  </w:r>
                  <w:r>
                    <w:rPr>
                      <w:rFonts w:hint="default" w:ascii="Times New Roman" w:hAnsi="Times New Roman" w:cs="Times New Roman"/>
                      <w:color w:val="auto"/>
                      <w:kern w:val="0"/>
                      <w:sz w:val="18"/>
                      <w:szCs w:val="18"/>
                      <w:lang w:val="en-US" w:eastAsia="zh-CN" w:bidi="ar"/>
                    </w:rPr>
                    <w:t>为例进行分析</w:t>
                  </w:r>
                </w:p>
              </w:tc>
              <w:tc>
                <w:tcPr>
                  <w:tcW w:w="0" w:type="auto"/>
                  <w:shd w:val="clear" w:color="auto" w:fill="auto"/>
                  <w:vAlign w:val="center"/>
                </w:tcPr>
                <w:p w14:paraId="14E69C0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70</w:t>
                  </w:r>
                </w:p>
              </w:tc>
              <w:tc>
                <w:tcPr>
                  <w:tcW w:w="653" w:type="dxa"/>
                  <w:shd w:val="clear" w:color="auto" w:fill="auto"/>
                  <w:vAlign w:val="center"/>
                </w:tcPr>
                <w:p w14:paraId="4F4F2CB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627" w:type="dxa"/>
                  <w:shd w:val="clear" w:color="auto" w:fill="auto"/>
                  <w:vAlign w:val="center"/>
                </w:tcPr>
                <w:p w14:paraId="27C4EAE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c>
                <w:tcPr>
                  <w:tcW w:w="738" w:type="dxa"/>
                  <w:vMerge w:val="restart"/>
                  <w:vAlign w:val="center"/>
                </w:tcPr>
                <w:p w14:paraId="0E07612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用于生产营养土</w:t>
                  </w:r>
                </w:p>
              </w:tc>
            </w:tr>
            <w:tr w14:paraId="28F6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4" w:type="dxa"/>
                  <w:vMerge w:val="continue"/>
                  <w:vAlign w:val="center"/>
                </w:tcPr>
                <w:p w14:paraId="0B46A2D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352" w:type="dxa"/>
                  <w:vAlign w:val="center"/>
                </w:tcPr>
                <w:p w14:paraId="1DE4D3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i w:val="0"/>
                      <w:iCs w:val="0"/>
                      <w:color w:val="auto"/>
                      <w:kern w:val="0"/>
                      <w:sz w:val="18"/>
                      <w:szCs w:val="18"/>
                      <w:u w:val="none"/>
                      <w:lang w:val="en-US" w:eastAsia="zh-CN" w:bidi="ar"/>
                    </w:rPr>
                    <w:t>糖渣900-099-S59</w:t>
                  </w:r>
                </w:p>
              </w:tc>
              <w:tc>
                <w:tcPr>
                  <w:tcW w:w="0" w:type="auto"/>
                  <w:vMerge w:val="continue"/>
                  <w:vAlign w:val="center"/>
                </w:tcPr>
                <w:p w14:paraId="698ABEC7">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p>
              </w:tc>
              <w:tc>
                <w:tcPr>
                  <w:tcW w:w="0" w:type="auto"/>
                  <w:shd w:val="clear" w:color="auto" w:fill="auto"/>
                  <w:vAlign w:val="center"/>
                </w:tcPr>
                <w:p w14:paraId="12231B7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eastAsia="zh-CN"/>
                    </w:rPr>
                    <w:t>中粮</w:t>
                  </w:r>
                  <w:r>
                    <w:rPr>
                      <w:rFonts w:hint="default" w:ascii="Times New Roman" w:hAnsi="Times New Roman"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唐山</w:t>
                  </w:r>
                  <w:r>
                    <w:rPr>
                      <w:rFonts w:hint="default" w:ascii="Times New Roman" w:hAnsi="Times New Roman"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糖业有限公司</w:t>
                  </w:r>
                  <w:r>
                    <w:rPr>
                      <w:rFonts w:hint="default" w:ascii="Times New Roman" w:hAnsi="Times New Roman" w:eastAsia="宋体" w:cs="Times New Roman"/>
                      <w:color w:val="auto"/>
                      <w:kern w:val="2"/>
                      <w:sz w:val="18"/>
                      <w:szCs w:val="18"/>
                      <w:lang w:val="en-US" w:eastAsia="zh-CN"/>
                    </w:rPr>
                    <w:t>产生的糖渣</w:t>
                  </w:r>
                  <w:r>
                    <w:rPr>
                      <w:rFonts w:hint="default" w:ascii="Times New Roman" w:hAnsi="Times New Roman" w:cs="Times New Roman"/>
                      <w:color w:val="auto"/>
                      <w:kern w:val="0"/>
                      <w:sz w:val="18"/>
                      <w:szCs w:val="18"/>
                      <w:lang w:val="en-US" w:eastAsia="zh-CN" w:bidi="ar"/>
                    </w:rPr>
                    <w:t>为例进行分析</w:t>
                  </w:r>
                </w:p>
              </w:tc>
              <w:tc>
                <w:tcPr>
                  <w:tcW w:w="0" w:type="auto"/>
                  <w:shd w:val="clear" w:color="auto" w:fill="auto"/>
                  <w:vAlign w:val="center"/>
                </w:tcPr>
                <w:p w14:paraId="25AD9B1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70</w:t>
                  </w:r>
                </w:p>
              </w:tc>
              <w:tc>
                <w:tcPr>
                  <w:tcW w:w="653" w:type="dxa"/>
                  <w:shd w:val="clear" w:color="auto" w:fill="auto"/>
                  <w:vAlign w:val="center"/>
                </w:tcPr>
                <w:p w14:paraId="564F22C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627" w:type="dxa"/>
                  <w:shd w:val="clear" w:color="auto" w:fill="auto"/>
                  <w:vAlign w:val="center"/>
                </w:tcPr>
                <w:p w14:paraId="599BDE2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c>
                <w:tcPr>
                  <w:tcW w:w="738" w:type="dxa"/>
                  <w:vMerge w:val="continue"/>
                  <w:vAlign w:val="center"/>
                </w:tcPr>
                <w:p w14:paraId="7868F96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r w14:paraId="5439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4" w:type="dxa"/>
                  <w:vMerge w:val="continue"/>
                  <w:vAlign w:val="center"/>
                </w:tcPr>
                <w:p w14:paraId="108119D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352" w:type="dxa"/>
                  <w:vAlign w:val="center"/>
                </w:tcPr>
                <w:p w14:paraId="65E960B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脱硫石膏900-099-S06</w:t>
                  </w:r>
                </w:p>
              </w:tc>
              <w:tc>
                <w:tcPr>
                  <w:tcW w:w="0" w:type="auto"/>
                  <w:vAlign w:val="center"/>
                </w:tcPr>
                <w:p w14:paraId="43E3375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80000</w:t>
                  </w:r>
                </w:p>
              </w:tc>
              <w:tc>
                <w:tcPr>
                  <w:tcW w:w="0" w:type="auto"/>
                  <w:shd w:val="clear" w:color="auto" w:fill="auto"/>
                  <w:vAlign w:val="center"/>
                </w:tcPr>
                <w:p w14:paraId="5DF3C36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val="en-US" w:eastAsia="zh-CN"/>
                    </w:rPr>
                    <w:t>唐山三友化工股份有限公司产生的脱硫石膏</w:t>
                  </w:r>
                  <w:r>
                    <w:rPr>
                      <w:rFonts w:hint="default" w:ascii="Times New Roman" w:hAnsi="Times New Roman" w:cs="Times New Roman"/>
                      <w:color w:val="auto"/>
                      <w:kern w:val="0"/>
                      <w:sz w:val="18"/>
                      <w:szCs w:val="18"/>
                      <w:lang w:val="en-US" w:eastAsia="zh-CN" w:bidi="ar"/>
                    </w:rPr>
                    <w:t>为例进行分析</w:t>
                  </w:r>
                </w:p>
              </w:tc>
              <w:tc>
                <w:tcPr>
                  <w:tcW w:w="0" w:type="auto"/>
                  <w:shd w:val="clear" w:color="auto" w:fill="auto"/>
                  <w:vAlign w:val="center"/>
                </w:tcPr>
                <w:p w14:paraId="316D7C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30</w:t>
                  </w:r>
                </w:p>
              </w:tc>
              <w:tc>
                <w:tcPr>
                  <w:tcW w:w="653" w:type="dxa"/>
                  <w:shd w:val="clear" w:color="auto" w:fill="auto"/>
                  <w:vAlign w:val="center"/>
                </w:tcPr>
                <w:p w14:paraId="22EC311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627" w:type="dxa"/>
                  <w:shd w:val="clear" w:color="auto" w:fill="auto"/>
                  <w:vAlign w:val="center"/>
                </w:tcPr>
                <w:p w14:paraId="4154053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c>
                <w:tcPr>
                  <w:tcW w:w="738" w:type="dxa"/>
                  <w:vAlign w:val="center"/>
                </w:tcPr>
                <w:p w14:paraId="6DF47BB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用于制砖</w:t>
                  </w:r>
                </w:p>
              </w:tc>
            </w:tr>
            <w:tr w14:paraId="22DE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Align w:val="center"/>
                </w:tcPr>
                <w:p w14:paraId="5B1BFD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发酵后的营养土</w:t>
                  </w:r>
                  <w:r>
                    <w:rPr>
                      <w:rFonts w:hint="default" w:ascii="Times New Roman" w:hAnsi="Times New Roman" w:eastAsia="宋体" w:cs="Times New Roman"/>
                      <w:color w:val="auto"/>
                      <w:kern w:val="2"/>
                      <w:sz w:val="18"/>
                      <w:szCs w:val="18"/>
                      <w:lang w:eastAsia="zh-CN"/>
                    </w:rPr>
                    <w:t>（自产）</w:t>
                  </w:r>
                </w:p>
              </w:tc>
              <w:tc>
                <w:tcPr>
                  <w:tcW w:w="0" w:type="auto"/>
                  <w:vAlign w:val="center"/>
                </w:tcPr>
                <w:p w14:paraId="383CAF8A">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60000</w:t>
                  </w:r>
                </w:p>
              </w:tc>
              <w:tc>
                <w:tcPr>
                  <w:tcW w:w="0" w:type="auto"/>
                  <w:vAlign w:val="center"/>
                </w:tcPr>
                <w:p w14:paraId="7CF667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自产</w:t>
                  </w:r>
                </w:p>
              </w:tc>
              <w:tc>
                <w:tcPr>
                  <w:tcW w:w="0" w:type="auto"/>
                  <w:vAlign w:val="center"/>
                </w:tcPr>
                <w:p w14:paraId="213720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40%</w:t>
                  </w:r>
                </w:p>
              </w:tc>
              <w:tc>
                <w:tcPr>
                  <w:tcW w:w="653" w:type="dxa"/>
                  <w:vAlign w:val="center"/>
                </w:tcPr>
                <w:p w14:paraId="239448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627" w:type="dxa"/>
                  <w:vAlign w:val="center"/>
                </w:tcPr>
                <w:p w14:paraId="192462B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738" w:type="dxa"/>
                  <w:vAlign w:val="center"/>
                </w:tcPr>
                <w:p w14:paraId="083D5C7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用于生产替代燃烧颗粒</w:t>
                  </w:r>
                </w:p>
              </w:tc>
            </w:tr>
            <w:tr w14:paraId="53B7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Align w:val="center"/>
                </w:tcPr>
                <w:p w14:paraId="2939BB5A">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合计</w:t>
                  </w:r>
                </w:p>
              </w:tc>
              <w:tc>
                <w:tcPr>
                  <w:tcW w:w="0" w:type="auto"/>
                  <w:vAlign w:val="center"/>
                </w:tcPr>
                <w:p w14:paraId="575976FF">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210000</w:t>
                  </w:r>
                </w:p>
              </w:tc>
              <w:tc>
                <w:tcPr>
                  <w:tcW w:w="0" w:type="auto"/>
                  <w:vAlign w:val="center"/>
                </w:tcPr>
                <w:p w14:paraId="384F00E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2811931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653" w:type="dxa"/>
                  <w:vAlign w:val="center"/>
                </w:tcPr>
                <w:p w14:paraId="16CDBD9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627" w:type="dxa"/>
                  <w:vAlign w:val="center"/>
                </w:tcPr>
                <w:p w14:paraId="469976D3">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738" w:type="dxa"/>
                  <w:vAlign w:val="center"/>
                </w:tcPr>
                <w:p w14:paraId="5E8D016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bl>
          <w:p w14:paraId="2D354A74">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lang w:eastAsia="zh-CN"/>
              </w:rPr>
            </w:pPr>
            <w:r>
              <w:rPr>
                <w:rFonts w:hint="default" w:ascii="Times New Roman" w:hAnsi="Times New Roman" w:cs="Times New Roman"/>
                <w:b/>
                <w:bCs/>
                <w:color w:val="auto"/>
                <w:sz w:val="24"/>
              </w:rPr>
              <w:t>表2-</w:t>
            </w:r>
            <w:r>
              <w:rPr>
                <w:rFonts w:hint="default" w:ascii="Times New Roman" w:hAnsi="Times New Roman" w:cs="Times New Roman"/>
                <w:b/>
                <w:bCs/>
                <w:color w:val="auto"/>
                <w:sz w:val="24"/>
                <w:lang w:val="en-US" w:eastAsia="zh-CN"/>
              </w:rPr>
              <w:t>13</w:t>
            </w:r>
            <w:r>
              <w:rPr>
                <w:rFonts w:hint="default" w:ascii="Times New Roman" w:hAnsi="Times New Roman" w:cs="Times New Roman"/>
                <w:b/>
                <w:bCs/>
                <w:color w:val="auto"/>
                <w:sz w:val="24"/>
              </w:rPr>
              <w:t xml:space="preserve">  </w:t>
            </w:r>
            <w:r>
              <w:rPr>
                <w:rFonts w:hint="default" w:ascii="Times New Roman" w:hAnsi="Times New Roman" w:cs="Times New Roman"/>
                <w:b/>
                <w:bCs/>
                <w:color w:val="auto"/>
                <w:sz w:val="24"/>
                <w:lang w:val="en-US" w:eastAsia="zh-CN"/>
              </w:rPr>
              <w:t>营养土生产线</w:t>
            </w:r>
            <w:r>
              <w:rPr>
                <w:rFonts w:hint="default" w:ascii="Times New Roman" w:hAnsi="Times New Roman" w:cs="Times New Roman"/>
                <w:b/>
                <w:bCs/>
                <w:color w:val="auto"/>
                <w:sz w:val="24"/>
              </w:rPr>
              <w:t>原辅材料消耗一览表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2282"/>
              <w:gridCol w:w="1016"/>
              <w:gridCol w:w="2234"/>
              <w:gridCol w:w="695"/>
              <w:gridCol w:w="619"/>
              <w:gridCol w:w="619"/>
            </w:tblGrid>
            <w:tr w14:paraId="63A3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052BB15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名称</w:t>
                  </w:r>
                </w:p>
              </w:tc>
              <w:tc>
                <w:tcPr>
                  <w:tcW w:w="1016" w:type="dxa"/>
                  <w:vAlign w:val="center"/>
                </w:tcPr>
                <w:p w14:paraId="3DF45842">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用量</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t</w:t>
                  </w:r>
                  <w:r>
                    <w:rPr>
                      <w:rFonts w:hint="default" w:ascii="Times New Roman" w:hAnsi="Times New Roman" w:cs="Times New Roman"/>
                      <w:color w:val="auto"/>
                      <w:kern w:val="2"/>
                      <w:sz w:val="18"/>
                      <w:szCs w:val="18"/>
                      <w:lang w:eastAsia="zh-CN"/>
                    </w:rPr>
                    <w:t>）</w:t>
                  </w:r>
                </w:p>
              </w:tc>
              <w:tc>
                <w:tcPr>
                  <w:tcW w:w="2234" w:type="dxa"/>
                  <w:vAlign w:val="center"/>
                </w:tcPr>
                <w:p w14:paraId="2D63D96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来源</w:t>
                  </w:r>
                </w:p>
              </w:tc>
              <w:tc>
                <w:tcPr>
                  <w:tcW w:w="0" w:type="auto"/>
                  <w:vAlign w:val="center"/>
                </w:tcPr>
                <w:p w14:paraId="4F79E3AF">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含水率</w:t>
                  </w:r>
                  <w:r>
                    <w:rPr>
                      <w:rFonts w:hint="default" w:ascii="Times New Roman" w:hAnsi="Times New Roman" w:cs="Times New Roman"/>
                      <w:color w:val="auto"/>
                      <w:kern w:val="2"/>
                      <w:sz w:val="18"/>
                      <w:szCs w:val="18"/>
                      <w:lang w:val="en-US" w:eastAsia="zh-CN"/>
                    </w:rPr>
                    <w:t>%</w:t>
                  </w:r>
                </w:p>
              </w:tc>
              <w:tc>
                <w:tcPr>
                  <w:tcW w:w="0" w:type="auto"/>
                  <w:vAlign w:val="center"/>
                </w:tcPr>
                <w:p w14:paraId="4179B621">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包装方式</w:t>
                  </w:r>
                </w:p>
              </w:tc>
              <w:tc>
                <w:tcPr>
                  <w:tcW w:w="0" w:type="auto"/>
                  <w:vAlign w:val="center"/>
                </w:tcPr>
                <w:p w14:paraId="25E607D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存放位置</w:t>
                  </w:r>
                </w:p>
              </w:tc>
            </w:tr>
            <w:tr w14:paraId="3CB1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8A0BE8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食品残渣</w:t>
                  </w:r>
                </w:p>
              </w:tc>
              <w:tc>
                <w:tcPr>
                  <w:tcW w:w="0" w:type="auto"/>
                  <w:vAlign w:val="center"/>
                </w:tcPr>
                <w:p w14:paraId="757D7BAE">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酒糟151-002-S13、酒制造废物151-001-S13</w:t>
                  </w:r>
                </w:p>
              </w:tc>
              <w:tc>
                <w:tcPr>
                  <w:tcW w:w="1016" w:type="dxa"/>
                  <w:vAlign w:val="center"/>
                </w:tcPr>
                <w:p w14:paraId="258EFF6E">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r>
                    <w:rPr>
                      <w:rFonts w:hint="default" w:ascii="Times New Roman" w:hAnsi="Times New Roman" w:cs="Times New Roman"/>
                      <w:color w:val="auto"/>
                      <w:kern w:val="2"/>
                      <w:sz w:val="18"/>
                      <w:szCs w:val="18"/>
                      <w:lang w:val="en-US" w:eastAsia="zh-CN"/>
                    </w:rPr>
                    <w:t>00</w:t>
                  </w:r>
                  <w:r>
                    <w:rPr>
                      <w:rFonts w:hint="default" w:ascii="Times New Roman" w:hAnsi="Times New Roman" w:eastAsia="宋体" w:cs="Times New Roman"/>
                      <w:color w:val="auto"/>
                      <w:kern w:val="2"/>
                      <w:sz w:val="18"/>
                      <w:szCs w:val="18"/>
                      <w:lang w:val="en-US" w:eastAsia="zh-CN"/>
                    </w:rPr>
                    <w:t>00</w:t>
                  </w:r>
                </w:p>
              </w:tc>
              <w:tc>
                <w:tcPr>
                  <w:tcW w:w="2234" w:type="dxa"/>
                  <w:vAlign w:val="center"/>
                </w:tcPr>
                <w:p w14:paraId="5FAEC6C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0"/>
                      <w:sz w:val="18"/>
                      <w:szCs w:val="18"/>
                      <w:lang w:val="en-US" w:eastAsia="zh-CN" w:bidi="ar"/>
                    </w:rPr>
                    <w:t>中溶科技有限公司</w:t>
                  </w:r>
                  <w:r>
                    <w:rPr>
                      <w:rFonts w:hint="default" w:ascii="Times New Roman" w:hAnsi="Times New Roman" w:cs="Times New Roman"/>
                      <w:color w:val="auto"/>
                      <w:kern w:val="0"/>
                      <w:sz w:val="18"/>
                      <w:szCs w:val="18"/>
                      <w:lang w:val="en-US" w:eastAsia="zh-CN" w:bidi="ar"/>
                    </w:rPr>
                    <w:t>产生的酒糟、酒制品废弃物为例进行分析</w:t>
                  </w:r>
                </w:p>
              </w:tc>
              <w:tc>
                <w:tcPr>
                  <w:tcW w:w="0" w:type="auto"/>
                  <w:vAlign w:val="center"/>
                </w:tcPr>
                <w:p w14:paraId="2BADC19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60</w:t>
                  </w:r>
                </w:p>
              </w:tc>
              <w:tc>
                <w:tcPr>
                  <w:tcW w:w="0" w:type="auto"/>
                  <w:shd w:val="clear" w:color="auto" w:fill="auto"/>
                  <w:vAlign w:val="center"/>
                </w:tcPr>
                <w:p w14:paraId="7C4B09DE">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0" w:type="auto"/>
                  <w:shd w:val="clear" w:color="auto" w:fill="auto"/>
                  <w:vAlign w:val="center"/>
                </w:tcPr>
                <w:p w14:paraId="5AE21733">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27A1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6FB82C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农业废物</w:t>
                  </w:r>
                </w:p>
              </w:tc>
              <w:tc>
                <w:tcPr>
                  <w:tcW w:w="0" w:type="auto"/>
                  <w:vAlign w:val="center"/>
                </w:tcPr>
                <w:p w14:paraId="35FD8718">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作物秸秆010-002-S80</w:t>
                  </w:r>
                </w:p>
              </w:tc>
              <w:tc>
                <w:tcPr>
                  <w:tcW w:w="1016" w:type="dxa"/>
                  <w:vAlign w:val="center"/>
                </w:tcPr>
                <w:p w14:paraId="73ED9C7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20</w:t>
                  </w:r>
                  <w:r>
                    <w:rPr>
                      <w:rFonts w:hint="default" w:ascii="Times New Roman" w:hAnsi="Times New Roman" w:eastAsia="宋体" w:cs="Times New Roman"/>
                      <w:color w:val="auto"/>
                      <w:kern w:val="2"/>
                      <w:sz w:val="18"/>
                      <w:szCs w:val="18"/>
                      <w:lang w:val="en-US" w:eastAsia="zh-CN"/>
                    </w:rPr>
                    <w:t>000</w:t>
                  </w:r>
                </w:p>
              </w:tc>
              <w:tc>
                <w:tcPr>
                  <w:tcW w:w="2234" w:type="dxa"/>
                  <w:vAlign w:val="center"/>
                </w:tcPr>
                <w:p w14:paraId="4784742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农业生产</w:t>
                  </w:r>
                </w:p>
              </w:tc>
              <w:tc>
                <w:tcPr>
                  <w:tcW w:w="0" w:type="auto"/>
                  <w:vAlign w:val="center"/>
                </w:tcPr>
                <w:p w14:paraId="2AD01362">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40</w:t>
                  </w:r>
                </w:p>
              </w:tc>
              <w:tc>
                <w:tcPr>
                  <w:tcW w:w="0" w:type="auto"/>
                  <w:vAlign w:val="center"/>
                </w:tcPr>
                <w:p w14:paraId="34E73A8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1FA4ACA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5150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BDA3D1F">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林业废物</w:t>
                  </w:r>
                </w:p>
              </w:tc>
              <w:tc>
                <w:tcPr>
                  <w:tcW w:w="0" w:type="auto"/>
                  <w:vAlign w:val="center"/>
                </w:tcPr>
                <w:p w14:paraId="799B3062">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林业废物0</w:t>
                  </w:r>
                  <w:r>
                    <w:rPr>
                      <w:rFonts w:hint="default" w:ascii="Times New Roman" w:hAnsi="Times New Roman" w:cs="Times New Roman"/>
                      <w:color w:val="auto"/>
                      <w:kern w:val="2"/>
                      <w:sz w:val="18"/>
                      <w:szCs w:val="18"/>
                      <w:lang w:val="en-US" w:eastAsia="zh-CN"/>
                    </w:rPr>
                    <w:t>2</w:t>
                  </w:r>
                  <w:r>
                    <w:rPr>
                      <w:rFonts w:hint="default" w:ascii="Times New Roman" w:hAnsi="Times New Roman" w:eastAsia="宋体" w:cs="Times New Roman"/>
                      <w:color w:val="auto"/>
                      <w:kern w:val="2"/>
                      <w:sz w:val="18"/>
                      <w:szCs w:val="18"/>
                      <w:lang w:eastAsia="zh-CN"/>
                    </w:rPr>
                    <w:t>0-00</w:t>
                  </w:r>
                  <w:r>
                    <w:rPr>
                      <w:rFonts w:hint="default" w:ascii="Times New Roman" w:hAnsi="Times New Roman" w:cs="Times New Roman"/>
                      <w:color w:val="auto"/>
                      <w:kern w:val="2"/>
                      <w:sz w:val="18"/>
                      <w:szCs w:val="18"/>
                      <w:lang w:val="en-US" w:eastAsia="zh-CN"/>
                    </w:rPr>
                    <w:t>1</w:t>
                  </w:r>
                  <w:r>
                    <w:rPr>
                      <w:rFonts w:hint="default" w:ascii="Times New Roman" w:hAnsi="Times New Roman" w:eastAsia="宋体" w:cs="Times New Roman"/>
                      <w:color w:val="auto"/>
                      <w:kern w:val="2"/>
                      <w:sz w:val="18"/>
                      <w:szCs w:val="18"/>
                      <w:lang w:eastAsia="zh-CN"/>
                    </w:rPr>
                    <w:t>-S80</w:t>
                  </w:r>
                  <w:r>
                    <w:rPr>
                      <w:rFonts w:hint="default" w:ascii="Times New Roman" w:hAnsi="Times New Roman" w:cs="Times New Roman"/>
                      <w:color w:val="auto"/>
                      <w:kern w:val="2"/>
                      <w:sz w:val="18"/>
                      <w:szCs w:val="18"/>
                      <w:lang w:val="en-US" w:eastAsia="zh-CN"/>
                    </w:rPr>
                    <w:t>1</w:t>
                  </w:r>
                </w:p>
              </w:tc>
              <w:tc>
                <w:tcPr>
                  <w:tcW w:w="1016" w:type="dxa"/>
                  <w:vAlign w:val="center"/>
                </w:tcPr>
                <w:p w14:paraId="2C9212E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35</w:t>
                  </w:r>
                  <w:r>
                    <w:rPr>
                      <w:rFonts w:hint="default" w:ascii="Times New Roman" w:hAnsi="Times New Roman" w:eastAsia="宋体" w:cs="Times New Roman"/>
                      <w:color w:val="auto"/>
                      <w:kern w:val="2"/>
                      <w:sz w:val="18"/>
                      <w:szCs w:val="18"/>
                      <w:lang w:val="en-US" w:eastAsia="zh-CN"/>
                    </w:rPr>
                    <w:t>00</w:t>
                  </w:r>
                </w:p>
              </w:tc>
              <w:tc>
                <w:tcPr>
                  <w:tcW w:w="2234" w:type="dxa"/>
                  <w:vAlign w:val="center"/>
                </w:tcPr>
                <w:p w14:paraId="0AA35E3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林业生产</w:t>
                  </w:r>
                </w:p>
              </w:tc>
              <w:tc>
                <w:tcPr>
                  <w:tcW w:w="0" w:type="auto"/>
                  <w:vAlign w:val="center"/>
                </w:tcPr>
                <w:p w14:paraId="633A541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40</w:t>
                  </w:r>
                </w:p>
              </w:tc>
              <w:tc>
                <w:tcPr>
                  <w:tcW w:w="0" w:type="auto"/>
                  <w:vAlign w:val="center"/>
                </w:tcPr>
                <w:p w14:paraId="02B9537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044B638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785D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FA3B092">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畜牧业废物</w:t>
                  </w:r>
                </w:p>
              </w:tc>
              <w:tc>
                <w:tcPr>
                  <w:tcW w:w="0" w:type="auto"/>
                  <w:vAlign w:val="center"/>
                </w:tcPr>
                <w:p w14:paraId="79458D1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畜禽粪污030-001-S82</w:t>
                  </w:r>
                </w:p>
              </w:tc>
              <w:tc>
                <w:tcPr>
                  <w:tcW w:w="1016" w:type="dxa"/>
                  <w:vAlign w:val="center"/>
                </w:tcPr>
                <w:p w14:paraId="0B5DC92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35</w:t>
                  </w:r>
                  <w:r>
                    <w:rPr>
                      <w:rFonts w:hint="default" w:ascii="Times New Roman" w:hAnsi="Times New Roman" w:eastAsia="宋体" w:cs="Times New Roman"/>
                      <w:color w:val="auto"/>
                      <w:kern w:val="2"/>
                      <w:sz w:val="18"/>
                      <w:szCs w:val="18"/>
                      <w:lang w:val="en-US" w:eastAsia="zh-CN"/>
                    </w:rPr>
                    <w:t>00</w:t>
                  </w:r>
                </w:p>
              </w:tc>
              <w:tc>
                <w:tcPr>
                  <w:tcW w:w="2234" w:type="dxa"/>
                  <w:vAlign w:val="center"/>
                </w:tcPr>
                <w:p w14:paraId="1CD3E95A">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0"/>
                      <w:sz w:val="18"/>
                      <w:szCs w:val="18"/>
                      <w:lang w:val="en-US" w:eastAsia="zh-CN" w:bidi="ar"/>
                    </w:rPr>
                    <w:t>来自畜禽养殖企业，本评价以</w:t>
                  </w:r>
                  <w:r>
                    <w:rPr>
                      <w:rFonts w:hint="default" w:ascii="Times New Roman" w:hAnsi="Times New Roman" w:eastAsia="宋体" w:cs="Times New Roman"/>
                      <w:color w:val="auto"/>
                      <w:kern w:val="2"/>
                      <w:sz w:val="18"/>
                      <w:szCs w:val="18"/>
                      <w:lang w:eastAsia="zh-CN"/>
                    </w:rPr>
                    <w:t>北京捷科多农业科技有限公司</w:t>
                  </w:r>
                  <w:r>
                    <w:rPr>
                      <w:rFonts w:hint="default" w:ascii="Times New Roman" w:hAnsi="Times New Roman" w:cs="Times New Roman"/>
                      <w:color w:val="auto"/>
                      <w:kern w:val="0"/>
                      <w:sz w:val="18"/>
                      <w:szCs w:val="18"/>
                      <w:lang w:val="en-US" w:eastAsia="zh-CN" w:bidi="ar"/>
                    </w:rPr>
                    <w:t>产生的畜禽粪污为例进行分析</w:t>
                  </w:r>
                </w:p>
              </w:tc>
              <w:tc>
                <w:tcPr>
                  <w:tcW w:w="0" w:type="auto"/>
                  <w:vAlign w:val="center"/>
                </w:tcPr>
                <w:p w14:paraId="1E39D417">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60</w:t>
                  </w:r>
                </w:p>
              </w:tc>
              <w:tc>
                <w:tcPr>
                  <w:tcW w:w="0" w:type="auto"/>
                  <w:vAlign w:val="center"/>
                </w:tcPr>
                <w:p w14:paraId="79AD1422">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26A411A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2C07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C2C7EF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城镇污水污泥</w:t>
                  </w:r>
                </w:p>
              </w:tc>
              <w:tc>
                <w:tcPr>
                  <w:tcW w:w="0" w:type="auto"/>
                  <w:vAlign w:val="center"/>
                </w:tcPr>
                <w:p w14:paraId="4B54FFFE">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城镇污水污泥</w:t>
                  </w:r>
                  <w:r>
                    <w:rPr>
                      <w:rFonts w:hint="default" w:ascii="Times New Roman" w:hAnsi="Times New Roman" w:cs="Times New Roman"/>
                      <w:color w:val="auto"/>
                      <w:kern w:val="2"/>
                      <w:sz w:val="18"/>
                      <w:szCs w:val="18"/>
                      <w:lang w:val="en-US" w:eastAsia="zh-CN"/>
                    </w:rPr>
                    <w:t>462</w:t>
                  </w:r>
                  <w:r>
                    <w:rPr>
                      <w:rFonts w:hint="default" w:ascii="Times New Roman" w:hAnsi="Times New Roman" w:eastAsia="宋体" w:cs="Times New Roman"/>
                      <w:color w:val="auto"/>
                      <w:kern w:val="2"/>
                      <w:sz w:val="18"/>
                      <w:szCs w:val="18"/>
                      <w:lang w:eastAsia="zh-CN"/>
                    </w:rPr>
                    <w:t>-001-S</w:t>
                  </w:r>
                  <w:r>
                    <w:rPr>
                      <w:rFonts w:hint="default" w:ascii="Times New Roman" w:hAnsi="Times New Roman" w:cs="Times New Roman"/>
                      <w:color w:val="auto"/>
                      <w:kern w:val="2"/>
                      <w:sz w:val="18"/>
                      <w:szCs w:val="18"/>
                      <w:lang w:val="en-US" w:eastAsia="zh-CN"/>
                    </w:rPr>
                    <w:t>90</w:t>
                  </w:r>
                </w:p>
              </w:tc>
              <w:tc>
                <w:tcPr>
                  <w:tcW w:w="1016" w:type="dxa"/>
                  <w:vMerge w:val="restart"/>
                  <w:vAlign w:val="center"/>
                </w:tcPr>
                <w:p w14:paraId="5B4118F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170000</w:t>
                  </w:r>
                </w:p>
              </w:tc>
              <w:tc>
                <w:tcPr>
                  <w:tcW w:w="2234" w:type="dxa"/>
                  <w:vAlign w:val="center"/>
                </w:tcPr>
                <w:p w14:paraId="2902FF0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来自城镇生活污水处理厂，本评价以</w:t>
                  </w:r>
                  <w:r>
                    <w:rPr>
                      <w:rFonts w:hint="default" w:ascii="Times New Roman" w:hAnsi="Times New Roman" w:eastAsia="宋体" w:cs="Times New Roman"/>
                      <w:color w:val="auto"/>
                      <w:kern w:val="2"/>
                      <w:sz w:val="18"/>
                      <w:szCs w:val="18"/>
                      <w:lang w:eastAsia="zh-CN"/>
                    </w:rPr>
                    <w:t>唐山市唐排润丰水净化有限公司</w:t>
                  </w:r>
                  <w:r>
                    <w:rPr>
                      <w:rFonts w:hint="default" w:ascii="Times New Roman" w:hAnsi="Times New Roman" w:cs="Times New Roman"/>
                      <w:color w:val="auto"/>
                      <w:kern w:val="2"/>
                      <w:sz w:val="18"/>
                      <w:szCs w:val="18"/>
                      <w:lang w:val="en-US" w:eastAsia="zh-CN"/>
                    </w:rPr>
                    <w:t>产生的污泥为例进行分析</w:t>
                  </w:r>
                </w:p>
              </w:tc>
              <w:tc>
                <w:tcPr>
                  <w:tcW w:w="0" w:type="auto"/>
                  <w:vAlign w:val="center"/>
                </w:tcPr>
                <w:p w14:paraId="20A25FA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80</w:t>
                  </w:r>
                </w:p>
              </w:tc>
              <w:tc>
                <w:tcPr>
                  <w:tcW w:w="0" w:type="auto"/>
                  <w:vAlign w:val="center"/>
                </w:tcPr>
                <w:p w14:paraId="151BAED2">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10CD9153">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7015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347B12A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清淤疏浚污泥</w:t>
                  </w:r>
                </w:p>
              </w:tc>
              <w:tc>
                <w:tcPr>
                  <w:tcW w:w="0" w:type="auto"/>
                  <w:vAlign w:val="center"/>
                </w:tcPr>
                <w:p w14:paraId="60AB579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河道，航道清淤底泥900-001-S91</w:t>
                  </w:r>
                </w:p>
              </w:tc>
              <w:tc>
                <w:tcPr>
                  <w:tcW w:w="1016" w:type="dxa"/>
                  <w:vMerge w:val="continue"/>
                  <w:vAlign w:val="center"/>
                </w:tcPr>
                <w:p w14:paraId="3A68676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p>
              </w:tc>
              <w:tc>
                <w:tcPr>
                  <w:tcW w:w="2234" w:type="dxa"/>
                  <w:vAlign w:val="center"/>
                </w:tcPr>
                <w:p w14:paraId="38FF698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来自河道清淤过程，本评价以</w:t>
                  </w:r>
                  <w:r>
                    <w:rPr>
                      <w:rFonts w:hint="default" w:ascii="Times New Roman" w:hAnsi="Times New Roman" w:eastAsia="宋体" w:cs="Times New Roman"/>
                      <w:color w:val="auto"/>
                      <w:kern w:val="2"/>
                      <w:sz w:val="18"/>
                      <w:szCs w:val="18"/>
                      <w:lang w:eastAsia="zh-CN"/>
                    </w:rPr>
                    <w:t>宣桥镇中小河道轮疏工程底泥</w:t>
                  </w:r>
                  <w:r>
                    <w:rPr>
                      <w:rFonts w:hint="default" w:ascii="Times New Roman" w:hAnsi="Times New Roman" w:cs="Times New Roman"/>
                      <w:color w:val="auto"/>
                      <w:kern w:val="2"/>
                      <w:sz w:val="18"/>
                      <w:szCs w:val="18"/>
                      <w:lang w:val="en-US" w:eastAsia="zh-CN"/>
                    </w:rPr>
                    <w:t>为例进行分析</w:t>
                  </w:r>
                </w:p>
              </w:tc>
              <w:tc>
                <w:tcPr>
                  <w:tcW w:w="0" w:type="auto"/>
                  <w:vAlign w:val="center"/>
                </w:tcPr>
                <w:p w14:paraId="08C77B87">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60</w:t>
                  </w:r>
                </w:p>
              </w:tc>
              <w:tc>
                <w:tcPr>
                  <w:tcW w:w="0" w:type="auto"/>
                  <w:vAlign w:val="center"/>
                </w:tcPr>
                <w:p w14:paraId="09CC15E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6AF93C9F">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6461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42B37F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highlight w:val="none"/>
                      <w:lang w:val="en-US" w:eastAsia="zh-CN"/>
                    </w:rPr>
                  </w:pPr>
                </w:p>
              </w:tc>
              <w:tc>
                <w:tcPr>
                  <w:tcW w:w="0" w:type="auto"/>
                  <w:vAlign w:val="center"/>
                </w:tcPr>
                <w:p w14:paraId="64D5CC41">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下水道清洗污泥900-002-S91</w:t>
                  </w:r>
                </w:p>
              </w:tc>
              <w:tc>
                <w:tcPr>
                  <w:tcW w:w="1016" w:type="dxa"/>
                  <w:vMerge w:val="continue"/>
                  <w:vAlign w:val="center"/>
                </w:tcPr>
                <w:p w14:paraId="03843E70">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p>
              </w:tc>
              <w:tc>
                <w:tcPr>
                  <w:tcW w:w="2234" w:type="dxa"/>
                  <w:vAlign w:val="center"/>
                </w:tcPr>
                <w:p w14:paraId="7664BC0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来自下水道清理过程，本评价以</w:t>
                  </w:r>
                  <w:r>
                    <w:rPr>
                      <w:rFonts w:hint="default" w:ascii="Times New Roman" w:hAnsi="Times New Roman" w:eastAsia="宋体" w:cs="Times New Roman"/>
                      <w:color w:val="auto"/>
                      <w:kern w:val="2"/>
                      <w:sz w:val="18"/>
                      <w:szCs w:val="18"/>
                      <w:lang w:eastAsia="zh-CN"/>
                    </w:rPr>
                    <w:t>济宁市海晟水务有限公司</w:t>
                  </w:r>
                  <w:r>
                    <w:rPr>
                      <w:rFonts w:hint="default" w:ascii="Times New Roman" w:hAnsi="Times New Roman" w:cs="Times New Roman"/>
                      <w:color w:val="auto"/>
                      <w:kern w:val="2"/>
                      <w:sz w:val="18"/>
                      <w:szCs w:val="18"/>
                      <w:lang w:val="en-US" w:eastAsia="zh-CN"/>
                    </w:rPr>
                    <w:t>产生的清洗污泥为例进行分析</w:t>
                  </w:r>
                </w:p>
              </w:tc>
              <w:tc>
                <w:tcPr>
                  <w:tcW w:w="0" w:type="auto"/>
                  <w:vAlign w:val="center"/>
                </w:tcPr>
                <w:p w14:paraId="2410066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60</w:t>
                  </w:r>
                </w:p>
              </w:tc>
              <w:tc>
                <w:tcPr>
                  <w:tcW w:w="0" w:type="auto"/>
                  <w:vAlign w:val="center"/>
                </w:tcPr>
                <w:p w14:paraId="5052A62E">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09ACDCC1">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22C7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537DFC2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其他工业固体废物</w:t>
                  </w:r>
                </w:p>
              </w:tc>
              <w:tc>
                <w:tcPr>
                  <w:tcW w:w="0" w:type="auto"/>
                  <w:vAlign w:val="center"/>
                </w:tcPr>
                <w:p w14:paraId="5A711B8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糖渣900-099-S59（烘干后）</w:t>
                  </w:r>
                </w:p>
              </w:tc>
              <w:tc>
                <w:tcPr>
                  <w:tcW w:w="1016" w:type="dxa"/>
                  <w:vMerge w:val="restart"/>
                  <w:vAlign w:val="center"/>
                </w:tcPr>
                <w:p w14:paraId="6FE5C53A">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22500</w:t>
                  </w:r>
                </w:p>
              </w:tc>
              <w:tc>
                <w:tcPr>
                  <w:tcW w:w="2234" w:type="dxa"/>
                  <w:vAlign w:val="center"/>
                </w:tcPr>
                <w:p w14:paraId="0999A61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eastAsia="zh-CN"/>
                    </w:rPr>
                    <w:t>中粮</w:t>
                  </w:r>
                  <w:r>
                    <w:rPr>
                      <w:rFonts w:hint="default" w:ascii="Times New Roman" w:hAnsi="Times New Roman"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唐山</w:t>
                  </w:r>
                  <w:r>
                    <w:rPr>
                      <w:rFonts w:hint="default" w:ascii="Times New Roman" w:hAnsi="Times New Roman"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糖业有限公司</w:t>
                  </w:r>
                  <w:r>
                    <w:rPr>
                      <w:rFonts w:hint="default" w:ascii="Times New Roman" w:hAnsi="Times New Roman" w:eastAsia="宋体" w:cs="Times New Roman"/>
                      <w:color w:val="auto"/>
                      <w:kern w:val="2"/>
                      <w:sz w:val="18"/>
                      <w:szCs w:val="18"/>
                      <w:lang w:val="en-US" w:eastAsia="zh-CN"/>
                    </w:rPr>
                    <w:t>产生的糖渣</w:t>
                  </w:r>
                  <w:r>
                    <w:rPr>
                      <w:rFonts w:hint="default" w:ascii="Times New Roman" w:hAnsi="Times New Roman" w:cs="Times New Roman"/>
                      <w:color w:val="auto"/>
                      <w:kern w:val="0"/>
                      <w:sz w:val="18"/>
                      <w:szCs w:val="18"/>
                      <w:lang w:val="en-US" w:eastAsia="zh-CN" w:bidi="ar"/>
                    </w:rPr>
                    <w:t>为例进行分析</w:t>
                  </w:r>
                </w:p>
              </w:tc>
              <w:tc>
                <w:tcPr>
                  <w:tcW w:w="0" w:type="auto"/>
                  <w:vAlign w:val="center"/>
                </w:tcPr>
                <w:p w14:paraId="22D7881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6</w:t>
                  </w:r>
                  <w:r>
                    <w:rPr>
                      <w:rFonts w:hint="default" w:ascii="Times New Roman" w:hAnsi="Times New Roman" w:eastAsia="宋体" w:cs="Times New Roman"/>
                      <w:color w:val="auto"/>
                      <w:kern w:val="2"/>
                      <w:sz w:val="18"/>
                      <w:szCs w:val="18"/>
                      <w:lang w:val="en-US" w:eastAsia="zh-CN"/>
                    </w:rPr>
                    <w:t>0</w:t>
                  </w:r>
                </w:p>
              </w:tc>
              <w:tc>
                <w:tcPr>
                  <w:tcW w:w="0" w:type="auto"/>
                  <w:vAlign w:val="center"/>
                </w:tcPr>
                <w:p w14:paraId="4A412AF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3330ABA5">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3157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1EDD74E6">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lang w:val="en-US" w:eastAsia="zh-CN"/>
                    </w:rPr>
                  </w:pPr>
                </w:p>
              </w:tc>
              <w:tc>
                <w:tcPr>
                  <w:tcW w:w="0" w:type="auto"/>
                  <w:vAlign w:val="center"/>
                </w:tcPr>
                <w:p w14:paraId="39376D99">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中药渣900-099-S59（烘干后）</w:t>
                  </w:r>
                </w:p>
              </w:tc>
              <w:tc>
                <w:tcPr>
                  <w:tcW w:w="1016" w:type="dxa"/>
                  <w:vMerge w:val="continue"/>
                  <w:vAlign w:val="center"/>
                </w:tcPr>
                <w:p w14:paraId="4FC16B1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p>
              </w:tc>
              <w:tc>
                <w:tcPr>
                  <w:tcW w:w="2234" w:type="dxa"/>
                  <w:vAlign w:val="center"/>
                </w:tcPr>
                <w:p w14:paraId="5376259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cs="Times New Roman"/>
                      <w:color w:val="auto"/>
                      <w:kern w:val="2"/>
                      <w:sz w:val="18"/>
                      <w:szCs w:val="18"/>
                      <w:lang w:eastAsia="zh-CN"/>
                    </w:rPr>
                    <w:t>景忠山国药（唐山）有限公司</w:t>
                  </w:r>
                  <w:r>
                    <w:rPr>
                      <w:rFonts w:hint="default" w:ascii="Times New Roman" w:hAnsi="Times New Roman" w:eastAsia="宋体" w:cs="Times New Roman"/>
                      <w:color w:val="auto"/>
                      <w:kern w:val="2"/>
                      <w:sz w:val="18"/>
                      <w:szCs w:val="18"/>
                      <w:lang w:val="en-US" w:eastAsia="zh-CN"/>
                    </w:rPr>
                    <w:t>产生的</w:t>
                  </w:r>
                  <w:r>
                    <w:rPr>
                      <w:rFonts w:hint="default" w:ascii="Times New Roman" w:hAnsi="Times New Roman" w:cs="Times New Roman"/>
                      <w:color w:val="auto"/>
                      <w:kern w:val="2"/>
                      <w:sz w:val="18"/>
                      <w:szCs w:val="18"/>
                      <w:lang w:val="en-US" w:eastAsia="zh-CN"/>
                    </w:rPr>
                    <w:t>水提工序</w:t>
                  </w:r>
                  <w:r>
                    <w:rPr>
                      <w:rFonts w:hint="default" w:ascii="Times New Roman" w:hAnsi="Times New Roman" w:eastAsia="宋体" w:cs="Times New Roman"/>
                      <w:color w:val="auto"/>
                      <w:kern w:val="2"/>
                      <w:sz w:val="18"/>
                      <w:szCs w:val="18"/>
                      <w:lang w:val="en-US" w:eastAsia="zh-CN"/>
                    </w:rPr>
                    <w:t>中药渣</w:t>
                  </w:r>
                  <w:r>
                    <w:rPr>
                      <w:rFonts w:hint="default" w:ascii="Times New Roman" w:hAnsi="Times New Roman" w:cs="Times New Roman"/>
                      <w:color w:val="auto"/>
                      <w:kern w:val="0"/>
                      <w:sz w:val="18"/>
                      <w:szCs w:val="18"/>
                      <w:lang w:val="en-US" w:eastAsia="zh-CN" w:bidi="ar"/>
                    </w:rPr>
                    <w:t>为例进行分析</w:t>
                  </w:r>
                </w:p>
              </w:tc>
              <w:tc>
                <w:tcPr>
                  <w:tcW w:w="0" w:type="auto"/>
                  <w:vAlign w:val="center"/>
                </w:tcPr>
                <w:p w14:paraId="752F0F24">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6</w:t>
                  </w:r>
                  <w:r>
                    <w:rPr>
                      <w:rFonts w:hint="default" w:ascii="Times New Roman" w:hAnsi="Times New Roman" w:eastAsia="宋体" w:cs="Times New Roman"/>
                      <w:color w:val="auto"/>
                      <w:kern w:val="2"/>
                      <w:sz w:val="18"/>
                      <w:szCs w:val="18"/>
                      <w:lang w:val="en-US" w:eastAsia="zh-CN"/>
                    </w:rPr>
                    <w:t>0</w:t>
                  </w:r>
                </w:p>
              </w:tc>
              <w:tc>
                <w:tcPr>
                  <w:tcW w:w="0" w:type="auto"/>
                  <w:vAlign w:val="center"/>
                </w:tcPr>
                <w:p w14:paraId="6BE4A411">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247094DF">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湿</w:t>
                  </w:r>
                  <w:r>
                    <w:rPr>
                      <w:rFonts w:hint="default" w:ascii="Times New Roman" w:hAnsi="Times New Roman" w:eastAsia="宋体" w:cs="Times New Roman"/>
                      <w:color w:val="auto"/>
                      <w:kern w:val="2"/>
                      <w:sz w:val="18"/>
                      <w:szCs w:val="18"/>
                      <w:lang w:eastAsia="zh-CN"/>
                    </w:rPr>
                    <w:t>原料区</w:t>
                  </w:r>
                </w:p>
              </w:tc>
            </w:tr>
            <w:tr w14:paraId="79F7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78F4B8D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发酵菌</w:t>
                  </w:r>
                </w:p>
              </w:tc>
              <w:tc>
                <w:tcPr>
                  <w:tcW w:w="1016" w:type="dxa"/>
                  <w:vAlign w:val="center"/>
                </w:tcPr>
                <w:p w14:paraId="0198B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i w:val="0"/>
                      <w:iCs w:val="0"/>
                      <w:color w:val="000000"/>
                      <w:kern w:val="0"/>
                      <w:sz w:val="18"/>
                      <w:szCs w:val="18"/>
                      <w:u w:val="none"/>
                      <w:lang w:val="en-US" w:eastAsia="zh-CN" w:bidi="ar"/>
                    </w:rPr>
                    <w:t>500</w:t>
                  </w:r>
                </w:p>
              </w:tc>
              <w:tc>
                <w:tcPr>
                  <w:tcW w:w="2234" w:type="dxa"/>
                  <w:vAlign w:val="center"/>
                </w:tcPr>
                <w:p w14:paraId="36BAEE5C">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外购成品</w:t>
                  </w:r>
                </w:p>
              </w:tc>
              <w:tc>
                <w:tcPr>
                  <w:tcW w:w="0" w:type="auto"/>
                  <w:vAlign w:val="center"/>
                </w:tcPr>
                <w:p w14:paraId="12727F7B">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w:t>
                  </w:r>
                </w:p>
              </w:tc>
              <w:tc>
                <w:tcPr>
                  <w:tcW w:w="0" w:type="auto"/>
                  <w:vAlign w:val="center"/>
                </w:tcPr>
                <w:p w14:paraId="6BF66873">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袋装</w:t>
                  </w:r>
                </w:p>
              </w:tc>
              <w:tc>
                <w:tcPr>
                  <w:tcW w:w="0" w:type="auto"/>
                  <w:vAlign w:val="center"/>
                </w:tcPr>
                <w:p w14:paraId="6B4ECDC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6101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0331C8B7">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合计</w:t>
                  </w:r>
                </w:p>
              </w:tc>
              <w:tc>
                <w:tcPr>
                  <w:tcW w:w="1016" w:type="dxa"/>
                  <w:vAlign w:val="center"/>
                </w:tcPr>
                <w:p w14:paraId="7819D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230000</w:t>
                  </w:r>
                </w:p>
              </w:tc>
              <w:tc>
                <w:tcPr>
                  <w:tcW w:w="2234" w:type="dxa"/>
                  <w:vAlign w:val="center"/>
                </w:tcPr>
                <w:p w14:paraId="110ADB80">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034C229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3208933F">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0D7B8B9D">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bl>
          <w:p w14:paraId="311017C0">
            <w:pPr>
              <w:keepNext w:val="0"/>
              <w:keepLines w:val="0"/>
              <w:suppressLineNumbers w:val="0"/>
              <w:spacing w:before="0" w:beforeAutospacing="0" w:after="0" w:afterAutospacing="0"/>
              <w:ind w:left="0" w:right="0" w:firstLine="482" w:firstLineChars="200"/>
              <w:jc w:val="center"/>
              <w:rPr>
                <w:rFonts w:hint="default" w:ascii="Times New Roman" w:hAnsi="Times New Roman" w:cs="Times New Roman"/>
                <w:b/>
                <w:bCs/>
                <w:sz w:val="24"/>
              </w:rPr>
            </w:pPr>
          </w:p>
          <w:p w14:paraId="5487C9E5">
            <w:pPr>
              <w:keepNext w:val="0"/>
              <w:keepLines w:val="0"/>
              <w:suppressLineNumbers w:val="0"/>
              <w:spacing w:before="0" w:beforeAutospacing="0" w:after="0" w:afterAutospacing="0"/>
              <w:ind w:left="0" w:right="0" w:firstLine="482" w:firstLineChars="200"/>
              <w:jc w:val="center"/>
              <w:rPr>
                <w:rFonts w:hint="default" w:ascii="Times New Roman" w:hAnsi="Times New Roman" w:cs="Times New Roman"/>
                <w:b/>
                <w:bCs/>
                <w:sz w:val="24"/>
              </w:rPr>
            </w:pPr>
          </w:p>
          <w:p w14:paraId="3F1F39DB">
            <w:pPr>
              <w:keepNext w:val="0"/>
              <w:keepLines w:val="0"/>
              <w:suppressLineNumbers w:val="0"/>
              <w:spacing w:before="0" w:beforeAutospacing="0" w:after="0" w:afterAutospacing="0"/>
              <w:ind w:left="0" w:right="0" w:firstLine="482" w:firstLineChars="20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14</w:t>
            </w:r>
            <w:r>
              <w:rPr>
                <w:rFonts w:hint="default" w:ascii="Times New Roman" w:hAnsi="Times New Roman" w:cs="Times New Roman"/>
                <w:b/>
                <w:bCs/>
                <w:sz w:val="24"/>
              </w:rPr>
              <w:t xml:space="preserve">  </w:t>
            </w:r>
            <w:r>
              <w:rPr>
                <w:rFonts w:hint="default" w:ascii="Times New Roman" w:hAnsi="Times New Roman" w:cs="Times New Roman"/>
                <w:b/>
                <w:bCs/>
                <w:sz w:val="24"/>
                <w:lang w:val="en-US" w:eastAsia="zh-CN"/>
              </w:rPr>
              <w:t>替代燃料颗粒生产线</w:t>
            </w:r>
            <w:r>
              <w:rPr>
                <w:rFonts w:hint="default" w:ascii="Times New Roman" w:hAnsi="Times New Roman" w:cs="Times New Roman"/>
                <w:b/>
                <w:bCs/>
                <w:sz w:val="24"/>
              </w:rPr>
              <w:t>原辅材料消耗一览表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1271"/>
              <w:gridCol w:w="765"/>
              <w:gridCol w:w="4695"/>
              <w:gridCol w:w="396"/>
              <w:gridCol w:w="396"/>
              <w:gridCol w:w="397"/>
            </w:tblGrid>
            <w:tr w14:paraId="3794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gridSpan w:val="2"/>
                  <w:vAlign w:val="center"/>
                </w:tcPr>
                <w:p w14:paraId="704B3E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名称</w:t>
                  </w:r>
                </w:p>
              </w:tc>
              <w:tc>
                <w:tcPr>
                  <w:tcW w:w="839" w:type="dxa"/>
                  <w:vAlign w:val="center"/>
                </w:tcPr>
                <w:p w14:paraId="2620872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用量</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t</w:t>
                  </w:r>
                  <w:r>
                    <w:rPr>
                      <w:rFonts w:hint="default" w:ascii="Times New Roman" w:hAnsi="Times New Roman" w:cs="Times New Roman"/>
                      <w:color w:val="auto"/>
                      <w:kern w:val="2"/>
                      <w:sz w:val="18"/>
                      <w:szCs w:val="18"/>
                      <w:lang w:eastAsia="zh-CN"/>
                    </w:rPr>
                    <w:t>）</w:t>
                  </w:r>
                </w:p>
              </w:tc>
              <w:tc>
                <w:tcPr>
                  <w:tcW w:w="0" w:type="auto"/>
                  <w:vAlign w:val="center"/>
                </w:tcPr>
                <w:p w14:paraId="005B2C8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来源</w:t>
                  </w:r>
                </w:p>
              </w:tc>
              <w:tc>
                <w:tcPr>
                  <w:tcW w:w="0" w:type="auto"/>
                  <w:vAlign w:val="center"/>
                </w:tcPr>
                <w:p w14:paraId="6C6F3B3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含水率</w:t>
                  </w:r>
                </w:p>
              </w:tc>
              <w:tc>
                <w:tcPr>
                  <w:tcW w:w="0" w:type="auto"/>
                  <w:vAlign w:val="center"/>
                </w:tcPr>
                <w:p w14:paraId="2A694ED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包装方式</w:t>
                  </w:r>
                </w:p>
              </w:tc>
              <w:tc>
                <w:tcPr>
                  <w:tcW w:w="0" w:type="auto"/>
                  <w:vAlign w:val="center"/>
                </w:tcPr>
                <w:p w14:paraId="06800F6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存放位置</w:t>
                  </w:r>
                </w:p>
              </w:tc>
            </w:tr>
            <w:tr w14:paraId="6D17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restart"/>
                  <w:vAlign w:val="center"/>
                </w:tcPr>
                <w:p w14:paraId="0D415BB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可再生类废物</w:t>
                  </w:r>
                </w:p>
              </w:tc>
              <w:tc>
                <w:tcPr>
                  <w:tcW w:w="1822" w:type="dxa"/>
                  <w:shd w:val="clear" w:color="auto" w:fill="auto"/>
                  <w:vAlign w:val="center"/>
                </w:tcPr>
                <w:p w14:paraId="0A4BEBF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废纸900-005-S17（不需烘干）</w:t>
                  </w:r>
                </w:p>
              </w:tc>
              <w:tc>
                <w:tcPr>
                  <w:tcW w:w="839" w:type="dxa"/>
                  <w:vMerge w:val="restart"/>
                  <w:shd w:val="clear" w:color="auto" w:fill="auto"/>
                  <w:vAlign w:val="center"/>
                </w:tcPr>
                <w:p w14:paraId="44E0D91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37500</w:t>
                  </w:r>
                </w:p>
              </w:tc>
              <w:tc>
                <w:tcPr>
                  <w:tcW w:w="3245" w:type="dxa"/>
                  <w:vMerge w:val="restart"/>
                  <w:shd w:val="clear" w:color="auto" w:fill="auto"/>
                  <w:vAlign w:val="center"/>
                </w:tcPr>
                <w:p w14:paraId="2B3B055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本评价以来自</w:t>
                  </w:r>
                  <w:r>
                    <w:rPr>
                      <w:rFonts w:hint="default" w:ascii="Times New Roman" w:hAnsi="Times New Roman" w:eastAsia="宋体" w:cs="Times New Roman"/>
                      <w:color w:val="auto"/>
                      <w:kern w:val="2"/>
                      <w:sz w:val="18"/>
                      <w:szCs w:val="18"/>
                      <w:lang w:val="en-US" w:eastAsia="zh-CN"/>
                    </w:rPr>
                    <w:t>唐山安邦久义环保技术有限公司</w:t>
                  </w:r>
                  <w:r>
                    <w:rPr>
                      <w:rFonts w:hint="default" w:ascii="Times New Roman" w:hAnsi="Times New Roman" w:cs="Times New Roman"/>
                      <w:color w:val="auto"/>
                      <w:kern w:val="2"/>
                      <w:sz w:val="18"/>
                      <w:szCs w:val="18"/>
                      <w:lang w:val="en-US" w:eastAsia="zh-CN"/>
                    </w:rPr>
                    <w:t>的废纸、废纺织品、废木材为例进行分析：废纸主要来源于纸浆制造、造纸等生产流程，涵盖废纸碎浆、脱墨、筛浆、备料、碱回收等工段产生的各类废渣、绿泥、石灰渣、尾渣，以及印刷行业废版和造纸印刷领域其他固体废物；</w:t>
                  </w:r>
                </w:p>
                <w:p w14:paraId="601E5B93">
                  <w:pPr>
                    <w:keepNext w:val="0"/>
                    <w:keepLines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废纺织品主要来源于机织服装制造、皮革鞣制加工及纺织皮革相关行业生产过程，包含制丝废丝、皮革磨革革屑革灰、脱毛废弃动物毛，以及纺织皮革加工产生的其他一般工业固体废物；</w:t>
                  </w:r>
                </w:p>
                <w:p w14:paraId="798A9FB2">
                  <w:pPr>
                    <w:keepNext w:val="0"/>
                    <w:keepLines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废木材：为保证项目产品高燃烧值、不结焦等特性，本项目严格控制原材料来源，只回收改木场、家具厂边角料，各包装公司、运输公司损坏木托盘，农村房屋拆迁废旧木材等含水率较低的原料，不回收含喷漆、水泥等大量杂质的木料。</w:t>
                  </w:r>
                </w:p>
              </w:tc>
              <w:tc>
                <w:tcPr>
                  <w:tcW w:w="0" w:type="auto"/>
                  <w:shd w:val="clear" w:color="auto" w:fill="auto"/>
                  <w:vAlign w:val="center"/>
                </w:tcPr>
                <w:p w14:paraId="4C3F17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10</w:t>
                  </w:r>
                </w:p>
              </w:tc>
              <w:tc>
                <w:tcPr>
                  <w:tcW w:w="0" w:type="auto"/>
                  <w:shd w:val="clear" w:color="auto" w:fill="auto"/>
                  <w:vAlign w:val="center"/>
                </w:tcPr>
                <w:p w14:paraId="248EC54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0" w:type="auto"/>
                  <w:shd w:val="clear" w:color="auto" w:fill="auto"/>
                  <w:vAlign w:val="center"/>
                </w:tcPr>
                <w:p w14:paraId="4C07BCB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26DF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continue"/>
                  <w:vAlign w:val="center"/>
                </w:tcPr>
                <w:p w14:paraId="05278EB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822" w:type="dxa"/>
                  <w:shd w:val="clear" w:color="auto" w:fill="auto"/>
                  <w:vAlign w:val="center"/>
                </w:tcPr>
                <w:p w14:paraId="662EA75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废纺织品900-007-S17（不需烘干）</w:t>
                  </w:r>
                </w:p>
              </w:tc>
              <w:tc>
                <w:tcPr>
                  <w:tcW w:w="839" w:type="dxa"/>
                  <w:vMerge w:val="continue"/>
                  <w:shd w:val="clear" w:color="auto" w:fill="auto"/>
                  <w:vAlign w:val="center"/>
                </w:tcPr>
                <w:p w14:paraId="646E26A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p>
              </w:tc>
              <w:tc>
                <w:tcPr>
                  <w:tcW w:w="3245" w:type="dxa"/>
                  <w:vMerge w:val="continue"/>
                  <w:shd w:val="clear" w:color="auto" w:fill="auto"/>
                  <w:vAlign w:val="center"/>
                </w:tcPr>
                <w:p w14:paraId="16413E2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p>
              </w:tc>
              <w:tc>
                <w:tcPr>
                  <w:tcW w:w="0" w:type="auto"/>
                  <w:shd w:val="clear" w:color="auto" w:fill="auto"/>
                  <w:vAlign w:val="center"/>
                </w:tcPr>
                <w:p w14:paraId="4934CC8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10</w:t>
                  </w:r>
                </w:p>
              </w:tc>
              <w:tc>
                <w:tcPr>
                  <w:tcW w:w="0" w:type="auto"/>
                  <w:shd w:val="clear" w:color="auto" w:fill="auto"/>
                  <w:vAlign w:val="center"/>
                </w:tcPr>
                <w:p w14:paraId="2C53501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0" w:type="auto"/>
                  <w:shd w:val="clear" w:color="auto" w:fill="auto"/>
                  <w:vAlign w:val="center"/>
                </w:tcPr>
                <w:p w14:paraId="212C7E2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2803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continue"/>
                  <w:vAlign w:val="center"/>
                </w:tcPr>
                <w:p w14:paraId="2DC1AAF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822" w:type="dxa"/>
                  <w:shd w:val="clear" w:color="auto" w:fill="auto"/>
                  <w:vAlign w:val="center"/>
                </w:tcPr>
                <w:p w14:paraId="5FF6B5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废木材900-009-S17（不需烘干）</w:t>
                  </w:r>
                </w:p>
              </w:tc>
              <w:tc>
                <w:tcPr>
                  <w:tcW w:w="839" w:type="dxa"/>
                  <w:vMerge w:val="continue"/>
                  <w:shd w:val="clear" w:color="auto" w:fill="auto"/>
                  <w:vAlign w:val="center"/>
                </w:tcPr>
                <w:p w14:paraId="21116FF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p>
              </w:tc>
              <w:tc>
                <w:tcPr>
                  <w:tcW w:w="3245" w:type="dxa"/>
                  <w:vMerge w:val="continue"/>
                  <w:shd w:val="clear" w:color="auto" w:fill="auto"/>
                  <w:vAlign w:val="center"/>
                </w:tcPr>
                <w:p w14:paraId="04D22D5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p>
              </w:tc>
              <w:tc>
                <w:tcPr>
                  <w:tcW w:w="0" w:type="auto"/>
                  <w:shd w:val="clear" w:color="auto" w:fill="auto"/>
                  <w:vAlign w:val="center"/>
                </w:tcPr>
                <w:p w14:paraId="1E8606F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20</w:t>
                  </w:r>
                </w:p>
              </w:tc>
              <w:tc>
                <w:tcPr>
                  <w:tcW w:w="0" w:type="auto"/>
                  <w:shd w:val="clear" w:color="auto" w:fill="auto"/>
                  <w:vAlign w:val="center"/>
                </w:tcPr>
                <w:p w14:paraId="664AC9D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0" w:type="auto"/>
                  <w:shd w:val="clear" w:color="auto" w:fill="auto"/>
                  <w:vAlign w:val="center"/>
                </w:tcPr>
                <w:p w14:paraId="290EA3E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0FE8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Align w:val="center"/>
                </w:tcPr>
                <w:p w14:paraId="0F86E91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其他工业固体废物</w:t>
                  </w:r>
                </w:p>
              </w:tc>
              <w:tc>
                <w:tcPr>
                  <w:tcW w:w="1822" w:type="dxa"/>
                  <w:vAlign w:val="center"/>
                </w:tcPr>
                <w:p w14:paraId="1B24B78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废除尘布袋、废包装物900-099-S59（不需烘干）</w:t>
                  </w:r>
                </w:p>
              </w:tc>
              <w:tc>
                <w:tcPr>
                  <w:tcW w:w="839" w:type="dxa"/>
                  <w:vMerge w:val="continue"/>
                  <w:vAlign w:val="center"/>
                </w:tcPr>
                <w:p w14:paraId="6194627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4493598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cs="Times New Roman"/>
                      <w:color w:val="auto"/>
                      <w:kern w:val="2"/>
                      <w:sz w:val="18"/>
                      <w:szCs w:val="18"/>
                      <w:lang w:val="en-US" w:eastAsia="zh-CN"/>
                    </w:rPr>
                    <w:t>河北实丰绿建科技发展有限公司产生的废布袋、废包装物为例进行分析</w:t>
                  </w:r>
                </w:p>
              </w:tc>
              <w:tc>
                <w:tcPr>
                  <w:tcW w:w="0" w:type="auto"/>
                  <w:vAlign w:val="center"/>
                </w:tcPr>
                <w:p w14:paraId="1603D54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77077F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5786227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4B60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restart"/>
                  <w:vAlign w:val="center"/>
                </w:tcPr>
                <w:p w14:paraId="3ACBB24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可回收物</w:t>
                  </w:r>
                </w:p>
              </w:tc>
              <w:tc>
                <w:tcPr>
                  <w:tcW w:w="1822" w:type="dxa"/>
                  <w:vAlign w:val="center"/>
                </w:tcPr>
                <w:p w14:paraId="194741A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废纸900-001-S62（不需烘干）</w:t>
                  </w:r>
                </w:p>
              </w:tc>
              <w:tc>
                <w:tcPr>
                  <w:tcW w:w="839" w:type="dxa"/>
                  <w:vMerge w:val="continue"/>
                  <w:vAlign w:val="center"/>
                </w:tcPr>
                <w:p w14:paraId="67E17CD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5A81B16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家庭日常生活或者为日常生活提供服务的活动中产生的适宜回收利用的各类废书籍、报纸、纸板箱、纸塑铝复合包装等纸制品</w:t>
                  </w:r>
                </w:p>
              </w:tc>
              <w:tc>
                <w:tcPr>
                  <w:tcW w:w="0" w:type="auto"/>
                  <w:vAlign w:val="center"/>
                </w:tcPr>
                <w:p w14:paraId="68F9934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12796E1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47D09DE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7E95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continue"/>
                  <w:vAlign w:val="center"/>
                </w:tcPr>
                <w:p w14:paraId="6306C46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822" w:type="dxa"/>
                  <w:vAlign w:val="center"/>
                </w:tcPr>
                <w:p w14:paraId="313AE8F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废纺织物900-005-S62（不需烘干）</w:t>
                  </w:r>
                </w:p>
              </w:tc>
              <w:tc>
                <w:tcPr>
                  <w:tcW w:w="839" w:type="dxa"/>
                  <w:vMerge w:val="continue"/>
                  <w:vAlign w:val="center"/>
                </w:tcPr>
                <w:p w14:paraId="573C844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7F696A2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家庭日常生活或者为日常生活提供服务的活动中产生的适宜回收利用的各类废旧衣物、穿戴用品、床上用品、布艺用品等纺织物</w:t>
                  </w:r>
                </w:p>
              </w:tc>
              <w:tc>
                <w:tcPr>
                  <w:tcW w:w="0" w:type="auto"/>
                  <w:vAlign w:val="center"/>
                </w:tcPr>
                <w:p w14:paraId="2E056E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7A1DBE1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03F2AF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4403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74" w:type="dxa"/>
                  <w:vMerge w:val="restart"/>
                  <w:vAlign w:val="center"/>
                </w:tcPr>
                <w:p w14:paraId="207CF32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烘干后固废</w:t>
                  </w:r>
                </w:p>
              </w:tc>
              <w:tc>
                <w:tcPr>
                  <w:tcW w:w="1822" w:type="dxa"/>
                  <w:shd w:val="clear" w:color="auto" w:fill="auto"/>
                  <w:vAlign w:val="center"/>
                </w:tcPr>
                <w:p w14:paraId="1A56D8F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林业废物020-001-S81（烘干后）</w:t>
                  </w:r>
                </w:p>
              </w:tc>
              <w:tc>
                <w:tcPr>
                  <w:tcW w:w="839" w:type="dxa"/>
                  <w:shd w:val="clear" w:color="auto" w:fill="auto"/>
                  <w:vAlign w:val="center"/>
                </w:tcPr>
                <w:p w14:paraId="7FB4547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3750</w:t>
                  </w:r>
                </w:p>
              </w:tc>
              <w:tc>
                <w:tcPr>
                  <w:tcW w:w="0" w:type="auto"/>
                  <w:shd w:val="clear" w:color="auto" w:fill="auto"/>
                  <w:vAlign w:val="center"/>
                </w:tcPr>
                <w:p w14:paraId="534B6D7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林业生产</w:t>
                  </w:r>
                </w:p>
              </w:tc>
              <w:tc>
                <w:tcPr>
                  <w:tcW w:w="0" w:type="auto"/>
                  <w:shd w:val="clear" w:color="auto" w:fill="auto"/>
                  <w:vAlign w:val="center"/>
                </w:tcPr>
                <w:p w14:paraId="0586E07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20</w:t>
                  </w:r>
                </w:p>
              </w:tc>
              <w:tc>
                <w:tcPr>
                  <w:tcW w:w="0" w:type="auto"/>
                  <w:shd w:val="clear" w:color="auto" w:fill="auto"/>
                  <w:vAlign w:val="center"/>
                </w:tcPr>
                <w:p w14:paraId="6E8441A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0" w:type="auto"/>
                  <w:shd w:val="clear" w:color="auto" w:fill="auto"/>
                  <w:vAlign w:val="center"/>
                </w:tcPr>
                <w:p w14:paraId="0CD5068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7B9B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74" w:type="dxa"/>
                  <w:vMerge w:val="continue"/>
                  <w:vAlign w:val="center"/>
                </w:tcPr>
                <w:p w14:paraId="2C1F194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822" w:type="dxa"/>
                  <w:vAlign w:val="center"/>
                </w:tcPr>
                <w:p w14:paraId="44E88F0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作物秸秆010-002-S80</w:t>
                  </w:r>
                  <w:r>
                    <w:rPr>
                      <w:rFonts w:hint="default" w:ascii="Times New Roman" w:hAnsi="Times New Roman" w:cs="Times New Roman"/>
                      <w:color w:val="auto"/>
                      <w:kern w:val="2"/>
                      <w:sz w:val="18"/>
                      <w:szCs w:val="18"/>
                      <w:lang w:val="en-US" w:eastAsia="zh-CN"/>
                    </w:rPr>
                    <w:t>（烘干后）</w:t>
                  </w:r>
                </w:p>
              </w:tc>
              <w:tc>
                <w:tcPr>
                  <w:tcW w:w="839" w:type="dxa"/>
                  <w:vAlign w:val="center"/>
                </w:tcPr>
                <w:p w14:paraId="4F11F60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18750</w:t>
                  </w:r>
                </w:p>
              </w:tc>
              <w:tc>
                <w:tcPr>
                  <w:tcW w:w="0" w:type="auto"/>
                  <w:vAlign w:val="center"/>
                </w:tcPr>
                <w:p w14:paraId="32CEEBD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农业生产</w:t>
                  </w:r>
                </w:p>
              </w:tc>
              <w:tc>
                <w:tcPr>
                  <w:tcW w:w="0" w:type="auto"/>
                  <w:vAlign w:val="center"/>
                </w:tcPr>
                <w:p w14:paraId="27D044C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w:t>
                  </w:r>
                  <w:r>
                    <w:rPr>
                      <w:rFonts w:hint="default" w:ascii="Times New Roman" w:hAnsi="Times New Roman" w:eastAsia="宋体" w:cs="Times New Roman"/>
                      <w:color w:val="auto"/>
                      <w:kern w:val="2"/>
                      <w:sz w:val="18"/>
                      <w:szCs w:val="18"/>
                      <w:lang w:val="en-US" w:eastAsia="zh-CN"/>
                    </w:rPr>
                    <w:t>0</w:t>
                  </w:r>
                </w:p>
              </w:tc>
              <w:tc>
                <w:tcPr>
                  <w:tcW w:w="0" w:type="auto"/>
                  <w:vAlign w:val="center"/>
                </w:tcPr>
                <w:p w14:paraId="47350B5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053A46A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2F25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74" w:type="dxa"/>
                  <w:vMerge w:val="continue"/>
                  <w:vAlign w:val="center"/>
                </w:tcPr>
                <w:p w14:paraId="1ACF568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822" w:type="dxa"/>
                  <w:shd w:val="clear" w:color="auto" w:fill="auto"/>
                  <w:vAlign w:val="center"/>
                </w:tcPr>
                <w:p w14:paraId="1F3D7C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提铜渣浆900-099-S59</w:t>
                  </w:r>
                  <w:r>
                    <w:rPr>
                      <w:rFonts w:hint="default" w:ascii="Times New Roman" w:hAnsi="Times New Roman" w:cs="Times New Roman"/>
                      <w:color w:val="auto"/>
                      <w:kern w:val="2"/>
                      <w:sz w:val="18"/>
                      <w:szCs w:val="18"/>
                      <w:lang w:val="en-US" w:eastAsia="zh-CN"/>
                    </w:rPr>
                    <w:t>（烘干后）</w:t>
                  </w:r>
                </w:p>
              </w:tc>
              <w:tc>
                <w:tcPr>
                  <w:tcW w:w="839" w:type="dxa"/>
                  <w:shd w:val="clear" w:color="auto" w:fill="auto"/>
                  <w:vAlign w:val="center"/>
                </w:tcPr>
                <w:p w14:paraId="07F5985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7500</w:t>
                  </w:r>
                </w:p>
              </w:tc>
              <w:tc>
                <w:tcPr>
                  <w:tcW w:w="0" w:type="auto"/>
                  <w:shd w:val="clear" w:color="auto" w:fill="auto"/>
                  <w:vAlign w:val="center"/>
                </w:tcPr>
                <w:p w14:paraId="471B522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eastAsia="zh-CN"/>
                    </w:rPr>
                    <w:t>唐山三友硅业有限责任公司</w:t>
                  </w:r>
                  <w:r>
                    <w:rPr>
                      <w:rFonts w:hint="default" w:ascii="Times New Roman" w:hAnsi="Times New Roman" w:eastAsia="宋体" w:cs="Times New Roman"/>
                      <w:color w:val="auto"/>
                      <w:kern w:val="2"/>
                      <w:sz w:val="18"/>
                      <w:szCs w:val="18"/>
                      <w:lang w:val="en-US" w:eastAsia="zh-CN"/>
                    </w:rPr>
                    <w:t>产生的提铜渣浆</w:t>
                  </w:r>
                  <w:r>
                    <w:rPr>
                      <w:rFonts w:hint="default" w:ascii="Times New Roman" w:hAnsi="Times New Roman" w:cs="Times New Roman"/>
                      <w:color w:val="auto"/>
                      <w:kern w:val="0"/>
                      <w:sz w:val="18"/>
                      <w:szCs w:val="18"/>
                      <w:lang w:val="en-US" w:eastAsia="zh-CN" w:bidi="ar"/>
                    </w:rPr>
                    <w:t>为例进行分析，根据《唐山三友硅业有限责任公司70t/d提铜固渣焚烧项目可行性研究报告》，提铜固渣主要含碳（13.6%）、硅（41.46%）、铜（0.45%）、氯（0.62%）等元素，</w:t>
                  </w:r>
                  <w:r>
                    <w:rPr>
                      <w:rFonts w:hint="default" w:ascii="Times New Roman" w:hAnsi="Times New Roman" w:eastAsia="宋体" w:cs="Times New Roman"/>
                      <w:color w:val="auto"/>
                      <w:kern w:val="2"/>
                      <w:sz w:val="18"/>
                      <w:szCs w:val="18"/>
                      <w:lang w:val="en-US" w:eastAsia="zh-CN"/>
                    </w:rPr>
                    <w:t>提铜渣浆</w:t>
                  </w:r>
                  <w:r>
                    <w:rPr>
                      <w:rFonts w:hint="default" w:ascii="Times New Roman" w:hAnsi="Times New Roman" w:cs="Times New Roman"/>
                      <w:color w:val="auto"/>
                      <w:kern w:val="0"/>
                      <w:sz w:val="18"/>
                      <w:szCs w:val="18"/>
                      <w:lang w:val="en-US" w:eastAsia="zh-CN" w:bidi="ar"/>
                    </w:rPr>
                    <w:t>热值约2000kcal/kg。</w:t>
                  </w:r>
                </w:p>
              </w:tc>
              <w:tc>
                <w:tcPr>
                  <w:tcW w:w="0" w:type="auto"/>
                  <w:shd w:val="clear" w:color="auto" w:fill="auto"/>
                  <w:vAlign w:val="center"/>
                </w:tcPr>
                <w:p w14:paraId="78ABE60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rPr>
                    <w:t>60</w:t>
                  </w:r>
                </w:p>
              </w:tc>
              <w:tc>
                <w:tcPr>
                  <w:tcW w:w="0" w:type="auto"/>
                  <w:shd w:val="clear" w:color="auto" w:fill="auto"/>
                  <w:vAlign w:val="center"/>
                </w:tcPr>
                <w:p w14:paraId="1D39D0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散装</w:t>
                  </w:r>
                </w:p>
              </w:tc>
              <w:tc>
                <w:tcPr>
                  <w:tcW w:w="0" w:type="auto"/>
                  <w:shd w:val="clear" w:color="auto" w:fill="auto"/>
                  <w:vAlign w:val="center"/>
                </w:tcPr>
                <w:p w14:paraId="2C50C77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1463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596" w:type="dxa"/>
                  <w:gridSpan w:val="2"/>
                  <w:vAlign w:val="center"/>
                </w:tcPr>
                <w:p w14:paraId="0E468C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营养土</w:t>
                  </w:r>
                  <w:r>
                    <w:rPr>
                      <w:rFonts w:hint="default" w:ascii="Times New Roman" w:hAnsi="Times New Roman" w:eastAsia="宋体" w:cs="Times New Roman"/>
                      <w:color w:val="auto"/>
                      <w:kern w:val="2"/>
                      <w:sz w:val="18"/>
                      <w:szCs w:val="18"/>
                      <w:lang w:eastAsia="zh-CN"/>
                    </w:rPr>
                    <w:t>（自产）</w:t>
                  </w:r>
                  <w:r>
                    <w:rPr>
                      <w:rFonts w:hint="default" w:ascii="Times New Roman" w:hAnsi="Times New Roman" w:cs="Times New Roman"/>
                      <w:color w:val="auto"/>
                      <w:kern w:val="2"/>
                      <w:sz w:val="18"/>
                      <w:szCs w:val="18"/>
                      <w:lang w:val="en-US" w:eastAsia="zh-CN"/>
                    </w:rPr>
                    <w:t>（烘干后）</w:t>
                  </w:r>
                </w:p>
              </w:tc>
              <w:tc>
                <w:tcPr>
                  <w:tcW w:w="839" w:type="dxa"/>
                  <w:vAlign w:val="center"/>
                </w:tcPr>
                <w:p w14:paraId="0AA2247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45</w:t>
                  </w:r>
                  <w:r>
                    <w:rPr>
                      <w:rFonts w:hint="default" w:ascii="Times New Roman" w:hAnsi="Times New Roman" w:eastAsia="宋体" w:cs="Times New Roman"/>
                      <w:color w:val="auto"/>
                      <w:kern w:val="2"/>
                      <w:sz w:val="18"/>
                      <w:szCs w:val="18"/>
                      <w:lang w:val="en-US" w:eastAsia="zh-CN"/>
                    </w:rPr>
                    <w:t>000</w:t>
                  </w:r>
                </w:p>
              </w:tc>
              <w:tc>
                <w:tcPr>
                  <w:tcW w:w="0" w:type="auto"/>
                  <w:vAlign w:val="center"/>
                </w:tcPr>
                <w:p w14:paraId="498349A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自产</w:t>
                  </w:r>
                </w:p>
              </w:tc>
              <w:tc>
                <w:tcPr>
                  <w:tcW w:w="0" w:type="auto"/>
                  <w:vAlign w:val="center"/>
                </w:tcPr>
                <w:p w14:paraId="4F286E1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20</w:t>
                  </w:r>
                </w:p>
              </w:tc>
              <w:tc>
                <w:tcPr>
                  <w:tcW w:w="0" w:type="auto"/>
                  <w:vAlign w:val="center"/>
                </w:tcPr>
                <w:p w14:paraId="06E537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6D19ACB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1FF4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596" w:type="dxa"/>
                  <w:gridSpan w:val="2"/>
                  <w:vAlign w:val="center"/>
                </w:tcPr>
                <w:p w14:paraId="293C2371">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合计</w:t>
                  </w:r>
                </w:p>
              </w:tc>
              <w:tc>
                <w:tcPr>
                  <w:tcW w:w="839" w:type="dxa"/>
                  <w:vAlign w:val="center"/>
                </w:tcPr>
                <w:p w14:paraId="4383F62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112500</w:t>
                  </w:r>
                </w:p>
              </w:tc>
              <w:tc>
                <w:tcPr>
                  <w:tcW w:w="0" w:type="auto"/>
                  <w:vAlign w:val="center"/>
                </w:tcPr>
                <w:p w14:paraId="3F0BBC47">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03FAC070">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6185C4B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0011EB5C">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bl>
          <w:p w14:paraId="45CF278D">
            <w:pPr>
              <w:keepNext w:val="0"/>
              <w:keepLines w:val="0"/>
              <w:suppressLineNumbers w:val="0"/>
              <w:spacing w:before="0" w:beforeAutospacing="0" w:after="0" w:afterAutospacing="0"/>
              <w:ind w:left="0" w:right="0" w:firstLine="482" w:firstLineChars="20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15</w:t>
            </w:r>
            <w:r>
              <w:rPr>
                <w:rFonts w:hint="default" w:ascii="Times New Roman" w:hAnsi="Times New Roman" w:cs="Times New Roman"/>
                <w:b/>
                <w:bCs/>
                <w:sz w:val="24"/>
              </w:rPr>
              <w:t xml:space="preserve">  </w:t>
            </w:r>
            <w:r>
              <w:rPr>
                <w:rFonts w:hint="default" w:ascii="Times New Roman" w:hAnsi="Times New Roman" w:cs="Times New Roman"/>
                <w:b/>
                <w:bCs/>
                <w:sz w:val="24"/>
                <w:lang w:val="en-US" w:eastAsia="zh-CN"/>
              </w:rPr>
              <w:t>免烧砖生产线</w:t>
            </w:r>
            <w:r>
              <w:rPr>
                <w:rFonts w:hint="default" w:ascii="Times New Roman" w:hAnsi="Times New Roman" w:cs="Times New Roman"/>
                <w:b/>
                <w:bCs/>
                <w:sz w:val="24"/>
              </w:rPr>
              <w:t>原辅材料消耗一览表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550"/>
              <w:gridCol w:w="811"/>
              <w:gridCol w:w="3926"/>
              <w:gridCol w:w="481"/>
              <w:gridCol w:w="524"/>
              <w:gridCol w:w="524"/>
            </w:tblGrid>
            <w:tr w14:paraId="1D67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4E3D148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名称</w:t>
                  </w:r>
                </w:p>
              </w:tc>
              <w:tc>
                <w:tcPr>
                  <w:tcW w:w="0" w:type="auto"/>
                  <w:vAlign w:val="center"/>
                </w:tcPr>
                <w:p w14:paraId="0E927E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用量</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t</w:t>
                  </w:r>
                  <w:r>
                    <w:rPr>
                      <w:rFonts w:hint="default" w:ascii="Times New Roman" w:hAnsi="Times New Roman" w:cs="Times New Roman"/>
                      <w:color w:val="auto"/>
                      <w:kern w:val="2"/>
                      <w:sz w:val="18"/>
                      <w:szCs w:val="18"/>
                      <w:lang w:eastAsia="zh-CN"/>
                    </w:rPr>
                    <w:t>）</w:t>
                  </w:r>
                </w:p>
              </w:tc>
              <w:tc>
                <w:tcPr>
                  <w:tcW w:w="0" w:type="auto"/>
                  <w:vAlign w:val="center"/>
                </w:tcPr>
                <w:p w14:paraId="1C3F128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来源</w:t>
                  </w:r>
                </w:p>
              </w:tc>
              <w:tc>
                <w:tcPr>
                  <w:tcW w:w="0" w:type="auto"/>
                  <w:vAlign w:val="center"/>
                </w:tcPr>
                <w:p w14:paraId="79D7D27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含水率</w:t>
                  </w:r>
                </w:p>
              </w:tc>
              <w:tc>
                <w:tcPr>
                  <w:tcW w:w="0" w:type="auto"/>
                  <w:vAlign w:val="center"/>
                </w:tcPr>
                <w:p w14:paraId="742C1FF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包装方式</w:t>
                  </w:r>
                </w:p>
              </w:tc>
              <w:tc>
                <w:tcPr>
                  <w:tcW w:w="0" w:type="auto"/>
                  <w:vAlign w:val="center"/>
                </w:tcPr>
                <w:p w14:paraId="31330DA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存放位置</w:t>
                  </w:r>
                </w:p>
              </w:tc>
            </w:tr>
            <w:tr w14:paraId="0269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gridSpan w:val="2"/>
                  <w:vAlign w:val="center"/>
                </w:tcPr>
                <w:p w14:paraId="6B11137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水泥</w:t>
                  </w:r>
                </w:p>
              </w:tc>
              <w:tc>
                <w:tcPr>
                  <w:tcW w:w="0" w:type="auto"/>
                  <w:vAlign w:val="center"/>
                </w:tcPr>
                <w:p w14:paraId="2B5C06C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rPr>
                    <w:t>3</w:t>
                  </w:r>
                  <w:r>
                    <w:rPr>
                      <w:rFonts w:hint="default" w:ascii="Times New Roman" w:hAnsi="Times New Roman" w:cs="Times New Roman"/>
                      <w:color w:val="auto"/>
                      <w:kern w:val="2"/>
                      <w:sz w:val="18"/>
                      <w:szCs w:val="18"/>
                      <w:lang w:val="en-US" w:eastAsia="zh-CN"/>
                    </w:rPr>
                    <w:t>0000</w:t>
                  </w:r>
                </w:p>
              </w:tc>
              <w:tc>
                <w:tcPr>
                  <w:tcW w:w="0" w:type="auto"/>
                  <w:vAlign w:val="center"/>
                </w:tcPr>
                <w:p w14:paraId="3A647A8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外购</w:t>
                  </w:r>
                </w:p>
              </w:tc>
              <w:tc>
                <w:tcPr>
                  <w:tcW w:w="0" w:type="auto"/>
                  <w:vAlign w:val="center"/>
                </w:tcPr>
                <w:p w14:paraId="2EE52A5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0" w:type="auto"/>
                  <w:vAlign w:val="center"/>
                </w:tcPr>
                <w:p w14:paraId="03A10DF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水泥仓</w:t>
                  </w:r>
                </w:p>
              </w:tc>
              <w:tc>
                <w:tcPr>
                  <w:tcW w:w="0" w:type="auto"/>
                  <w:vAlign w:val="center"/>
                </w:tcPr>
                <w:p w14:paraId="6F03D2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水泥仓</w:t>
                  </w:r>
                </w:p>
              </w:tc>
            </w:tr>
            <w:tr w14:paraId="10BB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Align w:val="center"/>
                </w:tcPr>
                <w:p w14:paraId="487DA62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脱硫石膏</w:t>
                  </w:r>
                </w:p>
              </w:tc>
              <w:tc>
                <w:tcPr>
                  <w:tcW w:w="0" w:type="auto"/>
                  <w:vAlign w:val="center"/>
                </w:tcPr>
                <w:p w14:paraId="40A400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脱硫石膏900-099-S06</w:t>
                  </w:r>
                  <w:r>
                    <w:rPr>
                      <w:rFonts w:hint="default" w:ascii="Times New Roman" w:hAnsi="Times New Roman" w:cs="Times New Roman"/>
                      <w:color w:val="auto"/>
                      <w:kern w:val="2"/>
                      <w:sz w:val="18"/>
                      <w:szCs w:val="18"/>
                      <w:lang w:val="en-US" w:eastAsia="zh-CN"/>
                    </w:rPr>
                    <w:t>（烘干后）</w:t>
                  </w:r>
                </w:p>
              </w:tc>
              <w:tc>
                <w:tcPr>
                  <w:tcW w:w="0" w:type="auto"/>
                  <w:vAlign w:val="center"/>
                </w:tcPr>
                <w:p w14:paraId="7F2E9F6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70</w:t>
                  </w:r>
                  <w:r>
                    <w:rPr>
                      <w:rFonts w:hint="default" w:ascii="Times New Roman" w:hAnsi="Times New Roman" w:eastAsia="宋体" w:cs="Times New Roman"/>
                      <w:color w:val="auto"/>
                      <w:kern w:val="2"/>
                      <w:sz w:val="18"/>
                      <w:szCs w:val="18"/>
                      <w:lang w:val="en-US" w:eastAsia="zh-CN"/>
                    </w:rPr>
                    <w:t>000</w:t>
                  </w:r>
                </w:p>
              </w:tc>
              <w:tc>
                <w:tcPr>
                  <w:tcW w:w="0" w:type="auto"/>
                  <w:vAlign w:val="center"/>
                </w:tcPr>
                <w:p w14:paraId="26ABE7F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val="en-US" w:eastAsia="zh-CN"/>
                    </w:rPr>
                    <w:t>唐山三友化工股份有限公司产生的脱硫石膏</w:t>
                  </w:r>
                  <w:r>
                    <w:rPr>
                      <w:rFonts w:hint="default" w:ascii="Times New Roman" w:hAnsi="Times New Roman" w:cs="Times New Roman"/>
                      <w:color w:val="auto"/>
                      <w:kern w:val="0"/>
                      <w:sz w:val="18"/>
                      <w:szCs w:val="18"/>
                      <w:lang w:val="en-US" w:eastAsia="zh-CN" w:bidi="ar"/>
                    </w:rPr>
                    <w:t>为例进行分析</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呈</w:t>
                  </w:r>
                  <w:r>
                    <w:rPr>
                      <w:rFonts w:hint="default" w:ascii="Times New Roman" w:hAnsi="Times New Roman" w:eastAsia="宋体" w:cs="Times New Roman"/>
                      <w:color w:val="auto"/>
                      <w:kern w:val="2"/>
                      <w:sz w:val="18"/>
                      <w:szCs w:val="18"/>
                      <w:lang w:eastAsia="zh-CN"/>
                    </w:rPr>
                    <w:t>湿粉状</w:t>
                  </w:r>
                </w:p>
              </w:tc>
              <w:tc>
                <w:tcPr>
                  <w:tcW w:w="0" w:type="auto"/>
                  <w:vAlign w:val="center"/>
                </w:tcPr>
                <w:p w14:paraId="0A96857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20</w:t>
                  </w:r>
                </w:p>
              </w:tc>
              <w:tc>
                <w:tcPr>
                  <w:tcW w:w="0" w:type="auto"/>
                  <w:vAlign w:val="center"/>
                </w:tcPr>
                <w:p w14:paraId="3B682E9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54D5449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4FED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Align w:val="center"/>
                </w:tcPr>
                <w:p w14:paraId="013E5B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钢渣</w:t>
                  </w:r>
                </w:p>
              </w:tc>
              <w:tc>
                <w:tcPr>
                  <w:tcW w:w="0" w:type="auto"/>
                  <w:vAlign w:val="center"/>
                </w:tcPr>
                <w:p w14:paraId="2F1E25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炼钢钢渣312-001-S01</w:t>
                  </w:r>
                </w:p>
              </w:tc>
              <w:tc>
                <w:tcPr>
                  <w:tcW w:w="0" w:type="auto"/>
                  <w:vMerge w:val="restart"/>
                  <w:vAlign w:val="center"/>
                </w:tcPr>
                <w:p w14:paraId="0B9A50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110000</w:t>
                  </w:r>
                </w:p>
              </w:tc>
              <w:tc>
                <w:tcPr>
                  <w:tcW w:w="0" w:type="auto"/>
                  <w:vAlign w:val="center"/>
                </w:tcPr>
                <w:p w14:paraId="78F16FF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0"/>
                      <w:sz w:val="18"/>
                      <w:szCs w:val="18"/>
                      <w:lang w:val="en-US" w:eastAsia="zh-CN" w:bidi="ar"/>
                    </w:rPr>
                    <w:t>唐山东华钢铁企业集团有限公司</w:t>
                  </w:r>
                  <w:r>
                    <w:rPr>
                      <w:rFonts w:hint="default" w:ascii="Times New Roman" w:hAnsi="Times New Roman" w:cs="Times New Roman"/>
                      <w:color w:val="auto"/>
                      <w:kern w:val="0"/>
                      <w:sz w:val="18"/>
                      <w:szCs w:val="18"/>
                      <w:lang w:val="en-US" w:eastAsia="zh-CN" w:bidi="ar"/>
                    </w:rPr>
                    <w:t>产生的钢渣为例进行分析，唐山东华钢铁产生的钢渣主要为‌转炉炼钢过程产生、经过热焖处理的转炉钢渣</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粒径约5–100mm</w:t>
                  </w:r>
                  <w:r>
                    <w:rPr>
                      <w:rFonts w:hint="default" w:ascii="Times New Roman" w:hAnsi="Times New Roman" w:cs="Times New Roman"/>
                      <w:color w:val="auto"/>
                      <w:kern w:val="0"/>
                      <w:sz w:val="18"/>
                      <w:szCs w:val="18"/>
                      <w:lang w:val="en-US" w:eastAsia="zh-CN" w:bidi="ar"/>
                    </w:rPr>
                    <w:t>‌</w:t>
                  </w:r>
                </w:p>
              </w:tc>
              <w:tc>
                <w:tcPr>
                  <w:tcW w:w="0" w:type="auto"/>
                  <w:vAlign w:val="center"/>
                </w:tcPr>
                <w:p w14:paraId="1665667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20683D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12C41036">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25ED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restart"/>
                  <w:vAlign w:val="center"/>
                </w:tcPr>
                <w:p w14:paraId="4295AAD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粉煤灰</w:t>
                  </w:r>
                </w:p>
              </w:tc>
              <w:tc>
                <w:tcPr>
                  <w:tcW w:w="0" w:type="auto"/>
                  <w:vAlign w:val="center"/>
                </w:tcPr>
                <w:p w14:paraId="1FF4156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燃煤设施粉煤灰900-001-S02</w:t>
                  </w:r>
                </w:p>
              </w:tc>
              <w:tc>
                <w:tcPr>
                  <w:tcW w:w="0" w:type="auto"/>
                  <w:vMerge w:val="continue"/>
                  <w:vAlign w:val="center"/>
                </w:tcPr>
                <w:p w14:paraId="2A1889A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00DBC24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cs="Times New Roman"/>
                      <w:color w:val="auto"/>
                      <w:kern w:val="2"/>
                      <w:sz w:val="18"/>
                      <w:szCs w:val="18"/>
                      <w:lang w:val="en-US" w:eastAsia="zh-CN"/>
                    </w:rPr>
                    <w:t>唐山三友化工股份有限公司热电分公司产生的粉煤灰为例进行分析，粒径约0.5~300μm</w:t>
                  </w:r>
                </w:p>
              </w:tc>
              <w:tc>
                <w:tcPr>
                  <w:tcW w:w="0" w:type="auto"/>
                  <w:vAlign w:val="center"/>
                </w:tcPr>
                <w:p w14:paraId="55B791F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Merge w:val="restart"/>
                  <w:vAlign w:val="center"/>
                </w:tcPr>
                <w:p w14:paraId="4A0D4EE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粉煤灰仓</w:t>
                  </w:r>
                </w:p>
              </w:tc>
              <w:tc>
                <w:tcPr>
                  <w:tcW w:w="0" w:type="auto"/>
                  <w:vAlign w:val="center"/>
                </w:tcPr>
                <w:p w14:paraId="2160A97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粉煤灰仓</w:t>
                  </w:r>
                </w:p>
              </w:tc>
            </w:tr>
            <w:tr w14:paraId="5EFE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continue"/>
                  <w:vAlign w:val="center"/>
                </w:tcPr>
                <w:p w14:paraId="74A5EEE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0" w:type="auto"/>
                  <w:vAlign w:val="center"/>
                </w:tcPr>
                <w:p w14:paraId="021779F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电厂协同处置粉煤灰900-002-S02</w:t>
                  </w:r>
                </w:p>
              </w:tc>
              <w:tc>
                <w:tcPr>
                  <w:tcW w:w="0" w:type="auto"/>
                  <w:vMerge w:val="continue"/>
                  <w:vAlign w:val="center"/>
                </w:tcPr>
                <w:p w14:paraId="6ADA14B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51026FF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val="en-US" w:eastAsia="zh-CN"/>
                    </w:rPr>
                    <w:t>江西大唐国际新余发电有限责任公司</w:t>
                  </w:r>
                  <w:r>
                    <w:rPr>
                      <w:rFonts w:hint="default" w:ascii="Times New Roman" w:hAnsi="Times New Roman" w:cs="Times New Roman"/>
                      <w:color w:val="auto"/>
                      <w:kern w:val="2"/>
                      <w:sz w:val="18"/>
                      <w:szCs w:val="18"/>
                      <w:lang w:val="en-US" w:eastAsia="zh-CN"/>
                    </w:rPr>
                    <w:t>产生的粉煤灰为例进行分析，粒径约0.5~300μm</w:t>
                  </w:r>
                </w:p>
              </w:tc>
              <w:tc>
                <w:tcPr>
                  <w:tcW w:w="0" w:type="auto"/>
                  <w:vAlign w:val="center"/>
                </w:tcPr>
                <w:p w14:paraId="10C8393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Merge w:val="continue"/>
                  <w:vAlign w:val="center"/>
                </w:tcPr>
                <w:p w14:paraId="2911412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67CF1E2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33F9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restart"/>
                  <w:vAlign w:val="center"/>
                </w:tcPr>
                <w:p w14:paraId="26D4E98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炉渣</w:t>
                  </w:r>
                </w:p>
              </w:tc>
              <w:tc>
                <w:tcPr>
                  <w:tcW w:w="0" w:type="auto"/>
                  <w:vAlign w:val="center"/>
                </w:tcPr>
                <w:p w14:paraId="04BB5BD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生活垃圾焚烧炉渣441-001-S03</w:t>
                  </w:r>
                </w:p>
              </w:tc>
              <w:tc>
                <w:tcPr>
                  <w:tcW w:w="0" w:type="auto"/>
                  <w:vMerge w:val="continue"/>
                  <w:vAlign w:val="center"/>
                </w:tcPr>
                <w:p w14:paraId="074D65B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4156D67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0"/>
                      <w:sz w:val="18"/>
                      <w:szCs w:val="18"/>
                      <w:lang w:val="en-US" w:eastAsia="zh-CN" w:bidi="ar"/>
                    </w:rPr>
                    <w:t>本评价以</w:t>
                  </w:r>
                  <w:r>
                    <w:rPr>
                      <w:rFonts w:hint="default" w:ascii="Times New Roman" w:hAnsi="Times New Roman" w:eastAsia="宋体" w:cs="Times New Roman"/>
                      <w:color w:val="auto"/>
                      <w:kern w:val="2"/>
                      <w:sz w:val="18"/>
                      <w:szCs w:val="18"/>
                      <w:lang w:val="en-US" w:eastAsia="zh-CN"/>
                    </w:rPr>
                    <w:t>唐山嘉盛新能源有限公司</w:t>
                  </w:r>
                  <w:r>
                    <w:rPr>
                      <w:rFonts w:hint="default" w:ascii="Times New Roman" w:hAnsi="Times New Roman" w:cs="Times New Roman"/>
                      <w:color w:val="auto"/>
                      <w:kern w:val="2"/>
                      <w:sz w:val="18"/>
                      <w:szCs w:val="18"/>
                      <w:lang w:val="en-US" w:eastAsia="zh-CN"/>
                    </w:rPr>
                    <w:t>产生的炉渣为例进行分析，粒径约2～50mm</w:t>
                  </w:r>
                </w:p>
              </w:tc>
              <w:tc>
                <w:tcPr>
                  <w:tcW w:w="0" w:type="auto"/>
                  <w:vAlign w:val="center"/>
                </w:tcPr>
                <w:p w14:paraId="767B354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7D5AED6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32A77B6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4C39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continue"/>
                  <w:vAlign w:val="center"/>
                </w:tcPr>
                <w:p w14:paraId="27EC7F1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0" w:type="auto"/>
                  <w:vAlign w:val="center"/>
                </w:tcPr>
                <w:p w14:paraId="723F837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煤炭燃烧炉渣900-001-S03</w:t>
                  </w:r>
                </w:p>
              </w:tc>
              <w:tc>
                <w:tcPr>
                  <w:tcW w:w="0" w:type="auto"/>
                  <w:vMerge w:val="continue"/>
                  <w:vAlign w:val="center"/>
                </w:tcPr>
                <w:p w14:paraId="2F8629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777A963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Helvetica" w:cs="Times New Roman"/>
                      <w:i w:val="0"/>
                      <w:iCs w:val="0"/>
                      <w:caps w:val="0"/>
                      <w:color w:val="424242"/>
                      <w:spacing w:val="0"/>
                      <w:kern w:val="2"/>
                      <w:sz w:val="18"/>
                      <w:szCs w:val="18"/>
                      <w:shd w:val="clear" w:fill="FFFFFF"/>
                    </w:rPr>
                    <w:t>煤炭燃烧产生的炉渣</w:t>
                  </w:r>
                  <w:r>
                    <w:rPr>
                      <w:rFonts w:hint="default" w:ascii="Times New Roman" w:hAnsi="Times New Roman" w:cs="Times New Roman"/>
                      <w:color w:val="auto"/>
                      <w:kern w:val="2"/>
                      <w:sz w:val="18"/>
                      <w:szCs w:val="18"/>
                      <w:lang w:val="en-US" w:eastAsia="zh-CN"/>
                    </w:rPr>
                    <w:t>，粒径约1～100mm</w:t>
                  </w:r>
                </w:p>
              </w:tc>
              <w:tc>
                <w:tcPr>
                  <w:tcW w:w="0" w:type="auto"/>
                  <w:vAlign w:val="center"/>
                </w:tcPr>
                <w:p w14:paraId="76BB630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06BF5E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0AC28661">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1DF4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Merge w:val="continue"/>
                  <w:vAlign w:val="center"/>
                </w:tcPr>
                <w:p w14:paraId="1D3C69D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0" w:type="auto"/>
                  <w:vAlign w:val="center"/>
                </w:tcPr>
                <w:p w14:paraId="63AFCDE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生物质燃烧炉渣900-099-S03</w:t>
                  </w:r>
                </w:p>
              </w:tc>
              <w:tc>
                <w:tcPr>
                  <w:tcW w:w="0" w:type="auto"/>
                  <w:vMerge w:val="continue"/>
                  <w:vAlign w:val="center"/>
                </w:tcPr>
                <w:p w14:paraId="24E8CDB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2BEFD9D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Helvetica" w:cs="Times New Roman"/>
                      <w:i w:val="0"/>
                      <w:iCs w:val="0"/>
                      <w:caps w:val="0"/>
                      <w:color w:val="424242"/>
                      <w:spacing w:val="0"/>
                      <w:kern w:val="2"/>
                      <w:sz w:val="18"/>
                      <w:szCs w:val="18"/>
                      <w:shd w:val="clear" w:fill="FFFFFF"/>
                    </w:rPr>
                    <w:t>农林生物质燃烧产生的炉渣</w:t>
                  </w:r>
                  <w:r>
                    <w:rPr>
                      <w:rFonts w:hint="default" w:ascii="Times New Roman" w:hAnsi="Times New Roman" w:cs="Times New Roman"/>
                      <w:color w:val="auto"/>
                      <w:kern w:val="2"/>
                      <w:sz w:val="18"/>
                      <w:szCs w:val="18"/>
                      <w:lang w:val="en-US" w:eastAsia="zh-CN"/>
                    </w:rPr>
                    <w:t>，粒径约0.2～10mm</w:t>
                  </w:r>
                </w:p>
              </w:tc>
              <w:tc>
                <w:tcPr>
                  <w:tcW w:w="0" w:type="auto"/>
                  <w:vAlign w:val="center"/>
                </w:tcPr>
                <w:p w14:paraId="21B626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2725362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6CAA37E4">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3D60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Align w:val="center"/>
                </w:tcPr>
                <w:p w14:paraId="354AAB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尾矿</w:t>
                  </w:r>
                </w:p>
              </w:tc>
              <w:tc>
                <w:tcPr>
                  <w:tcW w:w="0" w:type="auto"/>
                  <w:vAlign w:val="center"/>
                </w:tcPr>
                <w:p w14:paraId="279226F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铁尾矿081-001-S05</w:t>
                  </w:r>
                </w:p>
              </w:tc>
              <w:tc>
                <w:tcPr>
                  <w:tcW w:w="0" w:type="auto"/>
                  <w:vMerge w:val="continue"/>
                  <w:vAlign w:val="center"/>
                </w:tcPr>
                <w:p w14:paraId="5BB36AF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7231201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kern w:val="2"/>
                      <w:sz w:val="18"/>
                      <w:szCs w:val="18"/>
                    </w:rPr>
                    <w:t>铁选矿尾矿</w:t>
                  </w:r>
                  <w:r>
                    <w:rPr>
                      <w:rFonts w:hint="default" w:ascii="Times New Roman" w:hAnsi="Times New Roman" w:cs="Times New Roman"/>
                      <w:kern w:val="2"/>
                      <w:sz w:val="18"/>
                      <w:szCs w:val="18"/>
                      <w:lang w:val="en-US" w:eastAsia="zh-CN"/>
                    </w:rPr>
                    <w:t>砂</w:t>
                  </w:r>
                  <w:r>
                    <w:rPr>
                      <w:rFonts w:hint="default" w:ascii="Times New Roman" w:hAnsi="Times New Roman" w:cs="Times New Roman"/>
                      <w:color w:val="auto"/>
                      <w:kern w:val="2"/>
                      <w:sz w:val="18"/>
                      <w:szCs w:val="18"/>
                      <w:lang w:val="en-US" w:eastAsia="zh-CN"/>
                    </w:rPr>
                    <w:t>，粒径约0.15～4.75mm</w:t>
                  </w:r>
                </w:p>
              </w:tc>
              <w:tc>
                <w:tcPr>
                  <w:tcW w:w="0" w:type="auto"/>
                  <w:vAlign w:val="center"/>
                </w:tcPr>
                <w:p w14:paraId="680C09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1C718F1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2D8FBB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53A4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vAlign w:val="center"/>
                </w:tcPr>
                <w:p w14:paraId="19B5052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非特定行业</w:t>
                  </w:r>
                </w:p>
              </w:tc>
              <w:tc>
                <w:tcPr>
                  <w:tcW w:w="0" w:type="auto"/>
                  <w:vAlign w:val="center"/>
                </w:tcPr>
                <w:p w14:paraId="26B5A7A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脱硫剂900-099-S59</w:t>
                  </w:r>
                </w:p>
              </w:tc>
              <w:tc>
                <w:tcPr>
                  <w:tcW w:w="0" w:type="auto"/>
                  <w:vMerge w:val="continue"/>
                  <w:vAlign w:val="center"/>
                </w:tcPr>
                <w:p w14:paraId="1EA388E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vAlign w:val="center"/>
                </w:tcPr>
                <w:p w14:paraId="138DBE9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46CA554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0" w:type="auto"/>
                  <w:vAlign w:val="center"/>
                </w:tcPr>
                <w:p w14:paraId="52A9F47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散装</w:t>
                  </w:r>
                </w:p>
              </w:tc>
              <w:tc>
                <w:tcPr>
                  <w:tcW w:w="0" w:type="auto"/>
                  <w:vAlign w:val="center"/>
                </w:tcPr>
                <w:p w14:paraId="0307F0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干</w:t>
                  </w:r>
                  <w:r>
                    <w:rPr>
                      <w:rFonts w:hint="default" w:ascii="Times New Roman" w:hAnsi="Times New Roman" w:eastAsia="宋体" w:cs="Times New Roman"/>
                      <w:color w:val="auto"/>
                      <w:kern w:val="2"/>
                      <w:sz w:val="18"/>
                      <w:szCs w:val="18"/>
                      <w:lang w:eastAsia="zh-CN"/>
                    </w:rPr>
                    <w:t>原料区</w:t>
                  </w:r>
                </w:p>
              </w:tc>
            </w:tr>
            <w:tr w14:paraId="68C9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gridSpan w:val="2"/>
                  <w:vAlign w:val="center"/>
                </w:tcPr>
                <w:p w14:paraId="784352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固化剂</w:t>
                  </w:r>
                </w:p>
              </w:tc>
              <w:tc>
                <w:tcPr>
                  <w:tcW w:w="0" w:type="auto"/>
                  <w:vAlign w:val="center"/>
                </w:tcPr>
                <w:p w14:paraId="63AF4C7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5000</w:t>
                  </w:r>
                </w:p>
              </w:tc>
              <w:tc>
                <w:tcPr>
                  <w:tcW w:w="0" w:type="auto"/>
                  <w:vAlign w:val="center"/>
                </w:tcPr>
                <w:p w14:paraId="524B5E82">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主要成分为硅酸钠‌、‌丙烯酸酯乳液‌及‌氢氧化钙等</w:t>
                  </w:r>
                </w:p>
              </w:tc>
              <w:tc>
                <w:tcPr>
                  <w:tcW w:w="0" w:type="auto"/>
                  <w:vAlign w:val="center"/>
                </w:tcPr>
                <w:p w14:paraId="307FF0B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3C1450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740C3D75">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r w14:paraId="53F5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0" w:type="auto"/>
                  <w:gridSpan w:val="2"/>
                  <w:vAlign w:val="center"/>
                </w:tcPr>
                <w:p w14:paraId="22F774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合计</w:t>
                  </w:r>
                </w:p>
              </w:tc>
              <w:tc>
                <w:tcPr>
                  <w:tcW w:w="0" w:type="auto"/>
                  <w:vAlign w:val="center"/>
                </w:tcPr>
                <w:p w14:paraId="415224A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215000</w:t>
                  </w:r>
                </w:p>
              </w:tc>
              <w:tc>
                <w:tcPr>
                  <w:tcW w:w="0" w:type="auto"/>
                  <w:vAlign w:val="center"/>
                </w:tcPr>
                <w:p w14:paraId="64F0717A">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3CCA669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29FC86E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c>
                <w:tcPr>
                  <w:tcW w:w="0" w:type="auto"/>
                  <w:vAlign w:val="center"/>
                </w:tcPr>
                <w:p w14:paraId="602BBB7B">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w:t>
                  </w:r>
                </w:p>
              </w:tc>
            </w:tr>
          </w:tbl>
          <w:p w14:paraId="0DEEA160">
            <w:pPr>
              <w:keepNext w:val="0"/>
              <w:keepLines w:val="0"/>
              <w:suppressLineNumbers w:val="0"/>
              <w:spacing w:before="0" w:beforeAutospacing="0" w:after="0" w:afterAutospacing="0"/>
              <w:ind w:left="0" w:right="0" w:firstLine="482" w:firstLineChars="20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16</w:t>
            </w:r>
            <w:r>
              <w:rPr>
                <w:rFonts w:hint="default" w:ascii="Times New Roman" w:hAnsi="Times New Roman" w:cs="Times New Roman"/>
                <w:b/>
                <w:bCs/>
                <w:sz w:val="24"/>
              </w:rPr>
              <w:t xml:space="preserve">  </w:t>
            </w:r>
            <w:r>
              <w:rPr>
                <w:rFonts w:hint="default" w:ascii="Times New Roman" w:hAnsi="Times New Roman" w:cs="Times New Roman"/>
                <w:b/>
                <w:bCs/>
                <w:sz w:val="24"/>
                <w:lang w:val="en-US" w:eastAsia="zh-CN"/>
              </w:rPr>
              <w:t>本项目其他辅料及主要能源</w:t>
            </w:r>
            <w:r>
              <w:rPr>
                <w:rFonts w:hint="default" w:ascii="Times New Roman" w:hAnsi="Times New Roman" w:cs="Times New Roman"/>
                <w:b/>
                <w:bCs/>
                <w:sz w:val="24"/>
              </w:rPr>
              <w:t>消耗一览表</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1638"/>
              <w:gridCol w:w="1413"/>
              <w:gridCol w:w="3994"/>
            </w:tblGrid>
            <w:tr w14:paraId="60FE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538DFDC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名称</w:t>
                  </w:r>
                </w:p>
              </w:tc>
              <w:tc>
                <w:tcPr>
                  <w:tcW w:w="977" w:type="pct"/>
                  <w:vAlign w:val="center"/>
                </w:tcPr>
                <w:p w14:paraId="4B04F03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单位</w:t>
                  </w:r>
                </w:p>
              </w:tc>
              <w:tc>
                <w:tcPr>
                  <w:tcW w:w="843" w:type="pct"/>
                  <w:vAlign w:val="center"/>
                </w:tcPr>
                <w:p w14:paraId="2E522B3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用量</w:t>
                  </w:r>
                </w:p>
              </w:tc>
              <w:tc>
                <w:tcPr>
                  <w:tcW w:w="2383" w:type="pct"/>
                  <w:vAlign w:val="center"/>
                </w:tcPr>
                <w:p w14:paraId="4130A49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其他</w:t>
                  </w:r>
                </w:p>
              </w:tc>
            </w:tr>
            <w:tr w14:paraId="2ED3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24FF65B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活性炭</w:t>
                  </w:r>
                </w:p>
              </w:tc>
              <w:tc>
                <w:tcPr>
                  <w:tcW w:w="977" w:type="pct"/>
                  <w:vAlign w:val="center"/>
                </w:tcPr>
                <w:p w14:paraId="3A19B1C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6473C40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2383" w:type="pct"/>
                  <w:vAlign w:val="center"/>
                </w:tcPr>
                <w:p w14:paraId="1DF5B2E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外购</w:t>
                  </w:r>
                </w:p>
              </w:tc>
            </w:tr>
            <w:tr w14:paraId="408C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3581231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絮凝剂</w:t>
                  </w:r>
                </w:p>
              </w:tc>
              <w:tc>
                <w:tcPr>
                  <w:tcW w:w="977" w:type="pct"/>
                  <w:vAlign w:val="center"/>
                </w:tcPr>
                <w:p w14:paraId="6DDAB46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7398A0C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w:t>
                  </w:r>
                </w:p>
              </w:tc>
              <w:tc>
                <w:tcPr>
                  <w:tcW w:w="2383" w:type="pct"/>
                  <w:vAlign w:val="center"/>
                </w:tcPr>
                <w:p w14:paraId="5A4FFDE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外购，桶装</w:t>
                  </w:r>
                </w:p>
              </w:tc>
            </w:tr>
            <w:tr w14:paraId="69F8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28386F8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消毒剂</w:t>
                  </w:r>
                </w:p>
              </w:tc>
              <w:tc>
                <w:tcPr>
                  <w:tcW w:w="977" w:type="pct"/>
                  <w:vAlign w:val="center"/>
                </w:tcPr>
                <w:p w14:paraId="043DABC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22E50DB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0.1</w:t>
                  </w:r>
                </w:p>
              </w:tc>
              <w:tc>
                <w:tcPr>
                  <w:tcW w:w="2383" w:type="pct"/>
                  <w:vAlign w:val="center"/>
                </w:tcPr>
                <w:p w14:paraId="7D425C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外购，次氯酸钠</w:t>
                  </w:r>
                </w:p>
              </w:tc>
            </w:tr>
            <w:tr w14:paraId="2C58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690552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润滑油</w:t>
                  </w:r>
                </w:p>
              </w:tc>
              <w:tc>
                <w:tcPr>
                  <w:tcW w:w="977" w:type="pct"/>
                  <w:vAlign w:val="center"/>
                </w:tcPr>
                <w:p w14:paraId="540800A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35F71D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0.0</w:t>
                  </w:r>
                  <w:r>
                    <w:rPr>
                      <w:rFonts w:hint="default" w:ascii="Times New Roman" w:hAnsi="Times New Roman" w:eastAsia="宋体" w:cs="Times New Roman"/>
                      <w:color w:val="auto"/>
                      <w:kern w:val="2"/>
                      <w:sz w:val="18"/>
                      <w:szCs w:val="18"/>
                      <w:lang w:val="en-US" w:eastAsia="zh-CN"/>
                    </w:rPr>
                    <w:t>3</w:t>
                  </w:r>
                </w:p>
              </w:tc>
              <w:tc>
                <w:tcPr>
                  <w:tcW w:w="2383" w:type="pct"/>
                  <w:vAlign w:val="center"/>
                </w:tcPr>
                <w:p w14:paraId="412DE25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外购，桶装</w:t>
                  </w:r>
                </w:p>
              </w:tc>
            </w:tr>
            <w:tr w14:paraId="1A30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7C6A772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液压油</w:t>
                  </w:r>
                </w:p>
              </w:tc>
              <w:tc>
                <w:tcPr>
                  <w:tcW w:w="977" w:type="pct"/>
                  <w:vAlign w:val="center"/>
                </w:tcPr>
                <w:p w14:paraId="38EECD9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28E944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0.0</w:t>
                  </w:r>
                  <w:r>
                    <w:rPr>
                      <w:rFonts w:hint="default" w:ascii="Times New Roman" w:hAnsi="Times New Roman" w:eastAsia="宋体" w:cs="Times New Roman"/>
                      <w:color w:val="auto"/>
                      <w:kern w:val="2"/>
                      <w:sz w:val="18"/>
                      <w:szCs w:val="18"/>
                      <w:lang w:val="en-US" w:eastAsia="zh-CN"/>
                    </w:rPr>
                    <w:t>6</w:t>
                  </w:r>
                </w:p>
              </w:tc>
              <w:tc>
                <w:tcPr>
                  <w:tcW w:w="2383" w:type="pct"/>
                  <w:vAlign w:val="center"/>
                </w:tcPr>
                <w:p w14:paraId="25C644B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外购，桶装</w:t>
                  </w:r>
                </w:p>
              </w:tc>
            </w:tr>
            <w:tr w14:paraId="666D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450F5C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除臭剂</w:t>
                  </w:r>
                </w:p>
              </w:tc>
              <w:tc>
                <w:tcPr>
                  <w:tcW w:w="977" w:type="pct"/>
                  <w:vAlign w:val="center"/>
                </w:tcPr>
                <w:p w14:paraId="2F20744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503AA6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3</w:t>
                  </w:r>
                </w:p>
              </w:tc>
              <w:tc>
                <w:tcPr>
                  <w:tcW w:w="2383" w:type="pct"/>
                  <w:vAlign w:val="center"/>
                </w:tcPr>
                <w:p w14:paraId="524B12C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生物除臭剂，外购，桶装</w:t>
                  </w:r>
                </w:p>
              </w:tc>
            </w:tr>
            <w:tr w14:paraId="760B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077196A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脱硫剂</w:t>
                  </w:r>
                </w:p>
              </w:tc>
              <w:tc>
                <w:tcPr>
                  <w:tcW w:w="977" w:type="pct"/>
                  <w:shd w:val="clear" w:color="auto" w:fill="auto"/>
                  <w:vAlign w:val="center"/>
                </w:tcPr>
                <w:p w14:paraId="436D5EB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34485A1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30</w:t>
                  </w:r>
                </w:p>
              </w:tc>
              <w:tc>
                <w:tcPr>
                  <w:tcW w:w="2383" w:type="pct"/>
                  <w:vAlign w:val="center"/>
                </w:tcPr>
                <w:p w14:paraId="15BE99A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外购，用于干法脱硫，主要成分‌：氧化钙、氢氧化钙、碳酸钙等</w:t>
                  </w:r>
                </w:p>
              </w:tc>
            </w:tr>
            <w:tr w14:paraId="383F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0FC940ED">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脱硝催化剂</w:t>
                  </w:r>
                </w:p>
              </w:tc>
              <w:tc>
                <w:tcPr>
                  <w:tcW w:w="977" w:type="pct"/>
                  <w:shd w:val="clear" w:color="auto" w:fill="auto"/>
                  <w:vAlign w:val="center"/>
                </w:tcPr>
                <w:p w14:paraId="2662996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43B2288A">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0.5</w:t>
                  </w:r>
                </w:p>
              </w:tc>
              <w:tc>
                <w:tcPr>
                  <w:tcW w:w="2383" w:type="pct"/>
                  <w:vAlign w:val="center"/>
                </w:tcPr>
                <w:p w14:paraId="2B1DB7D9">
                  <w:pPr>
                    <w:pStyle w:val="72"/>
                    <w:keepNext w:val="0"/>
                    <w:keepLines w:val="0"/>
                    <w:widowControl w:val="0"/>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外购，用于SCR脱硝设施，主要成分为二氧化钛等</w:t>
                  </w:r>
                </w:p>
              </w:tc>
            </w:tr>
            <w:tr w14:paraId="3E74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1E4D1E2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尿素</w:t>
                  </w:r>
                </w:p>
              </w:tc>
              <w:tc>
                <w:tcPr>
                  <w:tcW w:w="977" w:type="pct"/>
                  <w:shd w:val="clear" w:color="auto" w:fill="auto"/>
                  <w:vAlign w:val="center"/>
                </w:tcPr>
                <w:p w14:paraId="67951F8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1CE4B17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7</w:t>
                  </w:r>
                </w:p>
              </w:tc>
              <w:tc>
                <w:tcPr>
                  <w:tcW w:w="2383" w:type="pct"/>
                  <w:vAlign w:val="center"/>
                </w:tcPr>
                <w:p w14:paraId="0DB7118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外购，用于SCR脱硝设施</w:t>
                  </w:r>
                </w:p>
              </w:tc>
            </w:tr>
            <w:tr w14:paraId="6DA6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5467D8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实验试剂</w:t>
                  </w:r>
                </w:p>
              </w:tc>
              <w:tc>
                <w:tcPr>
                  <w:tcW w:w="977" w:type="pct"/>
                  <w:shd w:val="clear" w:color="auto" w:fill="auto"/>
                  <w:vAlign w:val="center"/>
                </w:tcPr>
                <w:p w14:paraId="6CA0C7E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t/a</w:t>
                  </w:r>
                </w:p>
              </w:tc>
              <w:tc>
                <w:tcPr>
                  <w:tcW w:w="843" w:type="pct"/>
                  <w:vAlign w:val="center"/>
                </w:tcPr>
                <w:p w14:paraId="16CC776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若干</w:t>
                  </w:r>
                </w:p>
              </w:tc>
              <w:tc>
                <w:tcPr>
                  <w:tcW w:w="2383" w:type="pct"/>
                  <w:vAlign w:val="center"/>
                </w:tcPr>
                <w:p w14:paraId="1F8B9F1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实验室</w:t>
                  </w:r>
                </w:p>
              </w:tc>
            </w:tr>
            <w:tr w14:paraId="3348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3CFA6A7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水</w:t>
                  </w:r>
                </w:p>
              </w:tc>
              <w:tc>
                <w:tcPr>
                  <w:tcW w:w="977" w:type="pct"/>
                  <w:vAlign w:val="center"/>
                </w:tcPr>
                <w:p w14:paraId="18CC6B3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m</w:t>
                  </w:r>
                  <w:r>
                    <w:rPr>
                      <w:rFonts w:hint="default" w:ascii="Times New Roman" w:hAnsi="Times New Roman" w:eastAsia="宋体" w:cs="Times New Roman"/>
                      <w:color w:val="auto"/>
                      <w:kern w:val="2"/>
                      <w:sz w:val="18"/>
                      <w:szCs w:val="18"/>
                      <w:vertAlign w:val="superscript"/>
                      <w:lang w:eastAsia="zh-CN"/>
                    </w:rPr>
                    <w:t>3</w:t>
                  </w:r>
                  <w:r>
                    <w:rPr>
                      <w:rFonts w:hint="default" w:ascii="Times New Roman" w:hAnsi="Times New Roman" w:eastAsia="宋体" w:cs="Times New Roman"/>
                      <w:color w:val="auto"/>
                      <w:kern w:val="2"/>
                      <w:sz w:val="18"/>
                      <w:szCs w:val="18"/>
                      <w:lang w:eastAsia="zh-CN"/>
                    </w:rPr>
                    <w:t>/a</w:t>
                  </w:r>
                </w:p>
              </w:tc>
              <w:tc>
                <w:tcPr>
                  <w:tcW w:w="843" w:type="pct"/>
                  <w:vAlign w:val="center"/>
                </w:tcPr>
                <w:p w14:paraId="5FCC00E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7686</w:t>
                  </w:r>
                </w:p>
              </w:tc>
              <w:tc>
                <w:tcPr>
                  <w:tcW w:w="2383" w:type="pct"/>
                  <w:vAlign w:val="center"/>
                </w:tcPr>
                <w:p w14:paraId="67B490C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由</w:t>
                  </w:r>
                  <w:r>
                    <w:rPr>
                      <w:rFonts w:hint="default" w:ascii="Times New Roman" w:hAnsi="Times New Roman" w:cs="Times New Roman"/>
                      <w:color w:val="auto"/>
                      <w:kern w:val="2"/>
                      <w:sz w:val="18"/>
                      <w:szCs w:val="18"/>
                      <w:lang w:val="en-US" w:eastAsia="zh-CN"/>
                    </w:rPr>
                    <w:t>园区供水管网</w:t>
                  </w:r>
                  <w:r>
                    <w:rPr>
                      <w:rFonts w:hint="default" w:ascii="Times New Roman" w:hAnsi="Times New Roman" w:eastAsia="宋体" w:cs="Times New Roman"/>
                      <w:color w:val="auto"/>
                      <w:kern w:val="2"/>
                      <w:sz w:val="18"/>
                      <w:szCs w:val="18"/>
                      <w:lang w:eastAsia="zh-CN"/>
                    </w:rPr>
                    <w:t>供给</w:t>
                  </w:r>
                </w:p>
              </w:tc>
            </w:tr>
            <w:tr w14:paraId="6583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pct"/>
                  <w:vAlign w:val="center"/>
                </w:tcPr>
                <w:p w14:paraId="3C830D8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电</w:t>
                  </w:r>
                </w:p>
              </w:tc>
              <w:tc>
                <w:tcPr>
                  <w:tcW w:w="977" w:type="pct"/>
                  <w:vAlign w:val="center"/>
                </w:tcPr>
                <w:p w14:paraId="63D8AE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万kWh/a</w:t>
                  </w:r>
                </w:p>
              </w:tc>
              <w:tc>
                <w:tcPr>
                  <w:tcW w:w="843" w:type="pct"/>
                  <w:vAlign w:val="center"/>
                </w:tcPr>
                <w:p w14:paraId="55F1916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300</w:t>
                  </w:r>
                </w:p>
              </w:tc>
              <w:tc>
                <w:tcPr>
                  <w:tcW w:w="2383" w:type="pct"/>
                  <w:vAlign w:val="center"/>
                </w:tcPr>
                <w:p w14:paraId="327EA48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由当地电网提供</w:t>
                  </w:r>
                </w:p>
              </w:tc>
            </w:tr>
          </w:tbl>
          <w:p w14:paraId="55F44D06">
            <w:pPr>
              <w:keepNext w:val="0"/>
              <w:keepLines w:val="0"/>
              <w:suppressLineNumbers w:val="0"/>
              <w:spacing w:before="0" w:beforeAutospacing="0" w:after="0" w:afterAutospacing="0"/>
              <w:ind w:left="0" w:right="0" w:firstLine="482" w:firstLineChars="200"/>
              <w:jc w:val="center"/>
              <w:rPr>
                <w:rFonts w:hint="default" w:ascii="Times New Roman" w:hAnsi="Times New Roman" w:eastAsia="宋体" w:cs="Times New Roman"/>
                <w:b/>
                <w:bCs/>
                <w:sz w:val="24"/>
              </w:rPr>
            </w:pPr>
          </w:p>
          <w:p w14:paraId="03507F0D">
            <w:pPr>
              <w:keepNext w:val="0"/>
              <w:keepLines w:val="0"/>
              <w:suppressLineNumbers w:val="0"/>
              <w:spacing w:before="0" w:beforeAutospacing="0" w:after="0" w:afterAutospacing="0"/>
              <w:ind w:left="0" w:right="0" w:firstLine="482" w:firstLineChars="200"/>
              <w:jc w:val="center"/>
              <w:rPr>
                <w:rFonts w:hint="default" w:ascii="Times New Roman" w:hAnsi="Times New Roman" w:cs="Times New Roman"/>
                <w:b/>
                <w:bCs/>
                <w:sz w:val="24"/>
                <w:lang w:val="en-US" w:eastAsia="zh-CN"/>
              </w:rPr>
            </w:pPr>
            <w:r>
              <w:rPr>
                <w:rFonts w:hint="default" w:ascii="Times New Roman" w:hAnsi="Times New Roman" w:cs="Times New Roman"/>
                <w:b/>
                <w:bCs/>
                <w:sz w:val="24"/>
                <w:lang w:val="en-US" w:eastAsia="zh-CN"/>
              </w:rPr>
              <w:t>表2-17   项目所用原料与《国家工业固体废物资源综合利用产品目录》符合性分析</w:t>
            </w:r>
          </w:p>
          <w:tbl>
            <w:tblPr>
              <w:tblStyle w:val="6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69"/>
              <w:gridCol w:w="1639"/>
              <w:gridCol w:w="4185"/>
              <w:gridCol w:w="1538"/>
              <w:gridCol w:w="550"/>
            </w:tblGrid>
            <w:tr w14:paraId="7A3AC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0" w:type="auto"/>
                  <w:tcBorders>
                    <w:tl2br w:val="nil"/>
                    <w:tr2bl w:val="nil"/>
                  </w:tcBorders>
                  <w:vAlign w:val="center"/>
                </w:tcPr>
                <w:p w14:paraId="4DA871B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工业固体废物种类</w:t>
                  </w:r>
                </w:p>
              </w:tc>
              <w:tc>
                <w:tcPr>
                  <w:tcW w:w="0" w:type="auto"/>
                  <w:tcBorders>
                    <w:tl2br w:val="nil"/>
                    <w:tr2bl w:val="nil"/>
                  </w:tcBorders>
                  <w:vAlign w:val="center"/>
                </w:tcPr>
                <w:p w14:paraId="700D15A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综合利用产品</w:t>
                  </w:r>
                </w:p>
              </w:tc>
              <w:tc>
                <w:tcPr>
                  <w:tcW w:w="0" w:type="auto"/>
                  <w:tcBorders>
                    <w:tl2br w:val="nil"/>
                    <w:tr2bl w:val="nil"/>
                  </w:tcBorders>
                  <w:vAlign w:val="center"/>
                </w:tcPr>
                <w:p w14:paraId="4014833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综合利用技术条件和要求</w:t>
                  </w:r>
                </w:p>
              </w:tc>
              <w:tc>
                <w:tcPr>
                  <w:tcW w:w="1538" w:type="dxa"/>
                  <w:tcBorders>
                    <w:tl2br w:val="nil"/>
                    <w:tr2bl w:val="nil"/>
                  </w:tcBorders>
                  <w:vAlign w:val="center"/>
                </w:tcPr>
                <w:p w14:paraId="0B8E671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本项目利用去向</w:t>
                  </w:r>
                </w:p>
              </w:tc>
              <w:tc>
                <w:tcPr>
                  <w:tcW w:w="550" w:type="dxa"/>
                  <w:tcBorders>
                    <w:tl2br w:val="nil"/>
                    <w:tr2bl w:val="nil"/>
                  </w:tcBorders>
                  <w:vAlign w:val="center"/>
                </w:tcPr>
                <w:p w14:paraId="6799033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是否满足条件和要求</w:t>
                  </w:r>
                </w:p>
              </w:tc>
            </w:tr>
            <w:tr w14:paraId="7DA96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jc w:val="center"/>
              </w:trPr>
              <w:tc>
                <w:tcPr>
                  <w:tcW w:w="0" w:type="auto"/>
                  <w:tcBorders>
                    <w:tl2br w:val="nil"/>
                    <w:tr2bl w:val="nil"/>
                  </w:tcBorders>
                  <w:vAlign w:val="center"/>
                </w:tcPr>
                <w:p w14:paraId="4EE64A4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尾矿</w:t>
                  </w:r>
                </w:p>
              </w:tc>
              <w:tc>
                <w:tcPr>
                  <w:tcW w:w="0" w:type="auto"/>
                  <w:tcBorders>
                    <w:tl2br w:val="nil"/>
                    <w:tr2bl w:val="nil"/>
                  </w:tcBorders>
                  <w:shd w:val="clear" w:color="auto" w:fill="auto"/>
                  <w:vAlign w:val="center"/>
                </w:tcPr>
                <w:p w14:paraId="58AFBFD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砖瓦、砌块、陶粒制品、板材、管材（管桩）、混凝土、砂浆、井盖、防火材料、耐火材料（镁铬砖除外）、保温材料、微晶材料、泡沫陶瓷</w:t>
                  </w:r>
                </w:p>
              </w:tc>
              <w:tc>
                <w:tcPr>
                  <w:tcW w:w="0" w:type="auto"/>
                  <w:tcBorders>
                    <w:tl2br w:val="nil"/>
                    <w:tr2bl w:val="nil"/>
                  </w:tcBorders>
                  <w:shd w:val="clear" w:color="auto" w:fill="auto"/>
                  <w:vAlign w:val="center"/>
                </w:tcPr>
                <w:p w14:paraId="0E90403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1.产品符合《烧结普通砖》（GB/T 5101）、《烧结保温砖和砌块》（GB 26538）、《烧结空心砖和空心砌块》（GB/T 13545）、《普通混凝土小型砌块》（GB/T 8239）、《复合保温砖和复合保温砌块》（GB/T 29060）、 《轻集料及其试验方法》（GB/T 17431. 1）、《混凝土路面砖》（GB 28635）、《蒸压灰砂砖》（GB/T 11945）、 《再生骨料地面砖和透水砖》（CJ/T 400）、《植草砖》（NY/T 1253-2006）、《非承重混凝土空心砖》（GB/T 24492）、《装饰混凝土砌块》（GB/T 641）、《装饰混凝土砖》（GB/T 24493）、《承重混凝土多孔砖》 （GB 25779）、《混凝土路面砖》（GB 28635）、《轻集料混凝土小型空心砌块》（GB 15229）、《粉煤灰混凝土小型空心砌块》（JC/T 862）、《混凝土实心砖》（GB/T 21144）、《透水路面砖和透水路面板》 （GB/T 25993）、《干垒挡土墙用混凝土砌块》（JC/T 2094）、《蒸压加气混凝土砌块》（GB 11968）、 《蒸压加气混凝土板》（GB 15762）、《钢筋陶粒混凝土轻质墙板》（JC/T 2214）、《建筑用轻质隔墙条板》 （GB/T 23451</w:t>
                  </w:r>
                  <w:r>
                    <w:rPr>
                      <w:rFonts w:hint="eastAsia"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 xml:space="preserve"> 、《陶瓷砖》（GB/T 4100）、《陶粒加气混凝土砌块》（JG/T 504）、《陶粒滤料》（QB/T 4383）、《水处理用人工陶粒滤料》（CJ/T 299）和《压裂用陶粒支撑剂技术要求》（Q/SH 0051）、《钢筋陶粒混凝土轻质墙板》（JC/T 2214）、《先张法预应力混凝土管桩》（GB/T 13476）、《预拌混凝土》（GB/T 14902）、《预拌砂浆》（GB/T 25181）、《建筑保温砂浆》（GB/T 20473）、《钢纤维混凝土检查井盖》 （GB/T 26537）、《防火封堵材料》（GB 23864）、《耐磨耐火材料》（GB/T 23294）、《微晶玻璃陶瓷复合砖》（JC/T 994）、《外墙外保温泡沫陶瓷》（GB/T 33500）等标准；</w:t>
                  </w:r>
                </w:p>
                <w:p w14:paraId="3237D8C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3.产品符合《建筑材料放射性核素限量》（GB 6566）。</w:t>
                  </w:r>
                </w:p>
              </w:tc>
              <w:tc>
                <w:tcPr>
                  <w:tcW w:w="1538" w:type="dxa"/>
                  <w:tcBorders>
                    <w:tl2br w:val="nil"/>
                    <w:tr2bl w:val="nil"/>
                  </w:tcBorders>
                  <w:shd w:val="clear" w:color="auto" w:fill="auto"/>
                  <w:vAlign w:val="center"/>
                </w:tcPr>
                <w:p w14:paraId="1838C7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本项目利用尾矿生产免烧砖，主要用途是市政道路铺设、园林绿化及非承重墙体砌筑等。产品各项指标均符合上述标准要求。</w:t>
                  </w:r>
                </w:p>
              </w:tc>
              <w:tc>
                <w:tcPr>
                  <w:tcW w:w="550" w:type="dxa"/>
                  <w:tcBorders>
                    <w:tl2br w:val="nil"/>
                    <w:tr2bl w:val="nil"/>
                  </w:tcBorders>
                  <w:shd w:val="clear" w:color="auto" w:fill="auto"/>
                  <w:vAlign w:val="center"/>
                </w:tcPr>
                <w:p w14:paraId="3E5402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满足</w:t>
                  </w:r>
                </w:p>
              </w:tc>
            </w:tr>
            <w:tr w14:paraId="07305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jc w:val="center"/>
              </w:trPr>
              <w:tc>
                <w:tcPr>
                  <w:tcW w:w="0" w:type="auto"/>
                  <w:tcBorders>
                    <w:tl2br w:val="nil"/>
                    <w:tr2bl w:val="nil"/>
                  </w:tcBorders>
                  <w:vAlign w:val="center"/>
                </w:tcPr>
                <w:p w14:paraId="7361615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冶炼渣</w:t>
                  </w:r>
                </w:p>
                <w:p w14:paraId="186E03D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（不含危险废物）</w:t>
                  </w:r>
                </w:p>
              </w:tc>
              <w:tc>
                <w:tcPr>
                  <w:tcW w:w="0" w:type="auto"/>
                  <w:tcBorders>
                    <w:tl2br w:val="nil"/>
                    <w:tr2bl w:val="nil"/>
                  </w:tcBorders>
                  <w:shd w:val="clear" w:color="auto" w:fill="auto"/>
                  <w:vAlign w:val="center"/>
                </w:tcPr>
                <w:p w14:paraId="6F2937F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砖瓦、砌块、陶粒制品、板材、管材（管桩）、混凝土、矿物掺合料、砂浆、井盖、防火材料、耐火材料（镁铬砖除外）、保温材料、微晶材料、泡沫陶瓷</w:t>
                  </w:r>
                </w:p>
              </w:tc>
              <w:tc>
                <w:tcPr>
                  <w:tcW w:w="0" w:type="auto"/>
                  <w:tcBorders>
                    <w:tl2br w:val="nil"/>
                    <w:tr2bl w:val="nil"/>
                  </w:tcBorders>
                  <w:shd w:val="clear" w:color="auto" w:fill="auto"/>
                  <w:vAlign w:val="center"/>
                </w:tcPr>
                <w:p w14:paraId="53D8DB4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1.产品符合《烧结普通砖》（GB/T 5101）、《烧结保温砖和砌块》（GB 26538）、《混凝土实心砖》（GB/T 21144）、《非承重混凝土空心砖》（GB/T 24492）、《装饰混凝土砖》（GB/T 24493）、《承重混凝土多孔砖》（GB 25779）、《混凝土路面砖》（GB 28635）、《透水路面砖和透水路面板》（GB/T 25993）、《烧结空心砖和空心砌块》（GB/T 13545）、《烧结多孔砖和多孔砌块》（GB/T 13544）、《蒸压灰砂砖》（GB/T 11945）、《普通混凝土小型砌块》（GB/T 8239）、《植草砖》（NY/T 1253）、《蒸压泡沫混凝土砖和砌块》（GB/T 29062）、《轻集料及其试验方法》（GB/T 17431. 1）、《复合保温砖和复合保温砌块》（GB/T 29060）、《轻集料混凝土小型空心砌块》（GB 15229）、《粉煤灰混凝土小型空心砌块》（JC/T 862）、《装饰混凝土砌块》（JC/T 641）、《干垒挡土墙用混凝土砌块》（JC/T 2094）、《蒸压加气混凝土砌块》（GB 11968）、 《蒸压加气混凝土板》（GB 15762）、《陶粒滤料》（QB/T 4383）、《陶粒加气混凝土砌块》（JG/T 504）、 《建筑用轻质隔墙条板》（GB/T 23451</w:t>
                  </w:r>
                  <w:r>
                    <w:rPr>
                      <w:rFonts w:hint="eastAsia"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 xml:space="preserve"> 、《水处理用人工陶粒滤料》（CJ/T 299）、《压裂用陶粒支撑剂技术要求》（Q/SH 0051）、《钢筋陶粒混凝土轻质墙板》（JC/T 2214）、《先张法预应力混凝土管桩》（GB/T 13476）、《预拌混凝土》（GB/T 14902）、《矿物掺和料应用技术规范》（GB/T 51003）、《预拌砂浆》 （GB/T 25181）、《建筑保温砂浆》（GB/T 20473）、《钢纤维混凝土检查井盖》（GB/T 26537）、《防火封堵材料》（GB 23864）、《耐磨耐火材料》（GB/T 23294）、《陶瓷砖》（GB/T 4100）、《微晶玻璃陶瓷复合砖》（JC/T 994）、《外墙外保温泡沫陶瓷》（GB/T 33500）等标准；</w:t>
                  </w:r>
                </w:p>
                <w:p w14:paraId="373FB45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2.钢渣原料应符合《泡沫混凝土砌块用钢渣》（GB/T 24763）、《外墙外保温抹面砂浆和粘结砂浆用钢渣砂》 （GB/T 24764）、《钢渣复合料》（GB/T 28294）、《混凝土用高炉重矿渣碎石》（YB/T 4178）、《普通预拌砂浆用钢渣砂》（YB/T 4201）、《混凝土多孔砖和路面砖用钢渣》（YB/T 4228）等标准；</w:t>
                  </w:r>
                </w:p>
                <w:p w14:paraId="1CE1BBF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3.产品符合《建筑材料放射性核素限量》（GB 6566）。</w:t>
                  </w:r>
                </w:p>
              </w:tc>
              <w:tc>
                <w:tcPr>
                  <w:tcW w:w="1538" w:type="dxa"/>
                  <w:tcBorders>
                    <w:tl2br w:val="nil"/>
                    <w:tr2bl w:val="nil"/>
                  </w:tcBorders>
                  <w:shd w:val="clear" w:color="auto" w:fill="auto"/>
                  <w:vAlign w:val="center"/>
                </w:tcPr>
                <w:p w14:paraId="29EDAC3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本项目利用钢渣生产免烧砖，主要用途是市政道路铺设、园林绿化及非承重墙体砌筑等。产品各项指标均符合上述标准要求。</w:t>
                  </w:r>
                </w:p>
              </w:tc>
              <w:tc>
                <w:tcPr>
                  <w:tcW w:w="550" w:type="dxa"/>
                  <w:tcBorders>
                    <w:tl2br w:val="nil"/>
                    <w:tr2bl w:val="nil"/>
                  </w:tcBorders>
                  <w:shd w:val="clear" w:color="auto" w:fill="auto"/>
                  <w:vAlign w:val="center"/>
                </w:tcPr>
                <w:p w14:paraId="73C6ABF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满足</w:t>
                  </w:r>
                </w:p>
              </w:tc>
            </w:tr>
            <w:tr w14:paraId="5E3E1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0" w:type="auto"/>
                  <w:tcBorders>
                    <w:tl2br w:val="nil"/>
                    <w:tr2bl w:val="nil"/>
                  </w:tcBorders>
                  <w:vAlign w:val="center"/>
                </w:tcPr>
                <w:p w14:paraId="30A2998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粉煤灰</w:t>
                  </w:r>
                </w:p>
              </w:tc>
              <w:tc>
                <w:tcPr>
                  <w:tcW w:w="0" w:type="auto"/>
                  <w:tcBorders>
                    <w:tl2br w:val="nil"/>
                    <w:tr2bl w:val="nil"/>
                  </w:tcBorders>
                  <w:shd w:val="clear" w:color="auto" w:fill="auto"/>
                  <w:vAlign w:val="center"/>
                </w:tcPr>
                <w:p w14:paraId="06209FF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砖瓦、砌块、陶粒制品、板材、管材（管桩）、混凝土、矿物掺合料、砂浆、井盖、防火材料、耐火材料（镁铬砖除外）、保温材料、微晶材料</w:t>
                  </w:r>
                </w:p>
              </w:tc>
              <w:tc>
                <w:tcPr>
                  <w:tcW w:w="0" w:type="auto"/>
                  <w:tcBorders>
                    <w:tl2br w:val="nil"/>
                    <w:tr2bl w:val="nil"/>
                  </w:tcBorders>
                  <w:shd w:val="clear" w:color="auto" w:fill="auto"/>
                  <w:vAlign w:val="center"/>
                </w:tcPr>
                <w:p w14:paraId="681C515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1.原料符合《硅酸盐建筑制品用粉煤灰》（JC/T 409）；</w:t>
                  </w:r>
                </w:p>
                <w:p w14:paraId="6613460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2.产品符合《烧结普通砖》（GB/T 5101）、《烧结空心砖和空心砌块》（GB/T 13545）、《烧结多孔砖和多孔砌块》（GB/T 13544）、《混凝土实心砖》（GB/T 21144）、《非承重混凝土空心砖》（GB/T 24492）、 《装饰混凝土砖》（GB/T 24493）、《承重混凝土多孔砖》（GB 25779）、《普通混凝土小型砌块》（GB/T 8239）、《蒸压加气混凝土砌块》（GB 11968）、《蒸压加气混凝土板》（GB 15762）、《轻集料及其试验方法》（GB/T 17431. 1）、《复合保温砖和复合保温砌块》（GB/T 29060）、《轻集料混凝土小型空心砌块》 （GB 15229）、《粉煤灰混凝土小型空心砌块》（JC/T 862）、《装饰混凝土砌块》（JC/T 641）、《混凝土砌块</w:t>
                  </w:r>
                  <w:r>
                    <w:rPr>
                      <w:rFonts w:hint="eastAsia"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砖</w:t>
                  </w:r>
                  <w:r>
                    <w:rPr>
                      <w:rFonts w:hint="eastAsia" w:cs="Times New Roman"/>
                      <w:color w:val="auto"/>
                      <w:kern w:val="2"/>
                      <w:sz w:val="18"/>
                      <w:szCs w:val="18"/>
                      <w:lang w:eastAsia="zh-CN"/>
                    </w:rPr>
                    <w:t>）</w:t>
                  </w:r>
                  <w:r>
                    <w:rPr>
                      <w:rFonts w:hint="default" w:ascii="Times New Roman" w:hAnsi="Times New Roman" w:eastAsia="宋体" w:cs="Times New Roman"/>
                      <w:color w:val="auto"/>
                      <w:kern w:val="2"/>
                      <w:sz w:val="18"/>
                      <w:szCs w:val="18"/>
                      <w:lang w:eastAsia="zh-CN"/>
                    </w:rPr>
                    <w:t>砌体用灌孔混凝土》（JC 861）、《混凝土小型空心砌块和混凝土砖砌筑砂浆》（JC 860）、《混凝土路面砖》（GB 28635）、《透水路面砖和透水路面板》（GB/T 25993）、《干垒挡土墙用混凝土砌块》 （JC/T 2094）、《钢筋陶粒混凝土轻质墙板》（JC/T 2214）、《先张法预应力混凝土管桩》（GB/T 13476）、 《预拌混凝土》（GB/T 14902）、《预拌砂浆》（GB/T 25181）、《建筑保温砂浆》（GB/T 20473）、《矿物掺和料应用技术规范》（GB/T 51003）、《钢纤维混凝土检查井盖》（GB/T 26537）、《防火封堵材料》 （GB 23864）、《耐磨耐火材料》（GB/T 23294）、《烧结保温砖和保温砌块》（GB/T 26538）、《微晶玻璃陶瓷复合砖》（JC/T 994）、《外墙外保温泡沫陶瓷》（GB/T 33500）等标准；</w:t>
                  </w:r>
                </w:p>
                <w:p w14:paraId="66D2195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3.产品符合《建筑材料放射性核素限量》（GB 6566）。</w:t>
                  </w:r>
                </w:p>
              </w:tc>
              <w:tc>
                <w:tcPr>
                  <w:tcW w:w="1538" w:type="dxa"/>
                  <w:tcBorders>
                    <w:tl2br w:val="nil"/>
                    <w:tr2bl w:val="nil"/>
                  </w:tcBorders>
                  <w:shd w:val="clear" w:color="auto" w:fill="auto"/>
                  <w:vAlign w:val="center"/>
                </w:tcPr>
                <w:p w14:paraId="2D2E32D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本项目利用电厂粉煤灰生产免烧砖，主要用途是市政道路铺设、园林绿化及非承重墙体砌筑等。各项指标符合上述标准要求</w:t>
                  </w:r>
                </w:p>
              </w:tc>
              <w:tc>
                <w:tcPr>
                  <w:tcW w:w="550" w:type="dxa"/>
                  <w:tcBorders>
                    <w:tl2br w:val="nil"/>
                    <w:tr2bl w:val="nil"/>
                  </w:tcBorders>
                  <w:shd w:val="clear" w:color="auto" w:fill="auto"/>
                  <w:vAlign w:val="center"/>
                </w:tcPr>
                <w:p w14:paraId="707EA0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满足</w:t>
                  </w:r>
                </w:p>
              </w:tc>
            </w:tr>
            <w:tr w14:paraId="2B367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0" w:type="auto"/>
                  <w:tcBorders>
                    <w:tl2br w:val="nil"/>
                    <w:tr2bl w:val="nil"/>
                  </w:tcBorders>
                  <w:vAlign w:val="center"/>
                </w:tcPr>
                <w:p w14:paraId="728CFB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炉渣</w:t>
                  </w:r>
                </w:p>
              </w:tc>
              <w:tc>
                <w:tcPr>
                  <w:tcW w:w="0" w:type="auto"/>
                  <w:tcBorders>
                    <w:tl2br w:val="nil"/>
                    <w:tr2bl w:val="nil"/>
                  </w:tcBorders>
                  <w:shd w:val="clear" w:color="auto" w:fill="auto"/>
                  <w:vAlign w:val="center"/>
                </w:tcPr>
                <w:p w14:paraId="3EF4EF4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砖瓦、砌块、陶粒制品、板材、管材（管桩）、混凝土、砂浆、检查井盖、道路护栏、防火材料、耐火材料（镁铬砖除外）、保温材料、微晶材料、泡沫陶瓷</w:t>
                  </w:r>
                </w:p>
              </w:tc>
              <w:tc>
                <w:tcPr>
                  <w:tcW w:w="0" w:type="auto"/>
                  <w:tcBorders>
                    <w:tl2br w:val="nil"/>
                    <w:tr2bl w:val="nil"/>
                  </w:tcBorders>
                  <w:shd w:val="clear" w:color="auto" w:fill="auto"/>
                  <w:vAlign w:val="center"/>
                </w:tcPr>
                <w:p w14:paraId="3DA5BAC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1.原料符合《硅酸盐建筑制品用粉煤灰》（JC/T 409）；</w:t>
                  </w:r>
                </w:p>
                <w:p w14:paraId="50EAB47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2.产品符合《烧结普通砖》（GB/T 5101）、《烧结空心砖和空心砌块》（GB/T 13545）、《普通混凝土小型砌块》（GB/T 8239）、《轻集料及其试验方法》（GB/T 17431. 1）、《复合保温砖和复合保温砌块》（GB/T29060）、《轻集料混凝土小型空心砌块》（GB 15229）、《粉煤灰混凝土小型空心砌块》（JC/T 862）、《混凝土实心砖》（GB/T 21144）、《非承重混凝土空心砖》（GB/T 24492）、《装饰混凝土砌块》（JC/T 641）、 《装饰混凝土砖》（GB/T 24493）、《承重混凝土多孔砖》（GB 25779）、《混凝土路面砖》（GB 28635）、 《透水路面砖和透水路面板》（GB/T 25993）、《蒸压加气混凝土砌块》（GB 11968）、《蒸压加气混凝土板》（GB 15762）、《干垒挡土墙用混凝土砌块》（JC/T 2094）、《钢筋陶粒混凝土轻质墙板》（JC/T 2214）、 《先张法预应力混凝土管桩》（GB/T 13476）、《预拌混凝土》（GB/T 14902）、《预拌砂浆》（GB/T 25181）、 《建筑保温砂浆》（GB/T 20473）、《钢纤维混凝土检查井盖》（GB/T 26537）、《防火封堵材料》（GB 23864）、 《耐磨耐火材料》（GB/T 23294）、《烧结保温砖和保温砌块》（GB/T 26538）、《微晶玻璃陶瓷复合砖》 （JC/T 994）、《外墙外保温泡沫陶瓷》（GB/T 33500）等标准；</w:t>
                  </w:r>
                </w:p>
                <w:p w14:paraId="0E32DB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3.产品符合《建筑材料放射性核素限量》（GB 6566）。</w:t>
                  </w:r>
                </w:p>
              </w:tc>
              <w:tc>
                <w:tcPr>
                  <w:tcW w:w="1538" w:type="dxa"/>
                  <w:tcBorders>
                    <w:tl2br w:val="nil"/>
                    <w:tr2bl w:val="nil"/>
                  </w:tcBorders>
                  <w:shd w:val="clear" w:color="auto" w:fill="auto"/>
                  <w:vAlign w:val="center"/>
                </w:tcPr>
                <w:p w14:paraId="3897A6D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本项目利用燃烧炉炉渣生产免烧砖，主要用途是市政道路铺设、园林绿化及非承重墙体砌筑等。各项指标符合</w:t>
                  </w:r>
                </w:p>
              </w:tc>
              <w:tc>
                <w:tcPr>
                  <w:tcW w:w="550" w:type="dxa"/>
                  <w:tcBorders>
                    <w:tl2br w:val="nil"/>
                    <w:tr2bl w:val="nil"/>
                  </w:tcBorders>
                  <w:shd w:val="clear" w:color="auto" w:fill="auto"/>
                  <w:vAlign w:val="center"/>
                </w:tcPr>
                <w:p w14:paraId="1286098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满足</w:t>
                  </w:r>
                </w:p>
              </w:tc>
            </w:tr>
            <w:tr w14:paraId="20321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0" w:type="auto"/>
                  <w:tcBorders>
                    <w:tl2br w:val="nil"/>
                    <w:tr2bl w:val="nil"/>
                  </w:tcBorders>
                  <w:vAlign w:val="center"/>
                </w:tcPr>
                <w:p w14:paraId="10F42BC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工业副产石膏</w:t>
                  </w:r>
                </w:p>
              </w:tc>
              <w:tc>
                <w:tcPr>
                  <w:tcW w:w="0" w:type="auto"/>
                  <w:tcBorders>
                    <w:tl2br w:val="nil"/>
                    <w:tr2bl w:val="nil"/>
                  </w:tcBorders>
                  <w:shd w:val="clear" w:color="auto" w:fill="auto"/>
                  <w:vAlign w:val="center"/>
                </w:tcPr>
                <w:p w14:paraId="1F232AD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轻质隔热砖</w:t>
                  </w:r>
                </w:p>
              </w:tc>
              <w:tc>
                <w:tcPr>
                  <w:tcW w:w="0" w:type="auto"/>
                  <w:tcBorders>
                    <w:tl2br w:val="nil"/>
                    <w:tr2bl w:val="nil"/>
                  </w:tcBorders>
                  <w:shd w:val="clear" w:color="auto" w:fill="auto"/>
                  <w:vAlign w:val="center"/>
                </w:tcPr>
                <w:p w14:paraId="5F12590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1.产品符合《建筑材料及制品燃烧性能分级》（GB 8624）；</w:t>
                  </w:r>
                </w:p>
                <w:p w14:paraId="1472F02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en-US"/>
                    </w:rPr>
                  </w:pPr>
                  <w:r>
                    <w:rPr>
                      <w:rFonts w:hint="default" w:ascii="Times New Roman" w:hAnsi="Times New Roman" w:eastAsia="宋体" w:cs="Times New Roman"/>
                      <w:color w:val="auto"/>
                      <w:kern w:val="2"/>
                      <w:sz w:val="18"/>
                      <w:szCs w:val="18"/>
                      <w:lang w:eastAsia="zh-CN"/>
                    </w:rPr>
                    <w:t>2.产品符合《建筑材料放射性核素限量》（GB 6566）。</w:t>
                  </w:r>
                </w:p>
              </w:tc>
              <w:tc>
                <w:tcPr>
                  <w:tcW w:w="1538" w:type="dxa"/>
                  <w:tcBorders>
                    <w:tl2br w:val="nil"/>
                    <w:tr2bl w:val="nil"/>
                  </w:tcBorders>
                  <w:shd w:val="clear" w:color="auto" w:fill="auto"/>
                  <w:vAlign w:val="center"/>
                </w:tcPr>
                <w:p w14:paraId="38743DD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本项目利用脱硫石膏生产免烧砖，主要用途是市政道路铺设、园林绿化及非承重墙体砌筑等。各项指标符合上述</w:t>
                  </w:r>
                </w:p>
              </w:tc>
              <w:tc>
                <w:tcPr>
                  <w:tcW w:w="550" w:type="dxa"/>
                  <w:tcBorders>
                    <w:tl2br w:val="nil"/>
                    <w:tr2bl w:val="nil"/>
                  </w:tcBorders>
                  <w:shd w:val="clear" w:color="auto" w:fill="auto"/>
                  <w:vAlign w:val="center"/>
                </w:tcPr>
                <w:p w14:paraId="6AA0420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满足</w:t>
                  </w:r>
                </w:p>
              </w:tc>
            </w:tr>
          </w:tbl>
          <w:p w14:paraId="55F3E0C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根据《国家工业固体废物资源综合利用产品目录》可知，本项目一般固废综合利用方式均符合目录规定的相关要求，可实现资源的循环利用。</w:t>
            </w:r>
          </w:p>
          <w:p w14:paraId="125F38C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根据《唐山三友硅业有限责任公司有机硅单体技术改造项目环境影响报告书（报批稿）》，</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提铜渣浆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产生于20万吨/年有机硅单体生产线，涉及的生产工艺主要有氯甲烷合成工艺，硅粉加工工艺，甲基单体合成工艺，以及渣浆的水解、提铜及中和处理工艺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。根据《唐山三友硅业有限责任公司固渣危险属性鉴别报告》可知，提铜渣浆不属于危险废物。提铜渣浆成分分析见下表。</w:t>
            </w:r>
          </w:p>
          <w:p w14:paraId="2E899E67">
            <w:pPr>
              <w:keepNext w:val="0"/>
              <w:keepLines w:val="0"/>
              <w:suppressLineNumbers w:val="0"/>
              <w:spacing w:before="0" w:beforeAutospacing="0" w:after="0" w:afterAutospacing="0"/>
              <w:ind w:left="0" w:right="0" w:firstLine="482" w:firstLineChars="20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表</w:t>
            </w:r>
            <w:r>
              <w:rPr>
                <w:rFonts w:hint="default" w:ascii="Times New Roman" w:hAnsi="Times New Roman" w:eastAsia="宋体" w:cs="Times New Roman"/>
                <w:b/>
                <w:bCs/>
                <w:sz w:val="24"/>
                <w:lang w:val="en-US" w:eastAsia="zh-CN"/>
              </w:rPr>
              <w:t>2-1</w:t>
            </w:r>
            <w:r>
              <w:rPr>
                <w:rFonts w:hint="default" w:ascii="Times New Roman" w:hAnsi="Times New Roman" w:cs="Times New Roman"/>
                <w:b/>
                <w:bCs/>
                <w:sz w:val="24"/>
                <w:lang w:val="en-US" w:eastAsia="zh-CN"/>
              </w:rPr>
              <w:t>8</w:t>
            </w:r>
            <w:r>
              <w:rPr>
                <w:rFonts w:hint="default" w:ascii="Times New Roman" w:hAnsi="Times New Roman" w:eastAsia="宋体" w:cs="Times New Roman"/>
                <w:b/>
                <w:bCs/>
                <w:sz w:val="24"/>
              </w:rPr>
              <w:t>提铜</w:t>
            </w:r>
            <w:r>
              <w:rPr>
                <w:rFonts w:hint="default" w:ascii="Times New Roman" w:hAnsi="Times New Roman" w:eastAsia="宋体" w:cs="Times New Roman"/>
                <w:b/>
                <w:bCs/>
                <w:sz w:val="24"/>
                <w:lang w:val="en-US" w:eastAsia="zh-CN"/>
              </w:rPr>
              <w:t>渣浆</w:t>
            </w:r>
            <w:r>
              <w:rPr>
                <w:rFonts w:hint="default" w:ascii="Times New Roman" w:hAnsi="Times New Roman" w:eastAsia="宋体" w:cs="Times New Roman"/>
                <w:b/>
                <w:bCs/>
                <w:sz w:val="24"/>
              </w:rPr>
              <w:t>全成分分析结果</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1201"/>
              <w:gridCol w:w="1201"/>
              <w:gridCol w:w="1201"/>
              <w:gridCol w:w="1487"/>
              <w:gridCol w:w="1487"/>
            </w:tblGrid>
            <w:tr w14:paraId="2CEA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022C53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成分名称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66396C8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水</w:t>
                  </w:r>
                </w:p>
              </w:tc>
              <w:tc>
                <w:tcPr>
                  <w:tcW w:w="0" w:type="auto"/>
                  <w:tcBorders>
                    <w:top w:val="single" w:color="000000" w:sz="4" w:space="0"/>
                    <w:left w:val="single" w:color="000000" w:sz="4" w:space="0"/>
                    <w:bottom w:val="single" w:color="000000" w:sz="4" w:space="0"/>
                    <w:right w:val="single" w:color="000000" w:sz="4" w:space="0"/>
                  </w:tcBorders>
                  <w:vAlign w:val="center"/>
                </w:tcPr>
                <w:p w14:paraId="3C4488F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有机硅</w:t>
                  </w:r>
                </w:p>
              </w:tc>
              <w:tc>
                <w:tcPr>
                  <w:tcW w:w="0" w:type="auto"/>
                  <w:tcBorders>
                    <w:top w:val="single" w:color="000000" w:sz="4" w:space="0"/>
                    <w:left w:val="single" w:color="000000" w:sz="4" w:space="0"/>
                    <w:bottom w:val="single" w:color="000000" w:sz="4" w:space="0"/>
                    <w:right w:val="single" w:color="000000" w:sz="4" w:space="0"/>
                  </w:tcBorders>
                  <w:vAlign w:val="center"/>
                </w:tcPr>
                <w:p w14:paraId="0E464A0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硅</w:t>
                  </w:r>
                </w:p>
              </w:tc>
              <w:tc>
                <w:tcPr>
                  <w:tcW w:w="0" w:type="auto"/>
                  <w:tcBorders>
                    <w:top w:val="single" w:color="000000" w:sz="4" w:space="0"/>
                    <w:left w:val="single" w:color="000000" w:sz="4" w:space="0"/>
                    <w:bottom w:val="single" w:color="000000" w:sz="4" w:space="0"/>
                    <w:right w:val="single" w:color="000000" w:sz="4" w:space="0"/>
                  </w:tcBorders>
                  <w:vAlign w:val="center"/>
                </w:tcPr>
                <w:p w14:paraId="316A14B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二氧化硅</w:t>
                  </w:r>
                </w:p>
              </w:tc>
              <w:tc>
                <w:tcPr>
                  <w:tcW w:w="0" w:type="auto"/>
                  <w:tcBorders>
                    <w:top w:val="single" w:color="000000" w:sz="4" w:space="0"/>
                    <w:left w:val="single" w:color="000000" w:sz="4" w:space="0"/>
                    <w:bottom w:val="single" w:color="000000" w:sz="4" w:space="0"/>
                    <w:right w:val="single" w:color="000000" w:sz="4" w:space="0"/>
                  </w:tcBorders>
                  <w:vAlign w:val="center"/>
                </w:tcPr>
                <w:p w14:paraId="2D6C34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硅化铁</w:t>
                  </w:r>
                </w:p>
              </w:tc>
            </w:tr>
            <w:tr w14:paraId="3096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3C533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成分含量/%</w:t>
                  </w:r>
                </w:p>
              </w:tc>
              <w:tc>
                <w:tcPr>
                  <w:tcW w:w="0" w:type="auto"/>
                  <w:tcBorders>
                    <w:top w:val="single" w:color="000000" w:sz="4" w:space="0"/>
                    <w:left w:val="single" w:color="000000" w:sz="4" w:space="0"/>
                    <w:bottom w:val="single" w:color="000000" w:sz="4" w:space="0"/>
                    <w:right w:val="single" w:color="000000" w:sz="4" w:space="0"/>
                  </w:tcBorders>
                  <w:vAlign w:val="center"/>
                </w:tcPr>
                <w:p w14:paraId="155C5C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37.94</w:t>
                  </w:r>
                </w:p>
              </w:tc>
              <w:tc>
                <w:tcPr>
                  <w:tcW w:w="0" w:type="auto"/>
                  <w:tcBorders>
                    <w:top w:val="single" w:color="000000" w:sz="4" w:space="0"/>
                    <w:left w:val="single" w:color="000000" w:sz="4" w:space="0"/>
                    <w:bottom w:val="single" w:color="000000" w:sz="4" w:space="0"/>
                    <w:right w:val="single" w:color="000000" w:sz="4" w:space="0"/>
                  </w:tcBorders>
                  <w:vAlign w:val="center"/>
                </w:tcPr>
                <w:p w14:paraId="11BF910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35.57</w:t>
                  </w:r>
                </w:p>
              </w:tc>
              <w:tc>
                <w:tcPr>
                  <w:tcW w:w="0" w:type="auto"/>
                  <w:tcBorders>
                    <w:top w:val="single" w:color="000000" w:sz="4" w:space="0"/>
                    <w:left w:val="single" w:color="000000" w:sz="4" w:space="0"/>
                    <w:bottom w:val="single" w:color="000000" w:sz="4" w:space="0"/>
                    <w:right w:val="single" w:color="000000" w:sz="4" w:space="0"/>
                  </w:tcBorders>
                  <w:vAlign w:val="center"/>
                </w:tcPr>
                <w:p w14:paraId="2DDD53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20.05</w:t>
                  </w:r>
                </w:p>
              </w:tc>
              <w:tc>
                <w:tcPr>
                  <w:tcW w:w="0" w:type="auto"/>
                  <w:tcBorders>
                    <w:top w:val="single" w:color="000000" w:sz="4" w:space="0"/>
                    <w:left w:val="single" w:color="000000" w:sz="4" w:space="0"/>
                    <w:bottom w:val="single" w:color="000000" w:sz="4" w:space="0"/>
                    <w:right w:val="single" w:color="000000" w:sz="4" w:space="0"/>
                  </w:tcBorders>
                  <w:vAlign w:val="center"/>
                </w:tcPr>
                <w:p w14:paraId="7B5A730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5.27</w:t>
                  </w:r>
                </w:p>
              </w:tc>
              <w:tc>
                <w:tcPr>
                  <w:tcW w:w="0" w:type="auto"/>
                  <w:tcBorders>
                    <w:top w:val="single" w:color="000000" w:sz="4" w:space="0"/>
                    <w:left w:val="single" w:color="000000" w:sz="4" w:space="0"/>
                    <w:bottom w:val="single" w:color="000000" w:sz="4" w:space="0"/>
                    <w:right w:val="single" w:color="000000" w:sz="4" w:space="0"/>
                  </w:tcBorders>
                  <w:vAlign w:val="center"/>
                </w:tcPr>
                <w:p w14:paraId="431019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0.08</w:t>
                  </w:r>
                </w:p>
              </w:tc>
            </w:tr>
            <w:tr w14:paraId="5928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B4294C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成分名称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01C9473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硅酸钙</w:t>
                  </w:r>
                </w:p>
              </w:tc>
              <w:tc>
                <w:tcPr>
                  <w:tcW w:w="0" w:type="auto"/>
                  <w:tcBorders>
                    <w:top w:val="single" w:color="000000" w:sz="4" w:space="0"/>
                    <w:left w:val="single" w:color="000000" w:sz="4" w:space="0"/>
                    <w:bottom w:val="single" w:color="000000" w:sz="4" w:space="0"/>
                    <w:right w:val="single" w:color="000000" w:sz="4" w:space="0"/>
                  </w:tcBorders>
                  <w:vAlign w:val="center"/>
                </w:tcPr>
                <w:p w14:paraId="09C9758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硅酸铝</w:t>
                  </w:r>
                </w:p>
              </w:tc>
              <w:tc>
                <w:tcPr>
                  <w:tcW w:w="0" w:type="auto"/>
                  <w:tcBorders>
                    <w:top w:val="single" w:color="000000" w:sz="4" w:space="0"/>
                    <w:left w:val="single" w:color="000000" w:sz="4" w:space="0"/>
                    <w:bottom w:val="single" w:color="000000" w:sz="4" w:space="0"/>
                    <w:right w:val="single" w:color="000000" w:sz="4" w:space="0"/>
                  </w:tcBorders>
                  <w:vAlign w:val="center"/>
                </w:tcPr>
                <w:p w14:paraId="4396860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硅酸钠</w:t>
                  </w:r>
                </w:p>
              </w:tc>
              <w:tc>
                <w:tcPr>
                  <w:tcW w:w="0" w:type="auto"/>
                  <w:tcBorders>
                    <w:top w:val="single" w:color="000000" w:sz="4" w:space="0"/>
                    <w:left w:val="single" w:color="000000" w:sz="4" w:space="0"/>
                    <w:bottom w:val="single" w:color="000000" w:sz="4" w:space="0"/>
                    <w:right w:val="single" w:color="000000" w:sz="4" w:space="0"/>
                  </w:tcBorders>
                  <w:vAlign w:val="center"/>
                </w:tcPr>
                <w:p w14:paraId="6BB0770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氯化钠</w:t>
                  </w:r>
                </w:p>
              </w:tc>
              <w:tc>
                <w:tcPr>
                  <w:tcW w:w="0" w:type="auto"/>
                  <w:tcBorders>
                    <w:top w:val="single" w:color="000000" w:sz="4" w:space="0"/>
                    <w:left w:val="single" w:color="000000" w:sz="4" w:space="0"/>
                    <w:bottom w:val="single" w:color="000000" w:sz="4" w:space="0"/>
                    <w:right w:val="single" w:color="000000" w:sz="4" w:space="0"/>
                  </w:tcBorders>
                  <w:vAlign w:val="center"/>
                </w:tcPr>
                <w:p w14:paraId="3CE80B3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氯化亚铜</w:t>
                  </w:r>
                </w:p>
              </w:tc>
            </w:tr>
            <w:tr w14:paraId="59F0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C2B90F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成分含量/%</w:t>
                  </w:r>
                </w:p>
              </w:tc>
              <w:tc>
                <w:tcPr>
                  <w:tcW w:w="0" w:type="auto"/>
                  <w:tcBorders>
                    <w:top w:val="single" w:color="000000" w:sz="4" w:space="0"/>
                    <w:left w:val="single" w:color="000000" w:sz="4" w:space="0"/>
                    <w:bottom w:val="single" w:color="000000" w:sz="4" w:space="0"/>
                    <w:right w:val="single" w:color="000000" w:sz="4" w:space="0"/>
                  </w:tcBorders>
                  <w:vAlign w:val="center"/>
                </w:tcPr>
                <w:p w14:paraId="1052D58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0.07</w:t>
                  </w:r>
                </w:p>
              </w:tc>
              <w:tc>
                <w:tcPr>
                  <w:tcW w:w="0" w:type="auto"/>
                  <w:tcBorders>
                    <w:top w:val="single" w:color="000000" w:sz="4" w:space="0"/>
                    <w:left w:val="single" w:color="000000" w:sz="4" w:space="0"/>
                    <w:bottom w:val="single" w:color="000000" w:sz="4" w:space="0"/>
                    <w:right w:val="single" w:color="000000" w:sz="4" w:space="0"/>
                  </w:tcBorders>
                  <w:vAlign w:val="center"/>
                </w:tcPr>
                <w:p w14:paraId="2747EC3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0.09</w:t>
                  </w:r>
                </w:p>
              </w:tc>
              <w:tc>
                <w:tcPr>
                  <w:tcW w:w="0" w:type="auto"/>
                  <w:tcBorders>
                    <w:top w:val="single" w:color="000000" w:sz="4" w:space="0"/>
                    <w:left w:val="single" w:color="000000" w:sz="4" w:space="0"/>
                    <w:bottom w:val="single" w:color="000000" w:sz="4" w:space="0"/>
                    <w:right w:val="single" w:color="000000" w:sz="4" w:space="0"/>
                  </w:tcBorders>
                  <w:vAlign w:val="center"/>
                </w:tcPr>
                <w:p w14:paraId="7396C46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0.04</w:t>
                  </w:r>
                </w:p>
              </w:tc>
              <w:tc>
                <w:tcPr>
                  <w:tcW w:w="0" w:type="auto"/>
                  <w:tcBorders>
                    <w:top w:val="single" w:color="000000" w:sz="4" w:space="0"/>
                    <w:left w:val="single" w:color="000000" w:sz="4" w:space="0"/>
                    <w:bottom w:val="single" w:color="000000" w:sz="4" w:space="0"/>
                    <w:right w:val="single" w:color="000000" w:sz="4" w:space="0"/>
                  </w:tcBorders>
                  <w:vAlign w:val="center"/>
                </w:tcPr>
                <w:p w14:paraId="26EFD41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0.31</w:t>
                  </w:r>
                </w:p>
              </w:tc>
              <w:tc>
                <w:tcPr>
                  <w:tcW w:w="0" w:type="auto"/>
                  <w:tcBorders>
                    <w:top w:val="single" w:color="000000" w:sz="4" w:space="0"/>
                    <w:left w:val="single" w:color="000000" w:sz="4" w:space="0"/>
                    <w:bottom w:val="single" w:color="000000" w:sz="4" w:space="0"/>
                    <w:right w:val="single" w:color="000000" w:sz="4" w:space="0"/>
                  </w:tcBorders>
                  <w:vAlign w:val="center"/>
                </w:tcPr>
                <w:p w14:paraId="3962F4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0.58</w:t>
                  </w:r>
                </w:p>
              </w:tc>
            </w:tr>
          </w:tbl>
          <w:p w14:paraId="3D48A271">
            <w:pPr>
              <w:keepNext w:val="0"/>
              <w:keepLines w:val="0"/>
              <w:suppressLineNumbers w:val="0"/>
              <w:spacing w:before="0" w:beforeAutospacing="0" w:after="0" w:afterAutospacing="0"/>
              <w:ind w:left="0" w:right="0"/>
              <w:rPr>
                <w:rFonts w:hint="default" w:ascii="Times New Roman" w:hAnsi="Times New Roman" w:cs="Times New Roman"/>
              </w:rPr>
            </w:pPr>
          </w:p>
          <w:p w14:paraId="33F009EB">
            <w:pPr>
              <w:keepNext w:val="0"/>
              <w:keepLines w:val="0"/>
              <w:suppressLineNumbers w:val="0"/>
              <w:spacing w:before="0" w:beforeAutospacing="0" w:after="0" w:afterAutospacing="0"/>
              <w:ind w:left="0" w:right="0" w:firstLine="482" w:firstLineChars="20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表</w:t>
            </w:r>
            <w:r>
              <w:rPr>
                <w:rFonts w:hint="default" w:ascii="Times New Roman" w:hAnsi="Times New Roman" w:eastAsia="宋体" w:cs="Times New Roman"/>
                <w:b/>
                <w:bCs/>
                <w:sz w:val="24"/>
                <w:lang w:val="en-US" w:eastAsia="zh-CN"/>
              </w:rPr>
              <w:t>2-1</w:t>
            </w:r>
            <w:r>
              <w:rPr>
                <w:rFonts w:hint="default" w:ascii="Times New Roman" w:hAnsi="Times New Roman" w:cs="Times New Roman"/>
                <w:b/>
                <w:bCs/>
                <w:sz w:val="24"/>
                <w:lang w:val="en-US" w:eastAsia="zh-CN"/>
              </w:rPr>
              <w:t>9</w:t>
            </w:r>
            <w:r>
              <w:rPr>
                <w:rFonts w:hint="default" w:ascii="Times New Roman" w:hAnsi="Times New Roman" w:eastAsia="宋体" w:cs="Times New Roman"/>
                <w:b/>
                <w:bCs/>
                <w:sz w:val="24"/>
              </w:rPr>
              <w:t xml:space="preserve"> 提铜</w:t>
            </w:r>
            <w:r>
              <w:rPr>
                <w:rFonts w:hint="default" w:ascii="Times New Roman" w:hAnsi="Times New Roman" w:eastAsia="宋体" w:cs="Times New Roman"/>
                <w:b/>
                <w:bCs/>
                <w:sz w:val="24"/>
                <w:lang w:val="en-US" w:eastAsia="zh-CN"/>
              </w:rPr>
              <w:t>渣浆</w:t>
            </w:r>
            <w:r>
              <w:rPr>
                <w:rFonts w:hint="default" w:ascii="Times New Roman" w:hAnsi="Times New Roman" w:eastAsia="宋体" w:cs="Times New Roman"/>
                <w:b/>
                <w:bCs/>
                <w:sz w:val="24"/>
              </w:rPr>
              <w:t>全元素分析结果</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080"/>
              <w:gridCol w:w="1299"/>
              <w:gridCol w:w="1080"/>
              <w:gridCol w:w="1299"/>
              <w:gridCol w:w="1299"/>
              <w:gridCol w:w="1189"/>
            </w:tblGrid>
            <w:tr w14:paraId="066F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CA43D7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6761CB2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Li</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31C49F2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Be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3B0C333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31EC4E1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Na</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7E2A21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41579B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Al</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16E2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C70DD6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016790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2006.22</w:t>
                  </w:r>
                </w:p>
              </w:tc>
              <w:tc>
                <w:tcPr>
                  <w:tcW w:w="0" w:type="auto"/>
                  <w:tcBorders>
                    <w:top w:val="single" w:color="000000" w:sz="4" w:space="0"/>
                    <w:left w:val="single" w:color="000000" w:sz="4" w:space="0"/>
                    <w:bottom w:val="single" w:color="000000" w:sz="4" w:space="0"/>
                    <w:right w:val="single" w:color="000000" w:sz="4" w:space="0"/>
                  </w:tcBorders>
                  <w:vAlign w:val="center"/>
                </w:tcPr>
                <w:p w14:paraId="4EA69E0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3.71</w:t>
                  </w:r>
                </w:p>
              </w:tc>
              <w:tc>
                <w:tcPr>
                  <w:tcW w:w="0" w:type="auto"/>
                  <w:tcBorders>
                    <w:top w:val="single" w:color="000000" w:sz="4" w:space="0"/>
                    <w:left w:val="single" w:color="000000" w:sz="4" w:space="0"/>
                    <w:bottom w:val="single" w:color="000000" w:sz="4" w:space="0"/>
                    <w:right w:val="single" w:color="000000" w:sz="4" w:space="0"/>
                  </w:tcBorders>
                  <w:vAlign w:val="center"/>
                </w:tcPr>
                <w:p w14:paraId="78624C2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20018.59</w:t>
                  </w:r>
                </w:p>
              </w:tc>
              <w:tc>
                <w:tcPr>
                  <w:tcW w:w="0" w:type="auto"/>
                  <w:tcBorders>
                    <w:top w:val="single" w:color="000000" w:sz="4" w:space="0"/>
                    <w:left w:val="single" w:color="000000" w:sz="4" w:space="0"/>
                    <w:bottom w:val="single" w:color="000000" w:sz="4" w:space="0"/>
                    <w:right w:val="single" w:color="000000" w:sz="4" w:space="0"/>
                  </w:tcBorders>
                  <w:vAlign w:val="center"/>
                </w:tcPr>
                <w:p w14:paraId="3D38923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8346001.45</w:t>
                  </w:r>
                </w:p>
              </w:tc>
              <w:tc>
                <w:tcPr>
                  <w:tcW w:w="0" w:type="auto"/>
                  <w:tcBorders>
                    <w:top w:val="single" w:color="000000" w:sz="4" w:space="0"/>
                    <w:left w:val="single" w:color="000000" w:sz="4" w:space="0"/>
                    <w:bottom w:val="single" w:color="000000" w:sz="4" w:space="0"/>
                    <w:right w:val="single" w:color="000000" w:sz="4" w:space="0"/>
                  </w:tcBorders>
                  <w:vAlign w:val="center"/>
                </w:tcPr>
                <w:p w14:paraId="256479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126962.88</w:t>
                  </w:r>
                </w:p>
              </w:tc>
              <w:tc>
                <w:tcPr>
                  <w:tcW w:w="0" w:type="auto"/>
                  <w:tcBorders>
                    <w:top w:val="single" w:color="000000" w:sz="4" w:space="0"/>
                    <w:left w:val="single" w:color="000000" w:sz="4" w:space="0"/>
                    <w:bottom w:val="single" w:color="000000" w:sz="4" w:space="0"/>
                    <w:right w:val="single" w:color="000000" w:sz="4" w:space="0"/>
                  </w:tcBorders>
                  <w:vAlign w:val="center"/>
                </w:tcPr>
                <w:p w14:paraId="50C1D87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496196.18</w:t>
                  </w:r>
                </w:p>
              </w:tc>
            </w:tr>
            <w:tr w14:paraId="44E8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76A8C5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43F094F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K</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30BC1EA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Ca</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91CC36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Sc</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02F3B6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Ti</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A761C7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V</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609679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79AA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15B342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0DB2CC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69349.20</w:t>
                  </w:r>
                </w:p>
              </w:tc>
              <w:tc>
                <w:tcPr>
                  <w:tcW w:w="0" w:type="auto"/>
                  <w:tcBorders>
                    <w:top w:val="single" w:color="000000" w:sz="4" w:space="0"/>
                    <w:left w:val="single" w:color="000000" w:sz="4" w:space="0"/>
                    <w:bottom w:val="single" w:color="000000" w:sz="4" w:space="0"/>
                    <w:right w:val="single" w:color="000000" w:sz="4" w:space="0"/>
                  </w:tcBorders>
                  <w:vAlign w:val="center"/>
                </w:tcPr>
                <w:p w14:paraId="238FA1C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1094574.26</w:t>
                  </w:r>
                </w:p>
              </w:tc>
              <w:tc>
                <w:tcPr>
                  <w:tcW w:w="0" w:type="auto"/>
                  <w:tcBorders>
                    <w:top w:val="single" w:color="000000" w:sz="4" w:space="0"/>
                    <w:left w:val="single" w:color="000000" w:sz="4" w:space="0"/>
                    <w:bottom w:val="single" w:color="000000" w:sz="4" w:space="0"/>
                    <w:right w:val="single" w:color="000000" w:sz="4" w:space="0"/>
                  </w:tcBorders>
                  <w:vAlign w:val="center"/>
                </w:tcPr>
                <w:p w14:paraId="3FCCB27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4431.15</w:t>
                  </w:r>
                </w:p>
              </w:tc>
              <w:tc>
                <w:tcPr>
                  <w:tcW w:w="0" w:type="auto"/>
                  <w:tcBorders>
                    <w:top w:val="single" w:color="000000" w:sz="4" w:space="0"/>
                    <w:left w:val="single" w:color="000000" w:sz="4" w:space="0"/>
                    <w:bottom w:val="single" w:color="000000" w:sz="4" w:space="0"/>
                    <w:right w:val="single" w:color="000000" w:sz="4" w:space="0"/>
                  </w:tcBorders>
                  <w:vAlign w:val="center"/>
                </w:tcPr>
                <w:p w14:paraId="309C83D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133435.93</w:t>
                  </w:r>
                </w:p>
              </w:tc>
              <w:tc>
                <w:tcPr>
                  <w:tcW w:w="0" w:type="auto"/>
                  <w:tcBorders>
                    <w:top w:val="single" w:color="000000" w:sz="4" w:space="0"/>
                    <w:left w:val="single" w:color="000000" w:sz="4" w:space="0"/>
                    <w:bottom w:val="single" w:color="000000" w:sz="4" w:space="0"/>
                    <w:right w:val="single" w:color="000000" w:sz="4" w:space="0"/>
                  </w:tcBorders>
                  <w:vAlign w:val="center"/>
                </w:tcPr>
                <w:p w14:paraId="63EDAF4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17010.89</w:t>
                  </w:r>
                </w:p>
              </w:tc>
              <w:tc>
                <w:tcPr>
                  <w:tcW w:w="0" w:type="auto"/>
                  <w:tcBorders>
                    <w:top w:val="single" w:color="000000" w:sz="4" w:space="0"/>
                    <w:left w:val="single" w:color="000000" w:sz="4" w:space="0"/>
                    <w:bottom w:val="single" w:color="000000" w:sz="4" w:space="0"/>
                    <w:right w:val="single" w:color="000000" w:sz="4" w:space="0"/>
                  </w:tcBorders>
                  <w:vAlign w:val="center"/>
                </w:tcPr>
                <w:p w14:paraId="3FB72AF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36950.10</w:t>
                  </w:r>
                </w:p>
              </w:tc>
            </w:tr>
            <w:tr w14:paraId="0927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584BB1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3982025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Mn</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2809E6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Fe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44B80D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Co</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2D7B81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Ni</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482C919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Cu</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4996021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Zn</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2F1E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7AF649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6020F66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46358.49</w:t>
                  </w:r>
                </w:p>
              </w:tc>
              <w:tc>
                <w:tcPr>
                  <w:tcW w:w="0" w:type="auto"/>
                  <w:tcBorders>
                    <w:top w:val="single" w:color="000000" w:sz="4" w:space="0"/>
                    <w:left w:val="single" w:color="000000" w:sz="4" w:space="0"/>
                    <w:bottom w:val="single" w:color="000000" w:sz="4" w:space="0"/>
                    <w:right w:val="single" w:color="000000" w:sz="4" w:space="0"/>
                  </w:tcBorders>
                  <w:vAlign w:val="center"/>
                </w:tcPr>
                <w:p w14:paraId="1BCA236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4446717.99</w:t>
                  </w:r>
                </w:p>
              </w:tc>
              <w:tc>
                <w:tcPr>
                  <w:tcW w:w="0" w:type="auto"/>
                  <w:tcBorders>
                    <w:top w:val="single" w:color="000000" w:sz="4" w:space="0"/>
                    <w:left w:val="single" w:color="000000" w:sz="4" w:space="0"/>
                    <w:bottom w:val="single" w:color="000000" w:sz="4" w:space="0"/>
                    <w:right w:val="single" w:color="000000" w:sz="4" w:space="0"/>
                  </w:tcBorders>
                  <w:vAlign w:val="center"/>
                </w:tcPr>
                <w:p w14:paraId="264E878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2683.33</w:t>
                  </w:r>
                </w:p>
              </w:tc>
              <w:tc>
                <w:tcPr>
                  <w:tcW w:w="0" w:type="auto"/>
                  <w:tcBorders>
                    <w:top w:val="single" w:color="000000" w:sz="4" w:space="0"/>
                    <w:left w:val="single" w:color="000000" w:sz="4" w:space="0"/>
                    <w:bottom w:val="single" w:color="000000" w:sz="4" w:space="0"/>
                    <w:right w:val="single" w:color="000000" w:sz="4" w:space="0"/>
                  </w:tcBorders>
                  <w:vAlign w:val="center"/>
                </w:tcPr>
                <w:p w14:paraId="577F1A5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60993.51</w:t>
                  </w:r>
                </w:p>
              </w:tc>
              <w:tc>
                <w:tcPr>
                  <w:tcW w:w="0" w:type="auto"/>
                  <w:tcBorders>
                    <w:top w:val="single" w:color="000000" w:sz="4" w:space="0"/>
                    <w:left w:val="single" w:color="000000" w:sz="4" w:space="0"/>
                    <w:bottom w:val="single" w:color="000000" w:sz="4" w:space="0"/>
                    <w:right w:val="single" w:color="000000" w:sz="4" w:space="0"/>
                  </w:tcBorders>
                  <w:vAlign w:val="center"/>
                </w:tcPr>
                <w:p w14:paraId="71509D1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5565495.45</w:t>
                  </w:r>
                </w:p>
              </w:tc>
              <w:tc>
                <w:tcPr>
                  <w:tcW w:w="0" w:type="auto"/>
                  <w:tcBorders>
                    <w:top w:val="single" w:color="000000" w:sz="4" w:space="0"/>
                    <w:left w:val="single" w:color="000000" w:sz="4" w:space="0"/>
                    <w:bottom w:val="single" w:color="000000" w:sz="4" w:space="0"/>
                    <w:right w:val="single" w:color="000000" w:sz="4" w:space="0"/>
                  </w:tcBorders>
                  <w:vAlign w:val="center"/>
                </w:tcPr>
                <w:p w14:paraId="26F34F1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51741.66</w:t>
                  </w:r>
                </w:p>
              </w:tc>
            </w:tr>
            <w:tr w14:paraId="02D9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95826C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6E21E2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Ga</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9F76B1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Ge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B636E7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As</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AE89F0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5A4FFFD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Kr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76F9ABC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Rb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6F61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F6417C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2992614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2284.09</w:t>
                  </w:r>
                </w:p>
              </w:tc>
              <w:tc>
                <w:tcPr>
                  <w:tcW w:w="0" w:type="auto"/>
                  <w:tcBorders>
                    <w:top w:val="single" w:color="000000" w:sz="4" w:space="0"/>
                    <w:left w:val="single" w:color="000000" w:sz="4" w:space="0"/>
                    <w:bottom w:val="single" w:color="000000" w:sz="4" w:space="0"/>
                    <w:right w:val="single" w:color="000000" w:sz="4" w:space="0"/>
                  </w:tcBorders>
                  <w:vAlign w:val="center"/>
                </w:tcPr>
                <w:p w14:paraId="68E2CC6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1564.63</w:t>
                  </w:r>
                </w:p>
              </w:tc>
              <w:tc>
                <w:tcPr>
                  <w:tcW w:w="0" w:type="auto"/>
                  <w:tcBorders>
                    <w:top w:val="single" w:color="000000" w:sz="4" w:space="0"/>
                    <w:left w:val="single" w:color="000000" w:sz="4" w:space="0"/>
                    <w:bottom w:val="single" w:color="000000" w:sz="4" w:space="0"/>
                    <w:right w:val="single" w:color="000000" w:sz="4" w:space="0"/>
                  </w:tcBorders>
                  <w:vAlign w:val="center"/>
                </w:tcPr>
                <w:p w14:paraId="6A3C842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95.97</w:t>
                  </w:r>
                </w:p>
              </w:tc>
              <w:tc>
                <w:tcPr>
                  <w:tcW w:w="0" w:type="auto"/>
                  <w:tcBorders>
                    <w:top w:val="single" w:color="000000" w:sz="4" w:space="0"/>
                    <w:left w:val="single" w:color="000000" w:sz="4" w:space="0"/>
                    <w:bottom w:val="single" w:color="000000" w:sz="4" w:space="0"/>
                    <w:right w:val="single" w:color="000000" w:sz="4" w:space="0"/>
                  </w:tcBorders>
                  <w:vAlign w:val="center"/>
                </w:tcPr>
                <w:p w14:paraId="34DDF72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199.29</w:t>
                  </w:r>
                </w:p>
              </w:tc>
              <w:tc>
                <w:tcPr>
                  <w:tcW w:w="0" w:type="auto"/>
                  <w:tcBorders>
                    <w:top w:val="single" w:color="000000" w:sz="4" w:space="0"/>
                    <w:left w:val="single" w:color="000000" w:sz="4" w:space="0"/>
                    <w:bottom w:val="single" w:color="000000" w:sz="4" w:space="0"/>
                    <w:right w:val="single" w:color="000000" w:sz="4" w:space="0"/>
                  </w:tcBorders>
                  <w:vAlign w:val="center"/>
                </w:tcPr>
                <w:p w14:paraId="70CF21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277.29</w:t>
                  </w:r>
                </w:p>
              </w:tc>
              <w:tc>
                <w:tcPr>
                  <w:tcW w:w="0" w:type="auto"/>
                  <w:tcBorders>
                    <w:top w:val="single" w:color="000000" w:sz="4" w:space="0"/>
                    <w:left w:val="single" w:color="000000" w:sz="4" w:space="0"/>
                    <w:bottom w:val="single" w:color="000000" w:sz="4" w:space="0"/>
                    <w:right w:val="single" w:color="000000" w:sz="4" w:space="0"/>
                  </w:tcBorders>
                  <w:vAlign w:val="center"/>
                </w:tcPr>
                <w:p w14:paraId="49053B7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1300.54</w:t>
                  </w:r>
                </w:p>
              </w:tc>
            </w:tr>
            <w:tr w14:paraId="64D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350647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2B56D9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7138708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Y</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7351ACB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Zr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9FCB5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Nb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71BE3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Mo</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0F766F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Ru</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7F2F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72E41F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26E2EBD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30276.73</w:t>
                  </w:r>
                </w:p>
              </w:tc>
              <w:tc>
                <w:tcPr>
                  <w:tcW w:w="0" w:type="auto"/>
                  <w:tcBorders>
                    <w:top w:val="single" w:color="000000" w:sz="4" w:space="0"/>
                    <w:left w:val="single" w:color="000000" w:sz="4" w:space="0"/>
                    <w:bottom w:val="single" w:color="000000" w:sz="4" w:space="0"/>
                    <w:right w:val="single" w:color="000000" w:sz="4" w:space="0"/>
                  </w:tcBorders>
                  <w:vAlign w:val="center"/>
                </w:tcPr>
                <w:p w14:paraId="7F19939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1215.34</w:t>
                  </w:r>
                </w:p>
              </w:tc>
              <w:tc>
                <w:tcPr>
                  <w:tcW w:w="0" w:type="auto"/>
                  <w:tcBorders>
                    <w:top w:val="single" w:color="000000" w:sz="4" w:space="0"/>
                    <w:left w:val="single" w:color="000000" w:sz="4" w:space="0"/>
                    <w:bottom w:val="single" w:color="000000" w:sz="4" w:space="0"/>
                    <w:right w:val="single" w:color="000000" w:sz="4" w:space="0"/>
                  </w:tcBorders>
                  <w:vAlign w:val="center"/>
                </w:tcPr>
                <w:p w14:paraId="2274DA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9672.11</w:t>
                  </w:r>
                </w:p>
              </w:tc>
              <w:tc>
                <w:tcPr>
                  <w:tcW w:w="0" w:type="auto"/>
                  <w:tcBorders>
                    <w:top w:val="single" w:color="000000" w:sz="4" w:space="0"/>
                    <w:left w:val="single" w:color="000000" w:sz="4" w:space="0"/>
                    <w:bottom w:val="single" w:color="000000" w:sz="4" w:space="0"/>
                    <w:right w:val="single" w:color="000000" w:sz="4" w:space="0"/>
                  </w:tcBorders>
                  <w:vAlign w:val="center"/>
                </w:tcPr>
                <w:p w14:paraId="531A90C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98.74</w:t>
                  </w:r>
                </w:p>
              </w:tc>
              <w:tc>
                <w:tcPr>
                  <w:tcW w:w="0" w:type="auto"/>
                  <w:tcBorders>
                    <w:top w:val="single" w:color="000000" w:sz="4" w:space="0"/>
                    <w:left w:val="single" w:color="000000" w:sz="4" w:space="0"/>
                    <w:bottom w:val="single" w:color="000000" w:sz="4" w:space="0"/>
                    <w:right w:val="single" w:color="000000" w:sz="4" w:space="0"/>
                  </w:tcBorders>
                  <w:vAlign w:val="center"/>
                </w:tcPr>
                <w:p w14:paraId="65449F9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2801.36</w:t>
                  </w:r>
                </w:p>
              </w:tc>
              <w:tc>
                <w:tcPr>
                  <w:tcW w:w="0" w:type="auto"/>
                  <w:tcBorders>
                    <w:top w:val="single" w:color="000000" w:sz="4" w:space="0"/>
                    <w:left w:val="single" w:color="000000" w:sz="4" w:space="0"/>
                    <w:bottom w:val="single" w:color="000000" w:sz="4" w:space="0"/>
                    <w:right w:val="single" w:color="000000" w:sz="4" w:space="0"/>
                  </w:tcBorders>
                  <w:vAlign w:val="center"/>
                </w:tcPr>
                <w:p w14:paraId="36E5CAF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0.00</w:t>
                  </w:r>
                </w:p>
              </w:tc>
            </w:tr>
            <w:tr w14:paraId="56B6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7E2FF4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3003919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Rh</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5189C8C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Pd</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7AB7765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Ag</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EF1FA7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Cd</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455FA6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In</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50DCA0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Sn</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7517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31B81E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35D07BA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72.26</w:t>
                  </w:r>
                </w:p>
              </w:tc>
              <w:tc>
                <w:tcPr>
                  <w:tcW w:w="0" w:type="auto"/>
                  <w:tcBorders>
                    <w:top w:val="single" w:color="000000" w:sz="4" w:space="0"/>
                    <w:left w:val="single" w:color="000000" w:sz="4" w:space="0"/>
                    <w:bottom w:val="single" w:color="000000" w:sz="4" w:space="0"/>
                    <w:right w:val="single" w:color="000000" w:sz="4" w:space="0"/>
                  </w:tcBorders>
                  <w:vAlign w:val="center"/>
                </w:tcPr>
                <w:p w14:paraId="0F8D8CE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160.40</w:t>
                  </w:r>
                </w:p>
              </w:tc>
              <w:tc>
                <w:tcPr>
                  <w:tcW w:w="0" w:type="auto"/>
                  <w:tcBorders>
                    <w:top w:val="single" w:color="000000" w:sz="4" w:space="0"/>
                    <w:left w:val="single" w:color="000000" w:sz="4" w:space="0"/>
                    <w:bottom w:val="single" w:color="000000" w:sz="4" w:space="0"/>
                    <w:right w:val="single" w:color="000000" w:sz="4" w:space="0"/>
                  </w:tcBorders>
                  <w:vAlign w:val="center"/>
                </w:tcPr>
                <w:p w14:paraId="5972920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341.19</w:t>
                  </w:r>
                </w:p>
              </w:tc>
              <w:tc>
                <w:tcPr>
                  <w:tcW w:w="0" w:type="auto"/>
                  <w:tcBorders>
                    <w:top w:val="single" w:color="000000" w:sz="4" w:space="0"/>
                    <w:left w:val="single" w:color="000000" w:sz="4" w:space="0"/>
                    <w:bottom w:val="single" w:color="000000" w:sz="4" w:space="0"/>
                    <w:right w:val="single" w:color="000000" w:sz="4" w:space="0"/>
                  </w:tcBorders>
                  <w:vAlign w:val="center"/>
                </w:tcPr>
                <w:p w14:paraId="4A52796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1122.59</w:t>
                  </w:r>
                </w:p>
              </w:tc>
              <w:tc>
                <w:tcPr>
                  <w:tcW w:w="0" w:type="auto"/>
                  <w:tcBorders>
                    <w:top w:val="single" w:color="000000" w:sz="4" w:space="0"/>
                    <w:left w:val="single" w:color="000000" w:sz="4" w:space="0"/>
                    <w:bottom w:val="single" w:color="000000" w:sz="4" w:space="0"/>
                    <w:right w:val="single" w:color="000000" w:sz="4" w:space="0"/>
                  </w:tcBorders>
                  <w:vAlign w:val="center"/>
                </w:tcPr>
                <w:p w14:paraId="4A17057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185.26</w:t>
                  </w:r>
                </w:p>
              </w:tc>
              <w:tc>
                <w:tcPr>
                  <w:tcW w:w="0" w:type="auto"/>
                  <w:tcBorders>
                    <w:top w:val="single" w:color="000000" w:sz="4" w:space="0"/>
                    <w:left w:val="single" w:color="000000" w:sz="4" w:space="0"/>
                    <w:bottom w:val="single" w:color="000000" w:sz="4" w:space="0"/>
                    <w:right w:val="single" w:color="000000" w:sz="4" w:space="0"/>
                  </w:tcBorders>
                  <w:vAlign w:val="center"/>
                </w:tcPr>
                <w:p w14:paraId="52CE5C8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50146.01</w:t>
                  </w:r>
                </w:p>
              </w:tc>
            </w:tr>
            <w:tr w14:paraId="7B27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DE6171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448DA70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DDB265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F90455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Xe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B698D2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Cs</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200BD3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Ba</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5449211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La</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5034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FC6611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4FACC08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124.46</w:t>
                  </w:r>
                </w:p>
              </w:tc>
              <w:tc>
                <w:tcPr>
                  <w:tcW w:w="0" w:type="auto"/>
                  <w:tcBorders>
                    <w:top w:val="single" w:color="000000" w:sz="4" w:space="0"/>
                    <w:left w:val="single" w:color="000000" w:sz="4" w:space="0"/>
                    <w:bottom w:val="single" w:color="000000" w:sz="4" w:space="0"/>
                    <w:right w:val="single" w:color="000000" w:sz="4" w:space="0"/>
                  </w:tcBorders>
                  <w:vAlign w:val="center"/>
                </w:tcPr>
                <w:p w14:paraId="2E5087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104.01</w:t>
                  </w:r>
                </w:p>
              </w:tc>
              <w:tc>
                <w:tcPr>
                  <w:tcW w:w="0" w:type="auto"/>
                  <w:tcBorders>
                    <w:top w:val="single" w:color="000000" w:sz="4" w:space="0"/>
                    <w:left w:val="single" w:color="000000" w:sz="4" w:space="0"/>
                    <w:bottom w:val="single" w:color="000000" w:sz="4" w:space="0"/>
                    <w:right w:val="single" w:color="000000" w:sz="4" w:space="0"/>
                  </w:tcBorders>
                  <w:vAlign w:val="center"/>
                </w:tcPr>
                <w:p w14:paraId="12A0442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181.73</w:t>
                  </w:r>
                </w:p>
              </w:tc>
              <w:tc>
                <w:tcPr>
                  <w:tcW w:w="0" w:type="auto"/>
                  <w:tcBorders>
                    <w:top w:val="single" w:color="000000" w:sz="4" w:space="0"/>
                    <w:left w:val="single" w:color="000000" w:sz="4" w:space="0"/>
                    <w:bottom w:val="single" w:color="000000" w:sz="4" w:space="0"/>
                    <w:right w:val="single" w:color="000000" w:sz="4" w:space="0"/>
                  </w:tcBorders>
                  <w:vAlign w:val="center"/>
                </w:tcPr>
                <w:p w14:paraId="0D0480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578.53</w:t>
                  </w:r>
                </w:p>
              </w:tc>
              <w:tc>
                <w:tcPr>
                  <w:tcW w:w="0" w:type="auto"/>
                  <w:tcBorders>
                    <w:top w:val="single" w:color="000000" w:sz="4" w:space="0"/>
                    <w:left w:val="single" w:color="000000" w:sz="4" w:space="0"/>
                    <w:bottom w:val="single" w:color="000000" w:sz="4" w:space="0"/>
                    <w:right w:val="single" w:color="000000" w:sz="4" w:space="0"/>
                  </w:tcBorders>
                  <w:vAlign w:val="center"/>
                </w:tcPr>
                <w:p w14:paraId="6FF556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32490.09</w:t>
                  </w:r>
                </w:p>
              </w:tc>
              <w:tc>
                <w:tcPr>
                  <w:tcW w:w="0" w:type="auto"/>
                  <w:tcBorders>
                    <w:top w:val="single" w:color="000000" w:sz="4" w:space="0"/>
                    <w:left w:val="single" w:color="000000" w:sz="4" w:space="0"/>
                    <w:bottom w:val="single" w:color="000000" w:sz="4" w:space="0"/>
                    <w:right w:val="single" w:color="000000" w:sz="4" w:space="0"/>
                  </w:tcBorders>
                  <w:vAlign w:val="center"/>
                </w:tcPr>
                <w:p w14:paraId="23E782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4119.37</w:t>
                  </w:r>
                </w:p>
              </w:tc>
            </w:tr>
            <w:tr w14:paraId="283E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2541E9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46C1588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026F0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0077141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Nd</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336BED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Sm</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7E689C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Er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74F0B43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Gd</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7D10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B5BA2A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5218B9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8170.65</w:t>
                  </w:r>
                </w:p>
              </w:tc>
              <w:tc>
                <w:tcPr>
                  <w:tcW w:w="0" w:type="auto"/>
                  <w:tcBorders>
                    <w:top w:val="single" w:color="000000" w:sz="4" w:space="0"/>
                    <w:left w:val="single" w:color="000000" w:sz="4" w:space="0"/>
                    <w:bottom w:val="single" w:color="000000" w:sz="4" w:space="0"/>
                    <w:right w:val="single" w:color="000000" w:sz="4" w:space="0"/>
                  </w:tcBorders>
                  <w:vAlign w:val="center"/>
                </w:tcPr>
                <w:p w14:paraId="58E1C90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1257.88</w:t>
                  </w:r>
                </w:p>
              </w:tc>
              <w:tc>
                <w:tcPr>
                  <w:tcW w:w="0" w:type="auto"/>
                  <w:tcBorders>
                    <w:top w:val="single" w:color="000000" w:sz="4" w:space="0"/>
                    <w:left w:val="single" w:color="000000" w:sz="4" w:space="0"/>
                    <w:bottom w:val="single" w:color="000000" w:sz="4" w:space="0"/>
                    <w:right w:val="single" w:color="000000" w:sz="4" w:space="0"/>
                  </w:tcBorders>
                  <w:vAlign w:val="center"/>
                </w:tcPr>
                <w:p w14:paraId="08CAB73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9347.60</w:t>
                  </w:r>
                </w:p>
              </w:tc>
              <w:tc>
                <w:tcPr>
                  <w:tcW w:w="0" w:type="auto"/>
                  <w:tcBorders>
                    <w:top w:val="single" w:color="000000" w:sz="4" w:space="0"/>
                    <w:left w:val="single" w:color="000000" w:sz="4" w:space="0"/>
                    <w:bottom w:val="single" w:color="000000" w:sz="4" w:space="0"/>
                    <w:right w:val="single" w:color="000000" w:sz="4" w:space="0"/>
                  </w:tcBorders>
                  <w:vAlign w:val="center"/>
                </w:tcPr>
                <w:p w14:paraId="58A6B66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446.54</w:t>
                  </w:r>
                </w:p>
              </w:tc>
              <w:tc>
                <w:tcPr>
                  <w:tcW w:w="0" w:type="auto"/>
                  <w:tcBorders>
                    <w:top w:val="single" w:color="000000" w:sz="4" w:space="0"/>
                    <w:left w:val="single" w:color="000000" w:sz="4" w:space="0"/>
                    <w:bottom w:val="single" w:color="000000" w:sz="4" w:space="0"/>
                    <w:right w:val="single" w:color="000000" w:sz="4" w:space="0"/>
                  </w:tcBorders>
                  <w:vAlign w:val="center"/>
                </w:tcPr>
                <w:p w14:paraId="60F6EB6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110.53</w:t>
                  </w:r>
                </w:p>
              </w:tc>
              <w:tc>
                <w:tcPr>
                  <w:tcW w:w="0" w:type="auto"/>
                  <w:tcBorders>
                    <w:top w:val="single" w:color="000000" w:sz="4" w:space="0"/>
                    <w:left w:val="single" w:color="000000" w:sz="4" w:space="0"/>
                    <w:bottom w:val="single" w:color="000000" w:sz="4" w:space="0"/>
                    <w:right w:val="single" w:color="000000" w:sz="4" w:space="0"/>
                  </w:tcBorders>
                  <w:vAlign w:val="center"/>
                </w:tcPr>
                <w:p w14:paraId="7901C35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641.28</w:t>
                  </w:r>
                </w:p>
              </w:tc>
            </w:tr>
            <w:tr w14:paraId="253B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58E3E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02979C5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4B000B7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Dy</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3571F93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Ho</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457F022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Er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694FCC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Tm</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21C492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Yb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218F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BD4600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36B382E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94.75</w:t>
                  </w:r>
                </w:p>
              </w:tc>
              <w:tc>
                <w:tcPr>
                  <w:tcW w:w="0" w:type="auto"/>
                  <w:tcBorders>
                    <w:top w:val="single" w:color="000000" w:sz="4" w:space="0"/>
                    <w:left w:val="single" w:color="000000" w:sz="4" w:space="0"/>
                    <w:bottom w:val="single" w:color="000000" w:sz="4" w:space="0"/>
                    <w:right w:val="single" w:color="000000" w:sz="4" w:space="0"/>
                  </w:tcBorders>
                  <w:vAlign w:val="center"/>
                </w:tcPr>
                <w:p w14:paraId="464DA7D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364.13</w:t>
                  </w:r>
                </w:p>
              </w:tc>
              <w:tc>
                <w:tcPr>
                  <w:tcW w:w="0" w:type="auto"/>
                  <w:tcBorders>
                    <w:top w:val="single" w:color="000000" w:sz="4" w:space="0"/>
                    <w:left w:val="single" w:color="000000" w:sz="4" w:space="0"/>
                    <w:bottom w:val="single" w:color="000000" w:sz="4" w:space="0"/>
                    <w:right w:val="single" w:color="000000" w:sz="4" w:space="0"/>
                  </w:tcBorders>
                  <w:vAlign w:val="center"/>
                </w:tcPr>
                <w:p w14:paraId="3B40A65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61.19</w:t>
                  </w:r>
                </w:p>
              </w:tc>
              <w:tc>
                <w:tcPr>
                  <w:tcW w:w="0" w:type="auto"/>
                  <w:tcBorders>
                    <w:top w:val="single" w:color="000000" w:sz="4" w:space="0"/>
                    <w:left w:val="single" w:color="000000" w:sz="4" w:space="0"/>
                    <w:bottom w:val="single" w:color="000000" w:sz="4" w:space="0"/>
                    <w:right w:val="single" w:color="000000" w:sz="4" w:space="0"/>
                  </w:tcBorders>
                  <w:vAlign w:val="center"/>
                </w:tcPr>
                <w:p w14:paraId="266F996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110.53</w:t>
                  </w:r>
                </w:p>
              </w:tc>
              <w:tc>
                <w:tcPr>
                  <w:tcW w:w="0" w:type="auto"/>
                  <w:tcBorders>
                    <w:top w:val="single" w:color="000000" w:sz="4" w:space="0"/>
                    <w:left w:val="single" w:color="000000" w:sz="4" w:space="0"/>
                    <w:bottom w:val="single" w:color="000000" w:sz="4" w:space="0"/>
                    <w:right w:val="single" w:color="000000" w:sz="4" w:space="0"/>
                  </w:tcBorders>
                  <w:vAlign w:val="center"/>
                </w:tcPr>
                <w:p w14:paraId="731F0A4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12.53</w:t>
                  </w:r>
                </w:p>
              </w:tc>
              <w:tc>
                <w:tcPr>
                  <w:tcW w:w="0" w:type="auto"/>
                  <w:tcBorders>
                    <w:top w:val="single" w:color="000000" w:sz="4" w:space="0"/>
                    <w:left w:val="single" w:color="000000" w:sz="4" w:space="0"/>
                    <w:bottom w:val="single" w:color="000000" w:sz="4" w:space="0"/>
                    <w:right w:val="single" w:color="000000" w:sz="4" w:space="0"/>
                  </w:tcBorders>
                  <w:vAlign w:val="center"/>
                </w:tcPr>
                <w:p w14:paraId="1487A58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94.26</w:t>
                  </w:r>
                </w:p>
              </w:tc>
            </w:tr>
            <w:tr w14:paraId="2847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F47930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3863DEF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Lu</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C366A7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Hf</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ACC78A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Ta</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B1C809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5D8A90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Re</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5113D0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Os</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31D3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A86079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0B41E36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6.30</w:t>
                  </w:r>
                </w:p>
              </w:tc>
              <w:tc>
                <w:tcPr>
                  <w:tcW w:w="0" w:type="auto"/>
                  <w:tcBorders>
                    <w:top w:val="single" w:color="000000" w:sz="4" w:space="0"/>
                    <w:left w:val="single" w:color="000000" w:sz="4" w:space="0"/>
                    <w:bottom w:val="single" w:color="000000" w:sz="4" w:space="0"/>
                    <w:right w:val="single" w:color="000000" w:sz="4" w:space="0"/>
                  </w:tcBorders>
                  <w:vAlign w:val="center"/>
                </w:tcPr>
                <w:p w14:paraId="21B62BB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158.63</w:t>
                  </w:r>
                </w:p>
              </w:tc>
              <w:tc>
                <w:tcPr>
                  <w:tcW w:w="0" w:type="auto"/>
                  <w:tcBorders>
                    <w:top w:val="single" w:color="000000" w:sz="4" w:space="0"/>
                    <w:left w:val="single" w:color="000000" w:sz="4" w:space="0"/>
                    <w:bottom w:val="single" w:color="000000" w:sz="4" w:space="0"/>
                    <w:right w:val="single" w:color="000000" w:sz="4" w:space="0"/>
                  </w:tcBorders>
                  <w:vAlign w:val="center"/>
                </w:tcPr>
                <w:p w14:paraId="5D30B91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20.99</w:t>
                  </w:r>
                </w:p>
              </w:tc>
              <w:tc>
                <w:tcPr>
                  <w:tcW w:w="0" w:type="auto"/>
                  <w:tcBorders>
                    <w:top w:val="single" w:color="000000" w:sz="4" w:space="0"/>
                    <w:left w:val="single" w:color="000000" w:sz="4" w:space="0"/>
                    <w:bottom w:val="single" w:color="000000" w:sz="4" w:space="0"/>
                    <w:right w:val="single" w:color="000000" w:sz="4" w:space="0"/>
                  </w:tcBorders>
                  <w:vAlign w:val="center"/>
                </w:tcPr>
                <w:p w14:paraId="3AE22F8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2193.91</w:t>
                  </w:r>
                </w:p>
              </w:tc>
              <w:tc>
                <w:tcPr>
                  <w:tcW w:w="0" w:type="auto"/>
                  <w:tcBorders>
                    <w:top w:val="single" w:color="000000" w:sz="4" w:space="0"/>
                    <w:left w:val="single" w:color="000000" w:sz="4" w:space="0"/>
                    <w:bottom w:val="single" w:color="000000" w:sz="4" w:space="0"/>
                    <w:right w:val="single" w:color="000000" w:sz="4" w:space="0"/>
                  </w:tcBorders>
                  <w:vAlign w:val="center"/>
                </w:tcPr>
                <w:p w14:paraId="4897E15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8.73</w:t>
                  </w:r>
                </w:p>
              </w:tc>
              <w:tc>
                <w:tcPr>
                  <w:tcW w:w="0" w:type="auto"/>
                  <w:tcBorders>
                    <w:top w:val="single" w:color="000000" w:sz="4" w:space="0"/>
                    <w:left w:val="single" w:color="000000" w:sz="4" w:space="0"/>
                    <w:bottom w:val="single" w:color="000000" w:sz="4" w:space="0"/>
                    <w:right w:val="single" w:color="000000" w:sz="4" w:space="0"/>
                  </w:tcBorders>
                  <w:vAlign w:val="center"/>
                </w:tcPr>
                <w:p w14:paraId="3D8151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0.00</w:t>
                  </w:r>
                </w:p>
              </w:tc>
            </w:tr>
            <w:tr w14:paraId="6FF0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54E60B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74ACA10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Ir</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B8F2C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Pt</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386E3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Au</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4387F2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Hg</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43E62C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Tl</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5131F05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Pb</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r>
            <w:tr w14:paraId="6062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0D7638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6823C6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1.61</w:t>
                  </w:r>
                </w:p>
              </w:tc>
              <w:tc>
                <w:tcPr>
                  <w:tcW w:w="0" w:type="auto"/>
                  <w:tcBorders>
                    <w:top w:val="single" w:color="000000" w:sz="4" w:space="0"/>
                    <w:left w:val="single" w:color="000000" w:sz="4" w:space="0"/>
                    <w:bottom w:val="single" w:color="000000" w:sz="4" w:space="0"/>
                    <w:right w:val="single" w:color="000000" w:sz="4" w:space="0"/>
                  </w:tcBorders>
                  <w:vAlign w:val="center"/>
                </w:tcPr>
                <w:p w14:paraId="126CEB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9.45</w:t>
                  </w:r>
                </w:p>
              </w:tc>
              <w:tc>
                <w:tcPr>
                  <w:tcW w:w="0" w:type="auto"/>
                  <w:tcBorders>
                    <w:top w:val="single" w:color="000000" w:sz="4" w:space="0"/>
                    <w:left w:val="single" w:color="000000" w:sz="4" w:space="0"/>
                    <w:bottom w:val="single" w:color="000000" w:sz="4" w:space="0"/>
                    <w:right w:val="single" w:color="000000" w:sz="4" w:space="0"/>
                  </w:tcBorders>
                  <w:vAlign w:val="center"/>
                </w:tcPr>
                <w:p w14:paraId="0615A2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11.24</w:t>
                  </w:r>
                </w:p>
              </w:tc>
              <w:tc>
                <w:tcPr>
                  <w:tcW w:w="0" w:type="auto"/>
                  <w:tcBorders>
                    <w:top w:val="single" w:color="000000" w:sz="4" w:space="0"/>
                    <w:left w:val="single" w:color="000000" w:sz="4" w:space="0"/>
                    <w:bottom w:val="single" w:color="000000" w:sz="4" w:space="0"/>
                    <w:right w:val="single" w:color="000000" w:sz="4" w:space="0"/>
                  </w:tcBorders>
                  <w:vAlign w:val="center"/>
                </w:tcPr>
                <w:p w14:paraId="0E15747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98.06</w:t>
                  </w:r>
                </w:p>
              </w:tc>
              <w:tc>
                <w:tcPr>
                  <w:tcW w:w="0" w:type="auto"/>
                  <w:tcBorders>
                    <w:top w:val="single" w:color="000000" w:sz="4" w:space="0"/>
                    <w:left w:val="single" w:color="000000" w:sz="4" w:space="0"/>
                    <w:bottom w:val="single" w:color="000000" w:sz="4" w:space="0"/>
                    <w:right w:val="single" w:color="000000" w:sz="4" w:space="0"/>
                  </w:tcBorders>
                  <w:vAlign w:val="center"/>
                </w:tcPr>
                <w:p w14:paraId="0DCE2E9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817.37</w:t>
                  </w:r>
                </w:p>
              </w:tc>
              <w:tc>
                <w:tcPr>
                  <w:tcW w:w="0" w:type="auto"/>
                  <w:tcBorders>
                    <w:top w:val="single" w:color="000000" w:sz="4" w:space="0"/>
                    <w:left w:val="single" w:color="000000" w:sz="4" w:space="0"/>
                    <w:bottom w:val="single" w:color="000000" w:sz="4" w:space="0"/>
                    <w:right w:val="single" w:color="000000" w:sz="4" w:space="0"/>
                  </w:tcBorders>
                  <w:vAlign w:val="center"/>
                </w:tcPr>
                <w:p w14:paraId="6705C7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3478.00</w:t>
                  </w:r>
                </w:p>
              </w:tc>
            </w:tr>
            <w:tr w14:paraId="5D8C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8603FE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4F37647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Bi</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008578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Th</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1496DCE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U</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2838D91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ppb</w:t>
                  </w:r>
                </w:p>
              </w:tc>
              <w:tc>
                <w:tcPr>
                  <w:tcW w:w="0" w:type="auto"/>
                  <w:tcBorders>
                    <w:top w:val="single" w:color="000000" w:sz="4" w:space="0"/>
                    <w:left w:val="single" w:color="000000" w:sz="4" w:space="0"/>
                    <w:bottom w:val="single" w:color="000000" w:sz="4" w:space="0"/>
                    <w:right w:val="single" w:color="000000" w:sz="4" w:space="0"/>
                  </w:tcBorders>
                  <w:vAlign w:val="center"/>
                </w:tcPr>
                <w:p w14:paraId="6E5E88D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Cl</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865DD4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C</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r>
            <w:tr w14:paraId="0F2A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AFFBBD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197E943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131.36</w:t>
                  </w:r>
                </w:p>
              </w:tc>
              <w:tc>
                <w:tcPr>
                  <w:tcW w:w="0" w:type="auto"/>
                  <w:tcBorders>
                    <w:top w:val="single" w:color="000000" w:sz="4" w:space="0"/>
                    <w:left w:val="single" w:color="000000" w:sz="4" w:space="0"/>
                    <w:bottom w:val="single" w:color="000000" w:sz="4" w:space="0"/>
                    <w:right w:val="single" w:color="000000" w:sz="4" w:space="0"/>
                  </w:tcBorders>
                  <w:vAlign w:val="center"/>
                </w:tcPr>
                <w:p w14:paraId="313E2EB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586.80</w:t>
                  </w:r>
                </w:p>
              </w:tc>
              <w:tc>
                <w:tcPr>
                  <w:tcW w:w="0" w:type="auto"/>
                  <w:tcBorders>
                    <w:top w:val="single" w:color="000000" w:sz="4" w:space="0"/>
                    <w:left w:val="single" w:color="000000" w:sz="4" w:space="0"/>
                    <w:bottom w:val="single" w:color="000000" w:sz="4" w:space="0"/>
                    <w:right w:val="single" w:color="000000" w:sz="4" w:space="0"/>
                  </w:tcBorders>
                  <w:vAlign w:val="center"/>
                </w:tcPr>
                <w:p w14:paraId="137189F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793.52</w:t>
                  </w:r>
                </w:p>
              </w:tc>
              <w:tc>
                <w:tcPr>
                  <w:tcW w:w="0" w:type="auto"/>
                  <w:tcBorders>
                    <w:top w:val="single" w:color="000000" w:sz="4" w:space="0"/>
                    <w:left w:val="single" w:color="000000" w:sz="4" w:space="0"/>
                    <w:bottom w:val="single" w:color="000000" w:sz="4" w:space="0"/>
                    <w:right w:val="single" w:color="000000" w:sz="4" w:space="0"/>
                  </w:tcBorders>
                  <w:vAlign w:val="center"/>
                </w:tcPr>
                <w:p w14:paraId="0ADB382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3732.99</w:t>
                  </w:r>
                </w:p>
              </w:tc>
              <w:tc>
                <w:tcPr>
                  <w:tcW w:w="0" w:type="auto"/>
                  <w:tcBorders>
                    <w:top w:val="single" w:color="000000" w:sz="4" w:space="0"/>
                    <w:left w:val="single" w:color="000000" w:sz="4" w:space="0"/>
                    <w:bottom w:val="single" w:color="000000" w:sz="4" w:space="0"/>
                    <w:right w:val="single" w:color="000000" w:sz="4" w:space="0"/>
                  </w:tcBorders>
                  <w:vAlign w:val="center"/>
                </w:tcPr>
                <w:p w14:paraId="56384DC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0.59</w:t>
                  </w:r>
                </w:p>
              </w:tc>
              <w:tc>
                <w:tcPr>
                  <w:tcW w:w="0" w:type="auto"/>
                  <w:tcBorders>
                    <w:top w:val="single" w:color="000000" w:sz="4" w:space="0"/>
                    <w:left w:val="single" w:color="000000" w:sz="4" w:space="0"/>
                    <w:bottom w:val="single" w:color="000000" w:sz="4" w:space="0"/>
                    <w:right w:val="single" w:color="000000" w:sz="4" w:space="0"/>
                  </w:tcBorders>
                  <w:vAlign w:val="center"/>
                </w:tcPr>
                <w:p w14:paraId="455E0D3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20.34</w:t>
                  </w:r>
                </w:p>
              </w:tc>
            </w:tr>
            <w:tr w14:paraId="3061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5AEABA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14C538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H</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1ECC4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O</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824CC1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N</w:t>
                  </w:r>
                  <w:r>
                    <w:rPr>
                      <w:rFonts w:hint="eastAsia"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548EAC1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S</w:t>
                  </w:r>
                  <w:r>
                    <w:rPr>
                      <w:rFonts w:hint="eastAsia" w:cs="Times New Roman"/>
                      <w:color w:val="auto"/>
                      <w:kern w:val="2"/>
                      <w:sz w:val="18"/>
                      <w:szCs w:val="18"/>
                      <w:lang w:val="en-US" w:eastAsia="zh-CN"/>
                    </w:rPr>
                    <w:t xml:space="preserve">, </w:t>
                  </w:r>
                  <w:r>
                    <w:rPr>
                      <w:rFonts w:hint="default" w:ascii="Times New Roman" w:hAnsi="Times New Roman" w:eastAsia="宋体" w:cs="Times New Roman"/>
                      <w:color w:val="auto"/>
                      <w:kern w:val="2"/>
                      <w:sz w:val="18"/>
                      <w:szCs w:val="18"/>
                      <w:lang w:val="en-US" w:eastAsia="zh-CN"/>
                    </w:rPr>
                    <w:t>ppm</w:t>
                  </w:r>
                </w:p>
              </w:tc>
              <w:tc>
                <w:tcPr>
                  <w:tcW w:w="0" w:type="auto"/>
                  <w:tcBorders>
                    <w:top w:val="single" w:color="000000" w:sz="4" w:space="0"/>
                    <w:left w:val="single" w:color="000000" w:sz="4" w:space="0"/>
                    <w:bottom w:val="single" w:color="000000" w:sz="4" w:space="0"/>
                    <w:right w:val="single" w:color="000000" w:sz="4" w:space="0"/>
                  </w:tcBorders>
                  <w:vAlign w:val="center"/>
                </w:tcPr>
                <w:p w14:paraId="55FB513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2F7213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r w14:paraId="7EF4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505F5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分析结果</w:t>
                  </w:r>
                </w:p>
              </w:tc>
              <w:tc>
                <w:tcPr>
                  <w:tcW w:w="0" w:type="auto"/>
                  <w:tcBorders>
                    <w:top w:val="single" w:color="000000" w:sz="4" w:space="0"/>
                    <w:left w:val="single" w:color="000000" w:sz="4" w:space="0"/>
                    <w:bottom w:val="single" w:color="000000" w:sz="4" w:space="0"/>
                    <w:right w:val="single" w:color="000000" w:sz="4" w:space="0"/>
                  </w:tcBorders>
                  <w:vAlign w:val="center"/>
                </w:tcPr>
                <w:p w14:paraId="1E58B0A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7.81</w:t>
                  </w:r>
                </w:p>
              </w:tc>
              <w:tc>
                <w:tcPr>
                  <w:tcW w:w="0" w:type="auto"/>
                  <w:tcBorders>
                    <w:top w:val="single" w:color="000000" w:sz="4" w:space="0"/>
                    <w:left w:val="single" w:color="000000" w:sz="4" w:space="0"/>
                    <w:bottom w:val="single" w:color="000000" w:sz="4" w:space="0"/>
                    <w:right w:val="single" w:color="000000" w:sz="4" w:space="0"/>
                  </w:tcBorders>
                  <w:vAlign w:val="center"/>
                </w:tcPr>
                <w:p w14:paraId="27C5742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17.47</w:t>
                  </w:r>
                </w:p>
              </w:tc>
              <w:tc>
                <w:tcPr>
                  <w:tcW w:w="0" w:type="auto"/>
                  <w:tcBorders>
                    <w:top w:val="single" w:color="000000" w:sz="4" w:space="0"/>
                    <w:left w:val="single" w:color="000000" w:sz="4" w:space="0"/>
                    <w:bottom w:val="single" w:color="000000" w:sz="4" w:space="0"/>
                    <w:right w:val="single" w:color="000000" w:sz="4" w:space="0"/>
                  </w:tcBorders>
                  <w:vAlign w:val="center"/>
                </w:tcPr>
                <w:p w14:paraId="14F685E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0.06</w:t>
                  </w:r>
                </w:p>
              </w:tc>
              <w:tc>
                <w:tcPr>
                  <w:tcW w:w="0" w:type="auto"/>
                  <w:tcBorders>
                    <w:top w:val="single" w:color="000000" w:sz="4" w:space="0"/>
                    <w:left w:val="single" w:color="000000" w:sz="4" w:space="0"/>
                    <w:bottom w:val="single" w:color="000000" w:sz="4" w:space="0"/>
                    <w:right w:val="single" w:color="000000" w:sz="4" w:space="0"/>
                  </w:tcBorders>
                  <w:vAlign w:val="center"/>
                </w:tcPr>
                <w:p w14:paraId="6F1823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1579</w:t>
                  </w:r>
                </w:p>
              </w:tc>
              <w:tc>
                <w:tcPr>
                  <w:tcW w:w="0" w:type="auto"/>
                  <w:tcBorders>
                    <w:top w:val="single" w:color="000000" w:sz="4" w:space="0"/>
                    <w:left w:val="single" w:color="000000" w:sz="4" w:space="0"/>
                    <w:bottom w:val="single" w:color="000000" w:sz="4" w:space="0"/>
                    <w:right w:val="single" w:color="000000" w:sz="4" w:space="0"/>
                  </w:tcBorders>
                  <w:vAlign w:val="center"/>
                </w:tcPr>
                <w:p w14:paraId="71DCB99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D672B8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bl>
          <w:p w14:paraId="06BFB8D4">
            <w:pPr>
              <w:keepNext w:val="0"/>
              <w:keepLines w:val="0"/>
              <w:suppressLineNumbers w:val="0"/>
              <w:spacing w:before="0" w:beforeAutospacing="0" w:after="0" w:afterAutospacing="0"/>
              <w:ind w:left="0" w:right="0" w:firstLine="482" w:firstLineChars="20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sz w:val="24"/>
                <w:lang w:val="en-US" w:eastAsia="zh-CN"/>
              </w:rPr>
              <w:t>表2-</w:t>
            </w:r>
            <w:r>
              <w:rPr>
                <w:rFonts w:hint="default" w:ascii="Times New Roman" w:hAnsi="Times New Roman" w:cs="Times New Roman"/>
                <w:b/>
                <w:bCs/>
                <w:sz w:val="24"/>
                <w:lang w:val="en-US" w:eastAsia="zh-CN"/>
              </w:rPr>
              <w:t>20</w:t>
            </w:r>
            <w:r>
              <w:rPr>
                <w:rFonts w:hint="default" w:ascii="Times New Roman" w:hAnsi="Times New Roman" w:eastAsia="宋体" w:cs="Times New Roman"/>
                <w:b/>
                <w:bCs/>
                <w:sz w:val="24"/>
                <w:lang w:val="en-US" w:eastAsia="zh-CN"/>
              </w:rPr>
              <w:t xml:space="preserve">   </w:t>
            </w:r>
            <w:r>
              <w:rPr>
                <w:rFonts w:hint="default" w:ascii="Times New Roman" w:hAnsi="Times New Roman" w:cs="Times New Roman"/>
                <w:b/>
                <w:bCs/>
                <w:color w:val="auto"/>
                <w:sz w:val="24"/>
              </w:rPr>
              <w:t>主要原材料成分一览表</w:t>
            </w: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1</w:t>
            </w:r>
            <w:r>
              <w:rPr>
                <w:rFonts w:hint="default" w:ascii="Times New Roman" w:hAnsi="Times New Roman" w:cs="Times New Roman"/>
                <w:b/>
                <w:bCs/>
                <w:color w:val="auto"/>
                <w:sz w:val="24"/>
                <w:lang w:eastAsia="zh-CN"/>
              </w:rPr>
              <w:t>）</w:t>
            </w:r>
            <w:r>
              <w:rPr>
                <w:rFonts w:hint="default" w:ascii="Times New Roman" w:hAnsi="Times New Roman" w:eastAsia="宋体" w:cs="Times New Roman"/>
                <w:b/>
                <w:bCs/>
                <w:sz w:val="24"/>
                <w:lang w:val="en-US" w:eastAsia="zh-CN"/>
              </w:rPr>
              <w:t xml:space="preserve"> </w:t>
            </w:r>
          </w:p>
          <w:tbl>
            <w:tblPr>
              <w:tblStyle w:val="30"/>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8"/>
              <w:gridCol w:w="1365"/>
              <w:gridCol w:w="1625"/>
              <w:gridCol w:w="1436"/>
              <w:gridCol w:w="1940"/>
            </w:tblGrid>
            <w:tr w14:paraId="590DD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38353F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成分</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63FA0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5EBE8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灰渣</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7F43BF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粉煤灰</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440365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脱硫石膏</w:t>
                  </w:r>
                </w:p>
              </w:tc>
            </w:tr>
            <w:tr w14:paraId="286B0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58BB00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铅</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E7DAF4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FAB388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2.8</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6DB4A0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27.3</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49C662D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3.6</w:t>
                  </w:r>
                </w:p>
              </w:tc>
            </w:tr>
            <w:tr w14:paraId="676B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700973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镉</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0DEFA8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23FC86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0.3</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040002C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0.3</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2BE0396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0.3</w:t>
                  </w:r>
                </w:p>
              </w:tc>
            </w:tr>
            <w:tr w14:paraId="256CB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4FB0D9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铜</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973347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ADD143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8.1</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046937E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34.8</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3A23CC3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5.3</w:t>
                  </w:r>
                </w:p>
              </w:tc>
            </w:tr>
            <w:tr w14:paraId="00FA0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3620F9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锌</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81685A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3FCBA5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21.7</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50D88C4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80.9</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35EC51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12.9</w:t>
                  </w:r>
                </w:p>
              </w:tc>
            </w:tr>
            <w:tr w14:paraId="4292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22C7DF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镍</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6DC3C0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70BB3A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15.9</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0CE2907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14.3</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B3F854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8.01</w:t>
                  </w:r>
                </w:p>
              </w:tc>
            </w:tr>
            <w:tr w14:paraId="7C7D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7BE070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总铬</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53F15D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9AA411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17.6</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80C5AA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0.5</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19D24BA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5.2</w:t>
                  </w:r>
                </w:p>
              </w:tc>
            </w:tr>
            <w:tr w14:paraId="326A7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05CB89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汞</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3EFD153">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679B10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0.084</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8F935F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0.033</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182BB39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0.033</w:t>
                  </w:r>
                </w:p>
              </w:tc>
            </w:tr>
            <w:tr w14:paraId="43685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0C5854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砷</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4305E9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81BAF9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4.4</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2ED86A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0.9</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4B546BE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0.5</w:t>
                  </w:r>
                </w:p>
              </w:tc>
            </w:tr>
            <w:tr w14:paraId="666CE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71AE76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锑</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A76946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591F07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0.8</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5776B9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0.99</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7610012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0.8</w:t>
                  </w:r>
                </w:p>
              </w:tc>
            </w:tr>
            <w:tr w14:paraId="1BB20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7FAD29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铍</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A4F45F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32E190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0.4</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45B9505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3.8</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446CDFC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0.2</w:t>
                  </w:r>
                </w:p>
              </w:tc>
            </w:tr>
            <w:tr w14:paraId="0DE70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1C3AE1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钴</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073B75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BDBE931">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4.8</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42D2F71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7.2</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54B6D9A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0.55</w:t>
                  </w:r>
                </w:p>
              </w:tc>
            </w:tr>
            <w:tr w14:paraId="5E07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6FF2D0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钒</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3C4D24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18F3CD3">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18.6</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507CD1E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62.9</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258E2E0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7.2</w:t>
                  </w:r>
                </w:p>
              </w:tc>
            </w:tr>
            <w:tr w14:paraId="5839E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442B19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锰</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EAC958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5081B1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180</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E9B54E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226</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664DD60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63.1</w:t>
                  </w:r>
                </w:p>
              </w:tc>
            </w:tr>
            <w:tr w14:paraId="084E4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63BE6B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锡</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AAAEA2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1F23E2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1.6</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87B85C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2.9</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AE4ED0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1.3</w:t>
                  </w:r>
                </w:p>
              </w:tc>
            </w:tr>
            <w:tr w14:paraId="3F7DC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6C460D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六价铬</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87EFE2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3A4E58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0.8</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42D7230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0.8</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38CBFCD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3.1</w:t>
                  </w:r>
                </w:p>
              </w:tc>
            </w:tr>
            <w:tr w14:paraId="1E59F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3F366D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铊</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4CBDD1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0F4477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0.2</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1F290DE4">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0.2</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36526A1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0.2</w:t>
                  </w:r>
                </w:p>
              </w:tc>
            </w:tr>
            <w:tr w14:paraId="4EF04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0398C9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钼</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95F432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mg/kg</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42058CE4">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0.3</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0A21A1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1.7</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5DD091A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1.1</w:t>
                  </w:r>
                </w:p>
              </w:tc>
            </w:tr>
            <w:tr w14:paraId="4147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57B5CE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SiO</w:t>
                  </w:r>
                  <w:r>
                    <w:rPr>
                      <w:rFonts w:hint="default" w:ascii="Times New Roman" w:hAnsi="Times New Roman" w:eastAsia="宋体" w:cs="Times New Roman"/>
                      <w:i w:val="0"/>
                      <w:iCs w:val="0"/>
                      <w:color w:val="000000"/>
                      <w:kern w:val="0"/>
                      <w:sz w:val="18"/>
                      <w:szCs w:val="18"/>
                      <w:u w:val="none"/>
                      <w:vertAlign w:val="subscript"/>
                      <w:lang w:val="en-US" w:eastAsia="zh-CN" w:bidi="ar"/>
                    </w:rPr>
                    <w:t>2</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DF29EE3">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5C22C34">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58.39</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144B93E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56.04</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1D3197A1">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3.52</w:t>
                  </w:r>
                </w:p>
              </w:tc>
            </w:tr>
            <w:tr w14:paraId="76296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5A7440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Al</w:t>
                  </w:r>
                  <w:r>
                    <w:rPr>
                      <w:rFonts w:hint="default" w:ascii="Times New Roman" w:hAnsi="Times New Roman" w:eastAsia="宋体" w:cs="Times New Roman"/>
                      <w:i w:val="0"/>
                      <w:iCs w:val="0"/>
                      <w:color w:val="000000"/>
                      <w:kern w:val="0"/>
                      <w:sz w:val="18"/>
                      <w:szCs w:val="18"/>
                      <w:u w:val="none"/>
                      <w:vertAlign w:val="subscript"/>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vertAlign w:val="subscript"/>
                      <w:lang w:val="en-US" w:eastAsia="zh-CN" w:bidi="ar"/>
                    </w:rPr>
                    <w:t>3</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644708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2A89982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28.96</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7FAC2D9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30.3</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4082DE7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1.07</w:t>
                  </w:r>
                </w:p>
              </w:tc>
            </w:tr>
            <w:tr w14:paraId="363B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7F941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Fe</w:t>
                  </w:r>
                  <w:r>
                    <w:rPr>
                      <w:rFonts w:hint="default" w:ascii="Times New Roman" w:hAnsi="Times New Roman" w:eastAsia="宋体" w:cs="Times New Roman"/>
                      <w:i w:val="0"/>
                      <w:iCs w:val="0"/>
                      <w:color w:val="000000"/>
                      <w:kern w:val="0"/>
                      <w:sz w:val="18"/>
                      <w:szCs w:val="18"/>
                      <w:u w:val="none"/>
                      <w:vertAlign w:val="subscript"/>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O</w:t>
                  </w:r>
                  <w:r>
                    <w:rPr>
                      <w:rFonts w:hint="default" w:ascii="Times New Roman" w:hAnsi="Times New Roman" w:eastAsia="宋体" w:cs="Times New Roman"/>
                      <w:i w:val="0"/>
                      <w:iCs w:val="0"/>
                      <w:color w:val="000000"/>
                      <w:kern w:val="0"/>
                      <w:sz w:val="18"/>
                      <w:szCs w:val="18"/>
                      <w:u w:val="none"/>
                      <w:vertAlign w:val="subscript"/>
                      <w:lang w:val="en-US" w:eastAsia="zh-CN" w:bidi="ar"/>
                    </w:rPr>
                    <w:t>3</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9B3969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34E3DAE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4.13</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AF7909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5.51</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382AECBA">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0.34</w:t>
                  </w:r>
                </w:p>
              </w:tc>
            </w:tr>
            <w:tr w14:paraId="74985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46EE14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CaO</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34942B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1796C08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3.75</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16B67401">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3.35</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5B9EC9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38.97</w:t>
                  </w:r>
                </w:p>
              </w:tc>
            </w:tr>
            <w:tr w14:paraId="49E11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47CA93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MgO</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1081A0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7A0AF21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2.04</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A92C5D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0.79</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73A7E09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1.57</w:t>
                  </w:r>
                </w:p>
              </w:tc>
            </w:tr>
            <w:tr w14:paraId="1F06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21EF9C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K</w:t>
                  </w:r>
                  <w:r>
                    <w:rPr>
                      <w:rFonts w:hint="default" w:ascii="Times New Roman" w:hAnsi="Times New Roman" w:eastAsia="宋体" w:cs="Times New Roman"/>
                      <w:i w:val="0"/>
                      <w:iCs w:val="0"/>
                      <w:color w:val="000000"/>
                      <w:kern w:val="0"/>
                      <w:sz w:val="18"/>
                      <w:szCs w:val="18"/>
                      <w:u w:val="none"/>
                      <w:vertAlign w:val="subscript"/>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O</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F59B14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E3EDEB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1.84</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441A7B2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1.03</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2F46A95">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0.2</w:t>
                  </w:r>
                </w:p>
              </w:tc>
            </w:tr>
            <w:tr w14:paraId="44F2C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6EE555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Na</w:t>
                  </w:r>
                  <w:r>
                    <w:rPr>
                      <w:rFonts w:hint="default" w:ascii="Times New Roman" w:hAnsi="Times New Roman" w:eastAsia="宋体" w:cs="Times New Roman"/>
                      <w:i w:val="0"/>
                      <w:iCs w:val="0"/>
                      <w:color w:val="000000"/>
                      <w:kern w:val="0"/>
                      <w:sz w:val="18"/>
                      <w:szCs w:val="18"/>
                      <w:u w:val="none"/>
                      <w:vertAlign w:val="subscript"/>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O</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A2101F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DA59D37">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0.01</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48688373">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0.46</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751AE92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0.09</w:t>
                  </w:r>
                </w:p>
              </w:tc>
            </w:tr>
            <w:tr w14:paraId="62137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2EBD65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TiO</w:t>
                  </w:r>
                  <w:r>
                    <w:rPr>
                      <w:rFonts w:hint="default" w:ascii="Times New Roman" w:hAnsi="Times New Roman" w:eastAsia="宋体" w:cs="Times New Roman"/>
                      <w:i w:val="0"/>
                      <w:iCs w:val="0"/>
                      <w:color w:val="000000"/>
                      <w:kern w:val="0"/>
                      <w:sz w:val="18"/>
                      <w:szCs w:val="18"/>
                      <w:u w:val="none"/>
                      <w:vertAlign w:val="subscript"/>
                      <w:lang w:val="en-US" w:eastAsia="zh-CN" w:bidi="ar"/>
                    </w:rPr>
                    <w:t>2</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CFF4A01">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DEAB30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0.05</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13175B4">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0.06</w:t>
                  </w:r>
                </w:p>
              </w:tc>
              <w:tc>
                <w:tcPr>
                  <w:tcW w:w="1140" w:type="pct"/>
                  <w:tcBorders>
                    <w:top w:val="nil"/>
                    <w:left w:val="nil"/>
                    <w:bottom w:val="nil"/>
                    <w:right w:val="nil"/>
                  </w:tcBorders>
                  <w:noWrap/>
                  <w:vAlign w:val="center"/>
                </w:tcPr>
                <w:p w14:paraId="7942CAA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0.07</w:t>
                  </w:r>
                </w:p>
              </w:tc>
            </w:tr>
            <w:tr w14:paraId="23BC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5667BC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39ABA3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BCACBA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0.054</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78E38A10">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0.068</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2FC58253">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0.12</w:t>
                  </w:r>
                </w:p>
              </w:tc>
            </w:tr>
            <w:tr w14:paraId="1F786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0B2EFF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氟</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4E89D5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0001BE6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0.00007</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B694A0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0.0005</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3B33D90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0.00013</w:t>
                  </w:r>
                </w:p>
              </w:tc>
            </w:tr>
            <w:tr w14:paraId="1190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60DF91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全硫</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6E46B52">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597623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0.03</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36F1C88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0.2</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2FCBAD3D">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0.067</w:t>
                  </w:r>
                </w:p>
              </w:tc>
            </w:tr>
            <w:tr w14:paraId="0294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4E2575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硫化物</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A27E3EF">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B38924C">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0.01</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09CD5D6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0.01</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C102834">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0.04</w:t>
                  </w:r>
                </w:p>
              </w:tc>
            </w:tr>
            <w:tr w14:paraId="747B9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409C62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硫酸盐三氧化硫</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320D20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52A7A80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0.02</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2B9F811E">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0.1</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6210A79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0.025</w:t>
                  </w:r>
                </w:p>
              </w:tc>
            </w:tr>
            <w:tr w14:paraId="7697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0"/>
                  <w:vAlign w:val="center"/>
                </w:tcPr>
                <w:p w14:paraId="5A04C7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烧失率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30DC418">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0"/>
                  <w:vAlign w:val="center"/>
                </w:tcPr>
                <w:p w14:paraId="65E13EB1">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37.97</w:t>
                  </w:r>
                </w:p>
              </w:tc>
              <w:tc>
                <w:tcPr>
                  <w:tcW w:w="844" w:type="pct"/>
                  <w:tcBorders>
                    <w:top w:val="single" w:color="000000" w:sz="4" w:space="0"/>
                    <w:left w:val="single" w:color="000000" w:sz="4" w:space="0"/>
                    <w:bottom w:val="single" w:color="000000" w:sz="4" w:space="0"/>
                    <w:right w:val="single" w:color="000000" w:sz="4" w:space="0"/>
                  </w:tcBorders>
                  <w:noWrap w:val="0"/>
                  <w:vAlign w:val="center"/>
                </w:tcPr>
                <w:p w14:paraId="61C6FD8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25.46</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DC9FBC6">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21.22</w:t>
                  </w:r>
                </w:p>
              </w:tc>
            </w:tr>
            <w:tr w14:paraId="7D280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257" w:type="pct"/>
                  <w:tcBorders>
                    <w:top w:val="single" w:color="000000" w:sz="4" w:space="0"/>
                    <w:left w:val="single" w:color="000000" w:sz="4" w:space="0"/>
                    <w:bottom w:val="single" w:color="000000" w:sz="4" w:space="0"/>
                    <w:right w:val="single" w:color="000000" w:sz="4" w:space="0"/>
                  </w:tcBorders>
                  <w:noWrap/>
                  <w:vAlign w:val="center"/>
                </w:tcPr>
                <w:p w14:paraId="77B9A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bidi="ar"/>
                    </w:rPr>
                  </w:pPr>
                  <w:r>
                    <w:rPr>
                      <w:rFonts w:hint="default" w:ascii="Times New Roman" w:hAnsi="Times New Roman" w:eastAsia="宋体" w:cs="Times New Roman"/>
                      <w:i w:val="0"/>
                      <w:iCs w:val="0"/>
                      <w:color w:val="000000"/>
                      <w:kern w:val="0"/>
                      <w:sz w:val="18"/>
                      <w:szCs w:val="18"/>
                      <w:u w:val="none"/>
                      <w:lang w:val="en-US" w:eastAsia="zh-CN" w:bidi="ar"/>
                    </w:rPr>
                    <w:t>湿基水分</w:t>
                  </w:r>
                </w:p>
              </w:tc>
              <w:tc>
                <w:tcPr>
                  <w:tcW w:w="802" w:type="pct"/>
                  <w:tcBorders>
                    <w:top w:val="single" w:color="000000" w:sz="4" w:space="0"/>
                    <w:left w:val="single" w:color="000000" w:sz="4" w:space="0"/>
                    <w:bottom w:val="single" w:color="000000" w:sz="4" w:space="0"/>
                    <w:right w:val="single" w:color="000000" w:sz="4" w:space="0"/>
                  </w:tcBorders>
                  <w:noWrap/>
                  <w:vAlign w:val="center"/>
                </w:tcPr>
                <w:p w14:paraId="4681F674">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w:t>
                  </w:r>
                </w:p>
              </w:tc>
              <w:tc>
                <w:tcPr>
                  <w:tcW w:w="955" w:type="pct"/>
                  <w:tcBorders>
                    <w:top w:val="single" w:color="000000" w:sz="4" w:space="0"/>
                    <w:left w:val="single" w:color="000000" w:sz="4" w:space="0"/>
                    <w:bottom w:val="single" w:color="000000" w:sz="4" w:space="0"/>
                    <w:right w:val="single" w:color="000000" w:sz="4" w:space="0"/>
                  </w:tcBorders>
                  <w:noWrap/>
                  <w:vAlign w:val="center"/>
                </w:tcPr>
                <w:p w14:paraId="72968EE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0.5</w:t>
                  </w:r>
                </w:p>
              </w:tc>
              <w:tc>
                <w:tcPr>
                  <w:tcW w:w="844" w:type="pct"/>
                  <w:tcBorders>
                    <w:top w:val="single" w:color="000000" w:sz="4" w:space="0"/>
                    <w:left w:val="single" w:color="000000" w:sz="4" w:space="0"/>
                    <w:bottom w:val="single" w:color="000000" w:sz="4" w:space="0"/>
                    <w:right w:val="single" w:color="000000" w:sz="4" w:space="0"/>
                  </w:tcBorders>
                  <w:noWrap/>
                  <w:vAlign w:val="center"/>
                </w:tcPr>
                <w:p w14:paraId="079500DB">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0.15</w:t>
                  </w:r>
                </w:p>
              </w:tc>
              <w:tc>
                <w:tcPr>
                  <w:tcW w:w="1140" w:type="pct"/>
                  <w:tcBorders>
                    <w:top w:val="single" w:color="000000" w:sz="4" w:space="0"/>
                    <w:left w:val="single" w:color="000000" w:sz="4" w:space="0"/>
                    <w:bottom w:val="single" w:color="000000" w:sz="4" w:space="0"/>
                    <w:right w:val="single" w:color="000000" w:sz="4" w:space="0"/>
                  </w:tcBorders>
                  <w:noWrap/>
                  <w:vAlign w:val="center"/>
                </w:tcPr>
                <w:p w14:paraId="0F090349">
                  <w:pPr>
                    <w:pStyle w:val="95"/>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i w:val="0"/>
                      <w:iCs w:val="0"/>
                      <w:spacing w:val="-2"/>
                      <w:sz w:val="18"/>
                      <w:szCs w:val="18"/>
                      <w:u w:val="none"/>
                      <w:lang w:eastAsia="zh-CN" w:bidi="ar"/>
                    </w:rPr>
                  </w:pPr>
                  <w:r>
                    <w:rPr>
                      <w:rFonts w:hint="default" w:ascii="Times New Roman" w:hAnsi="Times New Roman" w:eastAsia="宋体" w:cs="Times New Roman"/>
                      <w:i w:val="0"/>
                      <w:iCs w:val="0"/>
                      <w:spacing w:val="-2"/>
                      <w:kern w:val="2"/>
                      <w:sz w:val="18"/>
                      <w:szCs w:val="18"/>
                      <w:u w:val="none"/>
                      <w:lang w:val="en-US" w:eastAsia="zh-CN" w:bidi="ar"/>
                    </w:rPr>
                    <w:t>11.05</w:t>
                  </w:r>
                </w:p>
              </w:tc>
            </w:tr>
          </w:tbl>
          <w:p w14:paraId="38F94D65">
            <w:pPr>
              <w:keepNext w:val="0"/>
              <w:keepLines w:val="0"/>
              <w:suppressLineNumbers w:val="0"/>
              <w:tabs>
                <w:tab w:val="left" w:pos="360"/>
                <w:tab w:val="left" w:pos="2207"/>
              </w:tabs>
              <w:spacing w:before="0" w:beforeAutospacing="0" w:after="0" w:afterAutospacing="0"/>
              <w:ind w:left="0" w:right="0"/>
              <w:jc w:val="center"/>
              <w:rPr>
                <w:rFonts w:hint="default" w:ascii="Times New Roman" w:hAnsi="Times New Roman" w:eastAsia="宋体" w:cs="Times New Roman"/>
                <w:b/>
                <w:bCs/>
                <w:color w:val="auto"/>
                <w:sz w:val="24"/>
                <w:lang w:eastAsia="zh-CN"/>
              </w:rPr>
            </w:pPr>
            <w:r>
              <w:rPr>
                <w:rFonts w:hint="default" w:ascii="Times New Roman" w:hAnsi="Times New Roman" w:cs="Times New Roman"/>
                <w:b/>
                <w:bCs/>
                <w:color w:val="auto"/>
                <w:sz w:val="24"/>
              </w:rPr>
              <w:t>表2-</w:t>
            </w:r>
            <w:r>
              <w:rPr>
                <w:rFonts w:hint="default" w:ascii="Times New Roman" w:hAnsi="Times New Roman" w:cs="Times New Roman"/>
                <w:b/>
                <w:bCs/>
                <w:color w:val="auto"/>
                <w:sz w:val="24"/>
                <w:lang w:val="en-US" w:eastAsia="zh-CN"/>
              </w:rPr>
              <w:t>21</w:t>
            </w:r>
            <w:r>
              <w:rPr>
                <w:rFonts w:hint="default" w:ascii="Times New Roman" w:hAnsi="Times New Roman" w:cs="Times New Roman"/>
                <w:b/>
                <w:bCs/>
                <w:color w:val="auto"/>
                <w:sz w:val="24"/>
              </w:rPr>
              <w:t>主要原材料成分一览表</w:t>
            </w: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2</w:t>
            </w:r>
            <w:r>
              <w:rPr>
                <w:rFonts w:hint="default" w:ascii="Times New Roman" w:hAnsi="Times New Roman" w:cs="Times New Roman"/>
                <w:b/>
                <w:bCs/>
                <w:color w:val="auto"/>
                <w:sz w:val="24"/>
                <w:lang w:eastAsia="zh-CN"/>
              </w:rPr>
              <w:t>）</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3"/>
              <w:gridCol w:w="3112"/>
              <w:gridCol w:w="1022"/>
              <w:gridCol w:w="1995"/>
              <w:gridCol w:w="1439"/>
            </w:tblGrid>
            <w:tr w14:paraId="0333E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64C0B8C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1855" w:type="pct"/>
                  <w:tcBorders>
                    <w:tl2br w:val="nil"/>
                    <w:tr2bl w:val="nil"/>
                  </w:tcBorders>
                  <w:noWrap w:val="0"/>
                  <w:vAlign w:val="center"/>
                </w:tcPr>
                <w:p w14:paraId="27F4B3F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检测项目</w:t>
                  </w:r>
                </w:p>
              </w:tc>
              <w:tc>
                <w:tcPr>
                  <w:tcW w:w="609" w:type="pct"/>
                  <w:tcBorders>
                    <w:tl2br w:val="nil"/>
                    <w:tr2bl w:val="nil"/>
                  </w:tcBorders>
                  <w:noWrap w:val="0"/>
                  <w:vAlign w:val="center"/>
                </w:tcPr>
                <w:p w14:paraId="54BF6C9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单位</w:t>
                  </w:r>
                </w:p>
              </w:tc>
              <w:tc>
                <w:tcPr>
                  <w:tcW w:w="1189" w:type="pct"/>
                  <w:tcBorders>
                    <w:tl2br w:val="nil"/>
                    <w:tr2bl w:val="nil"/>
                  </w:tcBorders>
                  <w:noWrap w:val="0"/>
                  <w:vAlign w:val="center"/>
                </w:tcPr>
                <w:p w14:paraId="1CE5A05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城镇污水污泥</w:t>
                  </w:r>
                </w:p>
              </w:tc>
              <w:tc>
                <w:tcPr>
                  <w:tcW w:w="858" w:type="pct"/>
                  <w:tcBorders>
                    <w:tl2br w:val="nil"/>
                    <w:tr2bl w:val="nil"/>
                  </w:tcBorders>
                  <w:noWrap w:val="0"/>
                  <w:vAlign w:val="center"/>
                </w:tcPr>
                <w:p w14:paraId="0F95F26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河道污泥</w:t>
                  </w:r>
                </w:p>
              </w:tc>
            </w:tr>
            <w:tr w14:paraId="15747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5D15953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1855" w:type="pct"/>
                  <w:tcBorders>
                    <w:tl2br w:val="nil"/>
                    <w:tr2bl w:val="nil"/>
                  </w:tcBorders>
                  <w:noWrap w:val="0"/>
                  <w:vAlign w:val="center"/>
                </w:tcPr>
                <w:p w14:paraId="180E7AC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pH值</w:t>
                  </w:r>
                </w:p>
              </w:tc>
              <w:tc>
                <w:tcPr>
                  <w:tcW w:w="609" w:type="pct"/>
                  <w:tcBorders>
                    <w:tl2br w:val="nil"/>
                    <w:tr2bl w:val="nil"/>
                  </w:tcBorders>
                  <w:noWrap w:val="0"/>
                  <w:vAlign w:val="center"/>
                </w:tcPr>
                <w:p w14:paraId="7F07294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1189" w:type="pct"/>
                  <w:tcBorders>
                    <w:tl2br w:val="nil"/>
                    <w:tr2bl w:val="nil"/>
                  </w:tcBorders>
                  <w:noWrap w:val="0"/>
                  <w:vAlign w:val="center"/>
                </w:tcPr>
                <w:p w14:paraId="6574C02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7.8</w:t>
                  </w:r>
                </w:p>
              </w:tc>
              <w:tc>
                <w:tcPr>
                  <w:tcW w:w="858" w:type="pct"/>
                  <w:tcBorders>
                    <w:tl2br w:val="nil"/>
                    <w:tr2bl w:val="nil"/>
                  </w:tcBorders>
                  <w:noWrap w:val="0"/>
                  <w:vAlign w:val="center"/>
                </w:tcPr>
                <w:p w14:paraId="6D3DA0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8.54</w:t>
                  </w:r>
                </w:p>
              </w:tc>
            </w:tr>
            <w:tr w14:paraId="5360F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09B79A9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1855" w:type="pct"/>
                  <w:tcBorders>
                    <w:tl2br w:val="nil"/>
                    <w:tr2bl w:val="nil"/>
                  </w:tcBorders>
                  <w:noWrap w:val="0"/>
                  <w:vAlign w:val="center"/>
                </w:tcPr>
                <w:p w14:paraId="4D0DB31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砷及其化合物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总砷</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660EC7F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519FB17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15.09</w:t>
                  </w:r>
                </w:p>
              </w:tc>
              <w:tc>
                <w:tcPr>
                  <w:tcW w:w="858" w:type="pct"/>
                  <w:tcBorders>
                    <w:tl2br w:val="nil"/>
                    <w:tr2bl w:val="nil"/>
                  </w:tcBorders>
                  <w:shd w:val="clear" w:color="auto" w:fill="auto"/>
                  <w:noWrap w:val="0"/>
                  <w:vAlign w:val="bottom"/>
                </w:tcPr>
                <w:p w14:paraId="2A0E385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10.4</w:t>
                  </w:r>
                </w:p>
              </w:tc>
            </w:tr>
            <w:tr w14:paraId="75855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46275BD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1855" w:type="pct"/>
                  <w:tcBorders>
                    <w:tl2br w:val="nil"/>
                    <w:tr2bl w:val="nil"/>
                  </w:tcBorders>
                  <w:noWrap w:val="0"/>
                  <w:vAlign w:val="center"/>
                </w:tcPr>
                <w:p w14:paraId="59BE9E9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镉及其化合物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总镉</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1199FC3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1674F0F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2.87</w:t>
                  </w:r>
                </w:p>
              </w:tc>
              <w:tc>
                <w:tcPr>
                  <w:tcW w:w="858" w:type="pct"/>
                  <w:tcBorders>
                    <w:tl2br w:val="nil"/>
                    <w:tr2bl w:val="nil"/>
                  </w:tcBorders>
                  <w:shd w:val="clear" w:color="auto" w:fill="auto"/>
                  <w:noWrap w:val="0"/>
                  <w:vAlign w:val="bottom"/>
                </w:tcPr>
                <w:p w14:paraId="0B20E3B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0.11</w:t>
                  </w:r>
                </w:p>
              </w:tc>
            </w:tr>
            <w:tr w14:paraId="6F80C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2704344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1855" w:type="pct"/>
                  <w:tcBorders>
                    <w:tl2br w:val="nil"/>
                    <w:tr2bl w:val="nil"/>
                  </w:tcBorders>
                  <w:noWrap w:val="0"/>
                  <w:vAlign w:val="center"/>
                </w:tcPr>
                <w:p w14:paraId="65D7204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铬及其化合物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总铬</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3ECEF1D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63D229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0.82</w:t>
                  </w:r>
                </w:p>
              </w:tc>
              <w:tc>
                <w:tcPr>
                  <w:tcW w:w="858" w:type="pct"/>
                  <w:tcBorders>
                    <w:tl2br w:val="nil"/>
                    <w:tr2bl w:val="nil"/>
                  </w:tcBorders>
                  <w:shd w:val="clear" w:color="auto" w:fill="auto"/>
                  <w:noWrap w:val="0"/>
                  <w:vAlign w:val="bottom"/>
                </w:tcPr>
                <w:p w14:paraId="48C5D53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110</w:t>
                  </w:r>
                </w:p>
              </w:tc>
            </w:tr>
            <w:tr w14:paraId="1A7FE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7F9AD6C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1855" w:type="pct"/>
                  <w:tcBorders>
                    <w:tl2br w:val="nil"/>
                    <w:tr2bl w:val="nil"/>
                  </w:tcBorders>
                  <w:noWrap w:val="0"/>
                  <w:vAlign w:val="center"/>
                </w:tcPr>
                <w:p w14:paraId="276D6BB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铜及其化合物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总铜</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778F0DA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20BACE8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57.95</w:t>
                  </w:r>
                </w:p>
              </w:tc>
              <w:tc>
                <w:tcPr>
                  <w:tcW w:w="858" w:type="pct"/>
                  <w:tcBorders>
                    <w:tl2br w:val="nil"/>
                    <w:tr2bl w:val="nil"/>
                  </w:tcBorders>
                  <w:shd w:val="clear" w:color="auto" w:fill="auto"/>
                  <w:noWrap w:val="0"/>
                  <w:vAlign w:val="bottom"/>
                </w:tcPr>
                <w:p w14:paraId="2CFE01F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33</w:t>
                  </w:r>
                </w:p>
              </w:tc>
            </w:tr>
            <w:tr w14:paraId="5413E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489B828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1855" w:type="pct"/>
                  <w:tcBorders>
                    <w:tl2br w:val="nil"/>
                    <w:tr2bl w:val="nil"/>
                  </w:tcBorders>
                  <w:noWrap w:val="0"/>
                  <w:vAlign w:val="center"/>
                </w:tcPr>
                <w:p w14:paraId="461BE8B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总汞</w:t>
                  </w:r>
                </w:p>
              </w:tc>
              <w:tc>
                <w:tcPr>
                  <w:tcW w:w="609" w:type="pct"/>
                  <w:tcBorders>
                    <w:tl2br w:val="nil"/>
                    <w:tr2bl w:val="nil"/>
                  </w:tcBorders>
                  <w:noWrap w:val="0"/>
                  <w:vAlign w:val="center"/>
                </w:tcPr>
                <w:p w14:paraId="7732E25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293FB24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4.39</w:t>
                  </w:r>
                </w:p>
              </w:tc>
              <w:tc>
                <w:tcPr>
                  <w:tcW w:w="858" w:type="pct"/>
                  <w:tcBorders>
                    <w:tl2br w:val="nil"/>
                    <w:tr2bl w:val="nil"/>
                  </w:tcBorders>
                  <w:shd w:val="clear" w:color="auto" w:fill="auto"/>
                  <w:noWrap w:val="0"/>
                  <w:vAlign w:val="bottom"/>
                </w:tcPr>
                <w:p w14:paraId="6AA1269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0.128</w:t>
                  </w:r>
                </w:p>
              </w:tc>
            </w:tr>
            <w:tr w14:paraId="43A06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395DBD5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w:t>
                  </w:r>
                </w:p>
              </w:tc>
              <w:tc>
                <w:tcPr>
                  <w:tcW w:w="1855" w:type="pct"/>
                  <w:tcBorders>
                    <w:tl2br w:val="nil"/>
                    <w:tr2bl w:val="nil"/>
                  </w:tcBorders>
                  <w:noWrap w:val="0"/>
                  <w:vAlign w:val="center"/>
                </w:tcPr>
                <w:p w14:paraId="4A7D34B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镍及其化合物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总镍</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76749F5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37BAFD8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19.44</w:t>
                  </w:r>
                </w:p>
              </w:tc>
              <w:tc>
                <w:tcPr>
                  <w:tcW w:w="858" w:type="pct"/>
                  <w:tcBorders>
                    <w:tl2br w:val="nil"/>
                    <w:tr2bl w:val="nil"/>
                  </w:tcBorders>
                  <w:shd w:val="clear" w:color="auto" w:fill="auto"/>
                  <w:noWrap w:val="0"/>
                  <w:vAlign w:val="bottom"/>
                </w:tcPr>
                <w:p w14:paraId="6468B3C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63</w:t>
                  </w:r>
                </w:p>
              </w:tc>
            </w:tr>
            <w:tr w14:paraId="0A4D5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12EB249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w:t>
                  </w:r>
                </w:p>
              </w:tc>
              <w:tc>
                <w:tcPr>
                  <w:tcW w:w="1855" w:type="pct"/>
                  <w:tcBorders>
                    <w:tl2br w:val="nil"/>
                    <w:tr2bl w:val="nil"/>
                  </w:tcBorders>
                  <w:noWrap w:val="0"/>
                  <w:vAlign w:val="center"/>
                </w:tcPr>
                <w:p w14:paraId="043D418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铅及其化合物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总铅</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5127703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7D9E5A4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36.44</w:t>
                  </w:r>
                </w:p>
              </w:tc>
              <w:tc>
                <w:tcPr>
                  <w:tcW w:w="858" w:type="pct"/>
                  <w:tcBorders>
                    <w:tl2br w:val="nil"/>
                    <w:tr2bl w:val="nil"/>
                  </w:tcBorders>
                  <w:shd w:val="clear" w:color="auto" w:fill="auto"/>
                  <w:noWrap w:val="0"/>
                  <w:vAlign w:val="bottom"/>
                </w:tcPr>
                <w:p w14:paraId="7FA538B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33.8</w:t>
                  </w:r>
                </w:p>
              </w:tc>
            </w:tr>
            <w:tr w14:paraId="09A7F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5531944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w:t>
                  </w:r>
                </w:p>
              </w:tc>
              <w:tc>
                <w:tcPr>
                  <w:tcW w:w="1855" w:type="pct"/>
                  <w:tcBorders>
                    <w:tl2br w:val="nil"/>
                    <w:tr2bl w:val="nil"/>
                  </w:tcBorders>
                  <w:noWrap w:val="0"/>
                  <w:vAlign w:val="center"/>
                </w:tcPr>
                <w:p w14:paraId="5726459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锌及其化合物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总锌</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2D558E5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151D3FD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61.32</w:t>
                  </w:r>
                </w:p>
              </w:tc>
              <w:tc>
                <w:tcPr>
                  <w:tcW w:w="858" w:type="pct"/>
                  <w:tcBorders>
                    <w:tl2br w:val="nil"/>
                    <w:tr2bl w:val="nil"/>
                  </w:tcBorders>
                  <w:shd w:val="clear" w:color="auto" w:fill="auto"/>
                  <w:noWrap w:val="0"/>
                  <w:vAlign w:val="bottom"/>
                </w:tcPr>
                <w:p w14:paraId="5F7C584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135</w:t>
                  </w:r>
                </w:p>
              </w:tc>
            </w:tr>
            <w:tr w14:paraId="21BFE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055EBB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1855" w:type="pct"/>
                  <w:tcBorders>
                    <w:tl2br w:val="nil"/>
                    <w:tr2bl w:val="nil"/>
                  </w:tcBorders>
                  <w:noWrap w:val="0"/>
                  <w:vAlign w:val="center"/>
                </w:tcPr>
                <w:p w14:paraId="55EC42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铍</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以总铍计</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4484D1D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7BDF56E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858" w:type="pct"/>
                  <w:tcBorders>
                    <w:tl2br w:val="nil"/>
                    <w:tr2bl w:val="nil"/>
                  </w:tcBorders>
                  <w:shd w:val="clear" w:color="auto" w:fill="auto"/>
                  <w:noWrap w:val="0"/>
                  <w:vAlign w:val="bottom"/>
                </w:tcPr>
                <w:p w14:paraId="49F2B92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20FAB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1BB4CD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w:t>
                  </w:r>
                </w:p>
              </w:tc>
              <w:tc>
                <w:tcPr>
                  <w:tcW w:w="1855" w:type="pct"/>
                  <w:tcBorders>
                    <w:tl2br w:val="nil"/>
                    <w:tr2bl w:val="nil"/>
                  </w:tcBorders>
                  <w:noWrap w:val="0"/>
                  <w:vAlign w:val="center"/>
                </w:tcPr>
                <w:p w14:paraId="306780F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钡</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以总钡计</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4D0680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00C17B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858" w:type="pct"/>
                  <w:tcBorders>
                    <w:tl2br w:val="nil"/>
                    <w:tr2bl w:val="nil"/>
                  </w:tcBorders>
                  <w:shd w:val="clear" w:color="auto" w:fill="auto"/>
                  <w:noWrap w:val="0"/>
                  <w:vAlign w:val="bottom"/>
                </w:tcPr>
                <w:p w14:paraId="2EFADD5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080F5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4CDA588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w:t>
                  </w:r>
                </w:p>
              </w:tc>
              <w:tc>
                <w:tcPr>
                  <w:tcW w:w="1855" w:type="pct"/>
                  <w:tcBorders>
                    <w:tl2br w:val="nil"/>
                    <w:tr2bl w:val="nil"/>
                  </w:tcBorders>
                  <w:noWrap w:val="0"/>
                  <w:vAlign w:val="center"/>
                </w:tcPr>
                <w:p w14:paraId="50E2813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总银</w:t>
                  </w:r>
                </w:p>
              </w:tc>
              <w:tc>
                <w:tcPr>
                  <w:tcW w:w="609" w:type="pct"/>
                  <w:tcBorders>
                    <w:tl2br w:val="nil"/>
                    <w:tr2bl w:val="nil"/>
                  </w:tcBorders>
                  <w:noWrap w:val="0"/>
                  <w:vAlign w:val="center"/>
                </w:tcPr>
                <w:p w14:paraId="7FC4A5B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61C7F46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858" w:type="pct"/>
                  <w:tcBorders>
                    <w:tl2br w:val="nil"/>
                    <w:tr2bl w:val="nil"/>
                  </w:tcBorders>
                  <w:shd w:val="clear" w:color="auto" w:fill="auto"/>
                  <w:noWrap w:val="0"/>
                  <w:vAlign w:val="bottom"/>
                </w:tcPr>
                <w:p w14:paraId="525375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60C10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677DD57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13</w:t>
                  </w:r>
                </w:p>
              </w:tc>
              <w:tc>
                <w:tcPr>
                  <w:tcW w:w="1855" w:type="pct"/>
                  <w:tcBorders>
                    <w:tl2br w:val="nil"/>
                    <w:tr2bl w:val="nil"/>
                  </w:tcBorders>
                  <w:noWrap w:val="0"/>
                  <w:vAlign w:val="center"/>
                </w:tcPr>
                <w:p w14:paraId="15F31AD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硒</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以总硒计</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1825769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6199199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858" w:type="pct"/>
                  <w:tcBorders>
                    <w:tl2br w:val="nil"/>
                    <w:tr2bl w:val="nil"/>
                  </w:tcBorders>
                  <w:shd w:val="clear" w:color="auto" w:fill="auto"/>
                  <w:noWrap w:val="0"/>
                  <w:vAlign w:val="bottom"/>
                </w:tcPr>
                <w:p w14:paraId="02FE40E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00899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7C29560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14</w:t>
                  </w:r>
                </w:p>
              </w:tc>
              <w:tc>
                <w:tcPr>
                  <w:tcW w:w="1855" w:type="pct"/>
                  <w:tcBorders>
                    <w:tl2br w:val="nil"/>
                    <w:tr2bl w:val="nil"/>
                  </w:tcBorders>
                  <w:noWrap w:val="0"/>
                  <w:vAlign w:val="center"/>
                </w:tcPr>
                <w:p w14:paraId="65D0840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钴</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以总钴计</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524BB5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725AFF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858" w:type="pct"/>
                  <w:tcBorders>
                    <w:tl2br w:val="nil"/>
                    <w:tr2bl w:val="nil"/>
                  </w:tcBorders>
                  <w:shd w:val="clear" w:color="auto" w:fill="auto"/>
                  <w:noWrap w:val="0"/>
                  <w:vAlign w:val="bottom"/>
                </w:tcPr>
                <w:p w14:paraId="29FB303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288C1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4DD5A73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w:t>
                  </w:r>
                </w:p>
              </w:tc>
              <w:tc>
                <w:tcPr>
                  <w:tcW w:w="1855" w:type="pct"/>
                  <w:tcBorders>
                    <w:tl2br w:val="nil"/>
                    <w:tr2bl w:val="nil"/>
                  </w:tcBorders>
                  <w:noWrap w:val="0"/>
                  <w:vAlign w:val="center"/>
                </w:tcPr>
                <w:p w14:paraId="3830F94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矿物油</w:t>
                  </w:r>
                </w:p>
              </w:tc>
              <w:tc>
                <w:tcPr>
                  <w:tcW w:w="609" w:type="pct"/>
                  <w:tcBorders>
                    <w:tl2br w:val="nil"/>
                    <w:tr2bl w:val="nil"/>
                  </w:tcBorders>
                  <w:noWrap w:val="0"/>
                  <w:vAlign w:val="center"/>
                </w:tcPr>
                <w:p w14:paraId="12DD957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4FA1C21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2810</w:t>
                  </w:r>
                </w:p>
              </w:tc>
              <w:tc>
                <w:tcPr>
                  <w:tcW w:w="858" w:type="pct"/>
                  <w:tcBorders>
                    <w:tl2br w:val="nil"/>
                    <w:tr2bl w:val="nil"/>
                  </w:tcBorders>
                  <w:shd w:val="clear" w:color="auto" w:fill="auto"/>
                  <w:noWrap w:val="0"/>
                  <w:vAlign w:val="center"/>
                </w:tcPr>
                <w:p w14:paraId="29B0C6A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227A7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699D2AC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16</w:t>
                  </w:r>
                </w:p>
              </w:tc>
              <w:tc>
                <w:tcPr>
                  <w:tcW w:w="1855" w:type="pct"/>
                  <w:tcBorders>
                    <w:tl2br w:val="nil"/>
                    <w:tr2bl w:val="nil"/>
                  </w:tcBorders>
                  <w:noWrap w:val="0"/>
                  <w:vAlign w:val="center"/>
                </w:tcPr>
                <w:p w14:paraId="4A7855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细菌总数</w:t>
                  </w:r>
                </w:p>
              </w:tc>
              <w:tc>
                <w:tcPr>
                  <w:tcW w:w="609" w:type="pct"/>
                  <w:tcBorders>
                    <w:tl2br w:val="nil"/>
                    <w:tr2bl w:val="nil"/>
                  </w:tcBorders>
                  <w:noWrap w:val="0"/>
                  <w:vAlign w:val="center"/>
                </w:tcPr>
                <w:p w14:paraId="1071B02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个/kg</w:t>
                  </w:r>
                </w:p>
              </w:tc>
              <w:tc>
                <w:tcPr>
                  <w:tcW w:w="1189" w:type="pct"/>
                  <w:tcBorders>
                    <w:tl2br w:val="nil"/>
                    <w:tr2bl w:val="nil"/>
                  </w:tcBorders>
                  <w:noWrap w:val="0"/>
                  <w:vAlign w:val="center"/>
                </w:tcPr>
                <w:p w14:paraId="3CBA48F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7.9×10⁷</w:t>
                  </w:r>
                </w:p>
              </w:tc>
              <w:tc>
                <w:tcPr>
                  <w:tcW w:w="858" w:type="pct"/>
                  <w:tcBorders>
                    <w:tl2br w:val="nil"/>
                    <w:tr2bl w:val="nil"/>
                  </w:tcBorders>
                  <w:noWrap w:val="0"/>
                  <w:vAlign w:val="center"/>
                </w:tcPr>
                <w:p w14:paraId="54808A6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0ED09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4C144FE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17</w:t>
                  </w:r>
                </w:p>
              </w:tc>
              <w:tc>
                <w:tcPr>
                  <w:tcW w:w="1855" w:type="pct"/>
                  <w:tcBorders>
                    <w:tl2br w:val="nil"/>
                    <w:tr2bl w:val="nil"/>
                  </w:tcBorders>
                  <w:noWrap w:val="0"/>
                  <w:vAlign w:val="center"/>
                </w:tcPr>
                <w:p w14:paraId="6069601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酚</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挥发酚</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1067B19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3E7EF66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6.48</w:t>
                  </w:r>
                </w:p>
              </w:tc>
              <w:tc>
                <w:tcPr>
                  <w:tcW w:w="858" w:type="pct"/>
                  <w:tcBorders>
                    <w:tl2br w:val="nil"/>
                    <w:tr2bl w:val="nil"/>
                  </w:tcBorders>
                  <w:noWrap w:val="0"/>
                  <w:vAlign w:val="center"/>
                </w:tcPr>
                <w:p w14:paraId="04DDBB5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0E15C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502457B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18</w:t>
                  </w:r>
                </w:p>
              </w:tc>
              <w:tc>
                <w:tcPr>
                  <w:tcW w:w="1855" w:type="pct"/>
                  <w:tcBorders>
                    <w:tl2br w:val="nil"/>
                    <w:tr2bl w:val="nil"/>
                  </w:tcBorders>
                  <w:noWrap w:val="0"/>
                  <w:vAlign w:val="center"/>
                </w:tcPr>
                <w:p w14:paraId="535097A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氰化物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总</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49C87C8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027397A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1.06</w:t>
                  </w:r>
                </w:p>
              </w:tc>
              <w:tc>
                <w:tcPr>
                  <w:tcW w:w="858" w:type="pct"/>
                  <w:tcBorders>
                    <w:tl2br w:val="nil"/>
                    <w:tr2bl w:val="nil"/>
                  </w:tcBorders>
                  <w:noWrap w:val="0"/>
                  <w:vAlign w:val="center"/>
                </w:tcPr>
                <w:p w14:paraId="344051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37B38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200D0FA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19</w:t>
                  </w:r>
                </w:p>
              </w:tc>
              <w:tc>
                <w:tcPr>
                  <w:tcW w:w="1855" w:type="pct"/>
                  <w:tcBorders>
                    <w:tl2br w:val="nil"/>
                    <w:tr2bl w:val="nil"/>
                  </w:tcBorders>
                  <w:noWrap w:val="0"/>
                  <w:vAlign w:val="center"/>
                </w:tcPr>
                <w:p w14:paraId="601801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无机氟化物</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不包括氟化钙</w:t>
                  </w:r>
                  <w:r>
                    <w:rPr>
                      <w:rFonts w:hint="default" w:ascii="Times New Roman" w:hAnsi="Times New Roman" w:cs="Times New Roman"/>
                      <w:color w:val="auto"/>
                      <w:kern w:val="2"/>
                      <w:sz w:val="18"/>
                      <w:szCs w:val="18"/>
                      <w:lang w:val="en-US" w:eastAsia="zh-CN"/>
                    </w:rPr>
                    <w:t>）</w:t>
                  </w:r>
                </w:p>
              </w:tc>
              <w:tc>
                <w:tcPr>
                  <w:tcW w:w="609" w:type="pct"/>
                  <w:tcBorders>
                    <w:tl2br w:val="nil"/>
                    <w:tr2bl w:val="nil"/>
                  </w:tcBorders>
                  <w:noWrap w:val="0"/>
                  <w:vAlign w:val="center"/>
                </w:tcPr>
                <w:p w14:paraId="239091C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mg/kg</w:t>
                  </w:r>
                </w:p>
              </w:tc>
              <w:tc>
                <w:tcPr>
                  <w:tcW w:w="1189" w:type="pct"/>
                  <w:tcBorders>
                    <w:tl2br w:val="nil"/>
                    <w:tr2bl w:val="nil"/>
                  </w:tcBorders>
                  <w:noWrap w:val="0"/>
                  <w:vAlign w:val="center"/>
                </w:tcPr>
                <w:p w14:paraId="2D68E14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858" w:type="pct"/>
                  <w:tcBorders>
                    <w:tl2br w:val="nil"/>
                    <w:tr2bl w:val="nil"/>
                  </w:tcBorders>
                  <w:noWrap w:val="0"/>
                  <w:vAlign w:val="center"/>
                </w:tcPr>
                <w:p w14:paraId="197F069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2C808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1E7FBFA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w:t>
                  </w:r>
                </w:p>
              </w:tc>
              <w:tc>
                <w:tcPr>
                  <w:tcW w:w="1855" w:type="pct"/>
                  <w:tcBorders>
                    <w:tl2br w:val="nil"/>
                    <w:tr2bl w:val="nil"/>
                  </w:tcBorders>
                  <w:noWrap w:val="0"/>
                  <w:vAlign w:val="center"/>
                </w:tcPr>
                <w:p w14:paraId="1ED1997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含水率</w:t>
                  </w:r>
                </w:p>
              </w:tc>
              <w:tc>
                <w:tcPr>
                  <w:tcW w:w="609" w:type="pct"/>
                  <w:tcBorders>
                    <w:tl2br w:val="nil"/>
                    <w:tr2bl w:val="nil"/>
                  </w:tcBorders>
                  <w:noWrap w:val="0"/>
                  <w:vAlign w:val="center"/>
                </w:tcPr>
                <w:p w14:paraId="6D177A4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1189" w:type="pct"/>
                  <w:tcBorders>
                    <w:tl2br w:val="nil"/>
                    <w:tr2bl w:val="nil"/>
                  </w:tcBorders>
                  <w:noWrap w:val="0"/>
                  <w:vAlign w:val="center"/>
                </w:tcPr>
                <w:p w14:paraId="4FCC0F5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78.0</w:t>
                  </w:r>
                </w:p>
              </w:tc>
              <w:tc>
                <w:tcPr>
                  <w:tcW w:w="858" w:type="pct"/>
                  <w:tcBorders>
                    <w:tl2br w:val="nil"/>
                    <w:tr2bl w:val="nil"/>
                  </w:tcBorders>
                  <w:noWrap w:val="0"/>
                  <w:vAlign w:val="center"/>
                </w:tcPr>
                <w:p w14:paraId="1107F6F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4D9D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029101F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21</w:t>
                  </w:r>
                </w:p>
              </w:tc>
              <w:tc>
                <w:tcPr>
                  <w:tcW w:w="1855" w:type="pct"/>
                  <w:tcBorders>
                    <w:tl2br w:val="nil"/>
                    <w:tr2bl w:val="nil"/>
                  </w:tcBorders>
                  <w:noWrap w:val="0"/>
                  <w:vAlign w:val="center"/>
                </w:tcPr>
                <w:p w14:paraId="26A057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*粪大肠菌群菌值</w:t>
                  </w:r>
                </w:p>
              </w:tc>
              <w:tc>
                <w:tcPr>
                  <w:tcW w:w="609" w:type="pct"/>
                  <w:tcBorders>
                    <w:tl2br w:val="nil"/>
                    <w:tr2bl w:val="nil"/>
                  </w:tcBorders>
                  <w:noWrap w:val="0"/>
                  <w:vAlign w:val="center"/>
                </w:tcPr>
                <w:p w14:paraId="6F96E0C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/g</w:t>
                  </w:r>
                </w:p>
              </w:tc>
              <w:tc>
                <w:tcPr>
                  <w:tcW w:w="1189" w:type="pct"/>
                  <w:tcBorders>
                    <w:tl2br w:val="nil"/>
                    <w:tr2bl w:val="nil"/>
                  </w:tcBorders>
                  <w:noWrap w:val="0"/>
                  <w:vAlign w:val="center"/>
                </w:tcPr>
                <w:p w14:paraId="1489F0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0.04</w:t>
                  </w:r>
                </w:p>
              </w:tc>
              <w:tc>
                <w:tcPr>
                  <w:tcW w:w="858" w:type="pct"/>
                  <w:tcBorders>
                    <w:tl2br w:val="nil"/>
                    <w:tr2bl w:val="nil"/>
                  </w:tcBorders>
                  <w:noWrap w:val="0"/>
                  <w:vAlign w:val="center"/>
                </w:tcPr>
                <w:p w14:paraId="7F708A5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6094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5" w:type="pct"/>
                  <w:tcBorders>
                    <w:tl2br w:val="nil"/>
                    <w:tr2bl w:val="nil"/>
                  </w:tcBorders>
                  <w:noWrap w:val="0"/>
                  <w:vAlign w:val="center"/>
                </w:tcPr>
                <w:p w14:paraId="34E51FD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22</w:t>
                  </w:r>
                </w:p>
              </w:tc>
              <w:tc>
                <w:tcPr>
                  <w:tcW w:w="1855" w:type="pct"/>
                  <w:tcBorders>
                    <w:tl2br w:val="nil"/>
                    <w:tr2bl w:val="nil"/>
                  </w:tcBorders>
                  <w:noWrap w:val="0"/>
                  <w:vAlign w:val="center"/>
                </w:tcPr>
                <w:p w14:paraId="639D98E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有机质</w:t>
                  </w:r>
                </w:p>
              </w:tc>
              <w:tc>
                <w:tcPr>
                  <w:tcW w:w="609" w:type="pct"/>
                  <w:tcBorders>
                    <w:tl2br w:val="nil"/>
                    <w:tr2bl w:val="nil"/>
                  </w:tcBorders>
                  <w:noWrap w:val="0"/>
                  <w:vAlign w:val="center"/>
                </w:tcPr>
                <w:p w14:paraId="418ADDE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1189" w:type="pct"/>
                  <w:tcBorders>
                    <w:tl2br w:val="nil"/>
                    <w:tr2bl w:val="nil"/>
                  </w:tcBorders>
                  <w:noWrap w:val="0"/>
                  <w:vAlign w:val="center"/>
                </w:tcPr>
                <w:p w14:paraId="6A0143D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858" w:type="pct"/>
                  <w:tcBorders>
                    <w:tl2br w:val="nil"/>
                    <w:tr2bl w:val="nil"/>
                  </w:tcBorders>
                  <w:noWrap w:val="0"/>
                  <w:vAlign w:val="center"/>
                </w:tcPr>
                <w:p w14:paraId="6886B1C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bl>
          <w:p w14:paraId="1CB6F388">
            <w:pPr>
              <w:keepNext w:val="0"/>
              <w:keepLines w:val="0"/>
              <w:suppressLineNumbers w:val="0"/>
              <w:tabs>
                <w:tab w:val="left" w:pos="360"/>
                <w:tab w:val="left" w:pos="2207"/>
              </w:tabs>
              <w:spacing w:before="0" w:beforeAutospacing="0" w:after="0" w:afterAutospacing="0"/>
              <w:ind w:left="0" w:right="0"/>
              <w:jc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rPr>
              <w:t>表2-</w:t>
            </w:r>
            <w:r>
              <w:rPr>
                <w:rFonts w:hint="default" w:ascii="Times New Roman" w:hAnsi="Times New Roman" w:cs="Times New Roman"/>
                <w:b/>
                <w:bCs/>
                <w:color w:val="auto"/>
                <w:sz w:val="24"/>
                <w:lang w:val="en-US" w:eastAsia="zh-CN"/>
              </w:rPr>
              <w:t>22</w:t>
            </w:r>
            <w:r>
              <w:rPr>
                <w:rFonts w:hint="default" w:ascii="Times New Roman" w:hAnsi="Times New Roman" w:cs="Times New Roman"/>
                <w:b/>
                <w:bCs/>
                <w:color w:val="auto"/>
                <w:sz w:val="24"/>
              </w:rPr>
              <w:t>主要原辅材料成分一览表</w:t>
            </w: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3</w:t>
            </w:r>
            <w:r>
              <w:rPr>
                <w:rFonts w:hint="default" w:ascii="Times New Roman" w:hAnsi="Times New Roman" w:cs="Times New Roman"/>
                <w:b/>
                <w:bCs/>
                <w:color w:val="auto"/>
                <w:sz w:val="24"/>
                <w:lang w:eastAsia="zh-CN"/>
              </w:rPr>
              <w:t>）</w:t>
            </w:r>
          </w:p>
          <w:tbl>
            <w:tblPr>
              <w:tblStyle w:val="3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4"/>
              <w:gridCol w:w="1947"/>
              <w:gridCol w:w="1375"/>
              <w:gridCol w:w="1556"/>
              <w:gridCol w:w="1363"/>
              <w:gridCol w:w="1363"/>
            </w:tblGrid>
            <w:tr w14:paraId="2196A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391A8F9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1161" w:type="pct"/>
                  <w:tcBorders>
                    <w:tl2br w:val="nil"/>
                    <w:tr2bl w:val="nil"/>
                  </w:tcBorders>
                  <w:noWrap w:val="0"/>
                  <w:vAlign w:val="center"/>
                </w:tcPr>
                <w:p w14:paraId="778E9A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名称</w:t>
                  </w:r>
                </w:p>
              </w:tc>
              <w:tc>
                <w:tcPr>
                  <w:tcW w:w="820" w:type="pct"/>
                  <w:tcBorders>
                    <w:tl2br w:val="nil"/>
                    <w:tr2bl w:val="nil"/>
                  </w:tcBorders>
                  <w:noWrap w:val="0"/>
                  <w:vAlign w:val="center"/>
                </w:tcPr>
                <w:p w14:paraId="7B94B92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酒糟</w:t>
                  </w:r>
                </w:p>
              </w:tc>
              <w:tc>
                <w:tcPr>
                  <w:tcW w:w="928" w:type="pct"/>
                  <w:tcBorders>
                    <w:tl2br w:val="nil"/>
                    <w:tr2bl w:val="nil"/>
                  </w:tcBorders>
                  <w:noWrap w:val="0"/>
                  <w:vAlign w:val="center"/>
                </w:tcPr>
                <w:p w14:paraId="74A0F66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禽畜粪污</w:t>
                  </w:r>
                </w:p>
              </w:tc>
              <w:tc>
                <w:tcPr>
                  <w:tcW w:w="813" w:type="pct"/>
                  <w:tcBorders>
                    <w:tl2br w:val="nil"/>
                    <w:tr2bl w:val="nil"/>
                  </w:tcBorders>
                  <w:noWrap w:val="0"/>
                  <w:vAlign w:val="center"/>
                </w:tcPr>
                <w:p w14:paraId="79CBB43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中药渣</w:t>
                  </w:r>
                </w:p>
              </w:tc>
              <w:tc>
                <w:tcPr>
                  <w:tcW w:w="813" w:type="pct"/>
                  <w:tcBorders>
                    <w:tl2br w:val="nil"/>
                    <w:tr2bl w:val="nil"/>
                  </w:tcBorders>
                  <w:noWrap w:val="0"/>
                  <w:vAlign w:val="center"/>
                </w:tcPr>
                <w:p w14:paraId="4C76236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糖渣</w:t>
                  </w:r>
                </w:p>
              </w:tc>
            </w:tr>
            <w:tr w14:paraId="44153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1D9A5C2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1161" w:type="pct"/>
                  <w:tcBorders>
                    <w:tl2br w:val="nil"/>
                    <w:tr2bl w:val="nil"/>
                  </w:tcBorders>
                  <w:noWrap w:val="0"/>
                  <w:vAlign w:val="center"/>
                </w:tcPr>
                <w:p w14:paraId="798E4C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PH</w:t>
                  </w:r>
                </w:p>
              </w:tc>
              <w:tc>
                <w:tcPr>
                  <w:tcW w:w="820" w:type="pct"/>
                  <w:tcBorders>
                    <w:tl2br w:val="nil"/>
                    <w:tr2bl w:val="nil"/>
                  </w:tcBorders>
                  <w:noWrap w:val="0"/>
                  <w:vAlign w:val="center"/>
                </w:tcPr>
                <w:p w14:paraId="01BDE98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w:t>
                  </w:r>
                </w:p>
              </w:tc>
              <w:tc>
                <w:tcPr>
                  <w:tcW w:w="928" w:type="pct"/>
                  <w:tcBorders>
                    <w:tl2br w:val="nil"/>
                    <w:tr2bl w:val="nil"/>
                  </w:tcBorders>
                  <w:noWrap w:val="0"/>
                  <w:vAlign w:val="center"/>
                </w:tcPr>
                <w:p w14:paraId="079847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w:t>
                  </w:r>
                </w:p>
              </w:tc>
              <w:tc>
                <w:tcPr>
                  <w:tcW w:w="813" w:type="pct"/>
                  <w:tcBorders>
                    <w:tl2br w:val="nil"/>
                    <w:tr2bl w:val="nil"/>
                  </w:tcBorders>
                  <w:noWrap w:val="0"/>
                  <w:vAlign w:val="center"/>
                </w:tcPr>
                <w:p w14:paraId="402E16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5.1</w:t>
                  </w:r>
                </w:p>
              </w:tc>
              <w:tc>
                <w:tcPr>
                  <w:tcW w:w="813" w:type="pct"/>
                  <w:tcBorders>
                    <w:tl2br w:val="nil"/>
                    <w:tr2bl w:val="nil"/>
                  </w:tcBorders>
                  <w:noWrap w:val="0"/>
                  <w:vAlign w:val="center"/>
                </w:tcPr>
                <w:p w14:paraId="5070D5F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13511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5D8A60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1161" w:type="pct"/>
                  <w:tcBorders>
                    <w:tl2br w:val="nil"/>
                    <w:tr2bl w:val="nil"/>
                  </w:tcBorders>
                  <w:noWrap w:val="0"/>
                  <w:vAlign w:val="center"/>
                </w:tcPr>
                <w:p w14:paraId="2C4D21D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粪大肠菌群MPN/g</w:t>
                  </w:r>
                </w:p>
              </w:tc>
              <w:tc>
                <w:tcPr>
                  <w:tcW w:w="820" w:type="pct"/>
                  <w:tcBorders>
                    <w:tl2br w:val="nil"/>
                    <w:tr2bl w:val="nil"/>
                  </w:tcBorders>
                  <w:noWrap w:val="0"/>
                  <w:vAlign w:val="center"/>
                </w:tcPr>
                <w:p w14:paraId="277B010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&lt;0.3</w:t>
                  </w:r>
                </w:p>
              </w:tc>
              <w:tc>
                <w:tcPr>
                  <w:tcW w:w="928" w:type="pct"/>
                  <w:tcBorders>
                    <w:tl2br w:val="nil"/>
                    <w:tr2bl w:val="nil"/>
                  </w:tcBorders>
                  <w:noWrap w:val="0"/>
                  <w:vAlign w:val="center"/>
                </w:tcPr>
                <w:p w14:paraId="6BB423C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&lt;3</w:t>
                  </w:r>
                </w:p>
              </w:tc>
              <w:tc>
                <w:tcPr>
                  <w:tcW w:w="813" w:type="pct"/>
                  <w:tcBorders>
                    <w:tl2br w:val="nil"/>
                    <w:tr2bl w:val="nil"/>
                  </w:tcBorders>
                  <w:noWrap w:val="0"/>
                  <w:vAlign w:val="center"/>
                </w:tcPr>
                <w:p w14:paraId="6B91518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&lt;3</w:t>
                  </w:r>
                </w:p>
              </w:tc>
              <w:tc>
                <w:tcPr>
                  <w:tcW w:w="813" w:type="pct"/>
                  <w:tcBorders>
                    <w:tl2br w:val="nil"/>
                    <w:tr2bl w:val="nil"/>
                  </w:tcBorders>
                  <w:noWrap w:val="0"/>
                  <w:vAlign w:val="center"/>
                </w:tcPr>
                <w:p w14:paraId="0A11854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1BF4A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2186C5D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1161" w:type="pct"/>
                  <w:tcBorders>
                    <w:tl2br w:val="nil"/>
                    <w:tr2bl w:val="nil"/>
                  </w:tcBorders>
                  <w:noWrap w:val="0"/>
                  <w:vAlign w:val="center"/>
                </w:tcPr>
                <w:p w14:paraId="7D9133D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蛔虫卵死亡率（%）</w:t>
                  </w:r>
                </w:p>
              </w:tc>
              <w:tc>
                <w:tcPr>
                  <w:tcW w:w="820" w:type="pct"/>
                  <w:tcBorders>
                    <w:tl2br w:val="nil"/>
                    <w:tr2bl w:val="nil"/>
                  </w:tcBorders>
                  <w:noWrap w:val="0"/>
                  <w:vAlign w:val="center"/>
                </w:tcPr>
                <w:p w14:paraId="500948D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未检出蛔虫卵</w:t>
                  </w:r>
                </w:p>
              </w:tc>
              <w:tc>
                <w:tcPr>
                  <w:tcW w:w="928" w:type="pct"/>
                  <w:tcBorders>
                    <w:tl2br w:val="nil"/>
                    <w:tr2bl w:val="nil"/>
                  </w:tcBorders>
                  <w:noWrap w:val="0"/>
                  <w:vAlign w:val="center"/>
                </w:tcPr>
                <w:p w14:paraId="580C8F2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100</w:t>
                  </w:r>
                </w:p>
              </w:tc>
              <w:tc>
                <w:tcPr>
                  <w:tcW w:w="813" w:type="pct"/>
                  <w:tcBorders>
                    <w:tl2br w:val="nil"/>
                    <w:tr2bl w:val="nil"/>
                  </w:tcBorders>
                  <w:noWrap w:val="0"/>
                  <w:vAlign w:val="center"/>
                </w:tcPr>
                <w:p w14:paraId="3CF8E7A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100</w:t>
                  </w:r>
                </w:p>
              </w:tc>
              <w:tc>
                <w:tcPr>
                  <w:tcW w:w="813" w:type="pct"/>
                  <w:tcBorders>
                    <w:tl2br w:val="nil"/>
                    <w:tr2bl w:val="nil"/>
                  </w:tcBorders>
                  <w:noWrap w:val="0"/>
                  <w:vAlign w:val="center"/>
                </w:tcPr>
                <w:p w14:paraId="06C53CC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7E078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6E8DEC1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1161" w:type="pct"/>
                  <w:tcBorders>
                    <w:tl2br w:val="nil"/>
                    <w:tr2bl w:val="nil"/>
                  </w:tcBorders>
                  <w:noWrap w:val="0"/>
                  <w:vAlign w:val="center"/>
                </w:tcPr>
                <w:p w14:paraId="1C699C8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钾</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氧化钾</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820" w:type="pct"/>
                  <w:tcBorders>
                    <w:tl2br w:val="nil"/>
                    <w:tr2bl w:val="nil"/>
                  </w:tcBorders>
                  <w:noWrap w:val="0"/>
                  <w:vAlign w:val="center"/>
                </w:tcPr>
                <w:p w14:paraId="28D10B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0.63</w:t>
                  </w:r>
                </w:p>
              </w:tc>
              <w:tc>
                <w:tcPr>
                  <w:tcW w:w="928" w:type="pct"/>
                  <w:tcBorders>
                    <w:tl2br w:val="nil"/>
                    <w:tr2bl w:val="nil"/>
                  </w:tcBorders>
                  <w:noWrap w:val="0"/>
                  <w:vAlign w:val="center"/>
                </w:tcPr>
                <w:p w14:paraId="018DCAB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2.88</w:t>
                  </w:r>
                </w:p>
              </w:tc>
              <w:tc>
                <w:tcPr>
                  <w:tcW w:w="813" w:type="pct"/>
                  <w:tcBorders>
                    <w:tl2br w:val="nil"/>
                    <w:tr2bl w:val="nil"/>
                  </w:tcBorders>
                  <w:noWrap w:val="0"/>
                  <w:vAlign w:val="center"/>
                </w:tcPr>
                <w:p w14:paraId="66122DB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1.63</w:t>
                  </w:r>
                </w:p>
              </w:tc>
              <w:tc>
                <w:tcPr>
                  <w:tcW w:w="813" w:type="pct"/>
                  <w:tcBorders>
                    <w:tl2br w:val="nil"/>
                    <w:tr2bl w:val="nil"/>
                  </w:tcBorders>
                  <w:noWrap w:val="0"/>
                  <w:vAlign w:val="center"/>
                </w:tcPr>
                <w:p w14:paraId="0487CE0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4FCDC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2BBD46D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1161" w:type="pct"/>
                  <w:tcBorders>
                    <w:tl2br w:val="nil"/>
                    <w:tr2bl w:val="nil"/>
                  </w:tcBorders>
                  <w:noWrap w:val="0"/>
                  <w:vAlign w:val="center"/>
                </w:tcPr>
                <w:p w14:paraId="59F8BD4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磷</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五氧化二磷</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w:t>
                  </w:r>
                </w:p>
              </w:tc>
              <w:tc>
                <w:tcPr>
                  <w:tcW w:w="820" w:type="pct"/>
                  <w:tcBorders>
                    <w:tl2br w:val="nil"/>
                    <w:tr2bl w:val="nil"/>
                  </w:tcBorders>
                  <w:noWrap w:val="0"/>
                  <w:vAlign w:val="center"/>
                </w:tcPr>
                <w:p w14:paraId="551102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1.54</w:t>
                  </w:r>
                </w:p>
              </w:tc>
              <w:tc>
                <w:tcPr>
                  <w:tcW w:w="928" w:type="pct"/>
                  <w:tcBorders>
                    <w:tl2br w:val="nil"/>
                    <w:tr2bl w:val="nil"/>
                  </w:tcBorders>
                  <w:noWrap w:val="0"/>
                  <w:vAlign w:val="center"/>
                </w:tcPr>
                <w:p w14:paraId="13E4BEB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1.5</w:t>
                  </w:r>
                </w:p>
              </w:tc>
              <w:tc>
                <w:tcPr>
                  <w:tcW w:w="813" w:type="pct"/>
                  <w:tcBorders>
                    <w:tl2br w:val="nil"/>
                    <w:tr2bl w:val="nil"/>
                  </w:tcBorders>
                  <w:noWrap w:val="0"/>
                  <w:vAlign w:val="center"/>
                </w:tcPr>
                <w:p w14:paraId="04E17BF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0.73</w:t>
                  </w:r>
                </w:p>
              </w:tc>
              <w:tc>
                <w:tcPr>
                  <w:tcW w:w="813" w:type="pct"/>
                  <w:tcBorders>
                    <w:tl2br w:val="nil"/>
                    <w:tr2bl w:val="nil"/>
                  </w:tcBorders>
                  <w:noWrap w:val="0"/>
                  <w:vAlign w:val="center"/>
                </w:tcPr>
                <w:p w14:paraId="63BB2AC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58098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4B90BA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1161" w:type="pct"/>
                  <w:tcBorders>
                    <w:tl2br w:val="nil"/>
                    <w:tr2bl w:val="nil"/>
                  </w:tcBorders>
                  <w:noWrap w:val="0"/>
                  <w:vAlign w:val="center"/>
                </w:tcPr>
                <w:p w14:paraId="1B104CB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总氮（%）</w:t>
                  </w:r>
                </w:p>
              </w:tc>
              <w:tc>
                <w:tcPr>
                  <w:tcW w:w="820" w:type="pct"/>
                  <w:tcBorders>
                    <w:tl2br w:val="nil"/>
                    <w:tr2bl w:val="nil"/>
                  </w:tcBorders>
                  <w:noWrap w:val="0"/>
                  <w:vAlign w:val="center"/>
                </w:tcPr>
                <w:p w14:paraId="042AF41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2.32</w:t>
                  </w:r>
                </w:p>
              </w:tc>
              <w:tc>
                <w:tcPr>
                  <w:tcW w:w="928" w:type="pct"/>
                  <w:tcBorders>
                    <w:tl2br w:val="nil"/>
                    <w:tr2bl w:val="nil"/>
                  </w:tcBorders>
                  <w:noWrap w:val="0"/>
                  <w:vAlign w:val="center"/>
                </w:tcPr>
                <w:p w14:paraId="58A396D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2.65</w:t>
                  </w:r>
                </w:p>
              </w:tc>
              <w:tc>
                <w:tcPr>
                  <w:tcW w:w="813" w:type="pct"/>
                  <w:tcBorders>
                    <w:tl2br w:val="nil"/>
                    <w:tr2bl w:val="nil"/>
                  </w:tcBorders>
                  <w:noWrap w:val="0"/>
                  <w:vAlign w:val="center"/>
                </w:tcPr>
                <w:p w14:paraId="20422E6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3.21</w:t>
                  </w:r>
                </w:p>
              </w:tc>
              <w:tc>
                <w:tcPr>
                  <w:tcW w:w="813" w:type="pct"/>
                  <w:tcBorders>
                    <w:tl2br w:val="nil"/>
                    <w:tr2bl w:val="nil"/>
                  </w:tcBorders>
                  <w:noWrap w:val="0"/>
                  <w:vAlign w:val="center"/>
                </w:tcPr>
                <w:p w14:paraId="28B980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364AA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2A29850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w:t>
                  </w:r>
                </w:p>
              </w:tc>
              <w:tc>
                <w:tcPr>
                  <w:tcW w:w="1161" w:type="pct"/>
                  <w:tcBorders>
                    <w:tl2br w:val="nil"/>
                    <w:tr2bl w:val="nil"/>
                  </w:tcBorders>
                  <w:noWrap w:val="0"/>
                  <w:vAlign w:val="center"/>
                </w:tcPr>
                <w:p w14:paraId="5DD4CB1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有机质（%）</w:t>
                  </w:r>
                </w:p>
              </w:tc>
              <w:tc>
                <w:tcPr>
                  <w:tcW w:w="820" w:type="pct"/>
                  <w:tcBorders>
                    <w:tl2br w:val="nil"/>
                    <w:tr2bl w:val="nil"/>
                  </w:tcBorders>
                  <w:noWrap w:val="0"/>
                  <w:vAlign w:val="center"/>
                </w:tcPr>
                <w:p w14:paraId="2C75AA6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31.4</w:t>
                  </w:r>
                </w:p>
              </w:tc>
              <w:tc>
                <w:tcPr>
                  <w:tcW w:w="928" w:type="pct"/>
                  <w:tcBorders>
                    <w:tl2br w:val="nil"/>
                    <w:tr2bl w:val="nil"/>
                  </w:tcBorders>
                  <w:noWrap w:val="0"/>
                  <w:vAlign w:val="center"/>
                </w:tcPr>
                <w:p w14:paraId="634695E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37.4</w:t>
                  </w:r>
                </w:p>
              </w:tc>
              <w:tc>
                <w:tcPr>
                  <w:tcW w:w="813" w:type="pct"/>
                  <w:tcBorders>
                    <w:tl2br w:val="nil"/>
                    <w:tr2bl w:val="nil"/>
                  </w:tcBorders>
                  <w:noWrap w:val="0"/>
                  <w:vAlign w:val="center"/>
                </w:tcPr>
                <w:p w14:paraId="79BD213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30.3</w:t>
                  </w:r>
                </w:p>
              </w:tc>
              <w:tc>
                <w:tcPr>
                  <w:tcW w:w="813" w:type="pct"/>
                  <w:tcBorders>
                    <w:tl2br w:val="nil"/>
                    <w:tr2bl w:val="nil"/>
                  </w:tcBorders>
                  <w:noWrap w:val="0"/>
                  <w:vAlign w:val="center"/>
                </w:tcPr>
                <w:p w14:paraId="67C930C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r>
            <w:tr w14:paraId="6B0E7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4664864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w:t>
                  </w:r>
                </w:p>
              </w:tc>
              <w:tc>
                <w:tcPr>
                  <w:tcW w:w="1161" w:type="pct"/>
                  <w:tcBorders>
                    <w:tl2br w:val="nil"/>
                    <w:tr2bl w:val="nil"/>
                  </w:tcBorders>
                  <w:noWrap w:val="0"/>
                  <w:vAlign w:val="center"/>
                </w:tcPr>
                <w:p w14:paraId="370131E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汞（mg/kg）</w:t>
                  </w:r>
                </w:p>
              </w:tc>
              <w:tc>
                <w:tcPr>
                  <w:tcW w:w="820" w:type="pct"/>
                  <w:tcBorders>
                    <w:tl2br w:val="nil"/>
                    <w:tr2bl w:val="nil"/>
                  </w:tcBorders>
                  <w:noWrap w:val="0"/>
                  <w:vAlign w:val="center"/>
                </w:tcPr>
                <w:p w14:paraId="7E204C0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0.2</w:t>
                  </w:r>
                </w:p>
              </w:tc>
              <w:tc>
                <w:tcPr>
                  <w:tcW w:w="928" w:type="pct"/>
                  <w:tcBorders>
                    <w:tl2br w:val="nil"/>
                    <w:tr2bl w:val="nil"/>
                  </w:tcBorders>
                  <w:noWrap w:val="0"/>
                  <w:vAlign w:val="center"/>
                </w:tcPr>
                <w:p w14:paraId="680EC82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0.03</w:t>
                  </w:r>
                </w:p>
              </w:tc>
              <w:tc>
                <w:tcPr>
                  <w:tcW w:w="813" w:type="pct"/>
                  <w:tcBorders>
                    <w:tl2br w:val="nil"/>
                    <w:tr2bl w:val="nil"/>
                  </w:tcBorders>
                  <w:noWrap w:val="0"/>
                  <w:vAlign w:val="center"/>
                </w:tcPr>
                <w:p w14:paraId="6F0836A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0.2</w:t>
                  </w:r>
                </w:p>
              </w:tc>
              <w:tc>
                <w:tcPr>
                  <w:tcW w:w="813" w:type="pct"/>
                  <w:tcBorders>
                    <w:tl2br w:val="nil"/>
                    <w:tr2bl w:val="nil"/>
                  </w:tcBorders>
                  <w:noWrap w:val="0"/>
                  <w:vAlign w:val="center"/>
                </w:tcPr>
                <w:p w14:paraId="4963E21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w:t>
                  </w:r>
                  <w:r>
                    <w:rPr>
                      <w:rFonts w:hint="eastAsia" w:cs="Times New Roman"/>
                      <w:color w:val="auto"/>
                      <w:kern w:val="2"/>
                      <w:sz w:val="18"/>
                      <w:szCs w:val="18"/>
                      <w:lang w:val="en-US" w:eastAsia="zh-CN"/>
                    </w:rPr>
                    <w:t>2×10</w:t>
                  </w:r>
                  <w:r>
                    <w:rPr>
                      <w:rFonts w:hint="eastAsia" w:cs="Times New Roman"/>
                      <w:color w:val="auto"/>
                      <w:kern w:val="2"/>
                      <w:sz w:val="18"/>
                      <w:szCs w:val="18"/>
                      <w:vertAlign w:val="superscript"/>
                      <w:lang w:val="en-US" w:eastAsia="zh-CN"/>
                    </w:rPr>
                    <w:t>-5</w:t>
                  </w:r>
                  <w:r>
                    <w:rPr>
                      <w:rFonts w:hint="eastAsia" w:cs="Times New Roman"/>
                      <w:color w:val="auto"/>
                      <w:kern w:val="2"/>
                      <w:sz w:val="18"/>
                      <w:szCs w:val="18"/>
                      <w:lang w:val="en-US" w:eastAsia="zh-CN"/>
                    </w:rPr>
                    <w:t>mg/L</w:t>
                  </w:r>
                </w:p>
              </w:tc>
            </w:tr>
            <w:tr w14:paraId="303B7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2107AA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w:t>
                  </w:r>
                </w:p>
              </w:tc>
              <w:tc>
                <w:tcPr>
                  <w:tcW w:w="1161" w:type="pct"/>
                  <w:tcBorders>
                    <w:tl2br w:val="nil"/>
                    <w:tr2bl w:val="nil"/>
                  </w:tcBorders>
                  <w:noWrap w:val="0"/>
                  <w:vAlign w:val="center"/>
                </w:tcPr>
                <w:p w14:paraId="58BE70B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镉（mg/kg）</w:t>
                  </w:r>
                </w:p>
              </w:tc>
              <w:tc>
                <w:tcPr>
                  <w:tcW w:w="820" w:type="pct"/>
                  <w:tcBorders>
                    <w:tl2br w:val="nil"/>
                    <w:tr2bl w:val="nil"/>
                  </w:tcBorders>
                  <w:noWrap w:val="0"/>
                  <w:vAlign w:val="center"/>
                </w:tcPr>
                <w:p w14:paraId="7A7FAC2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0.2</w:t>
                  </w:r>
                </w:p>
              </w:tc>
              <w:tc>
                <w:tcPr>
                  <w:tcW w:w="928" w:type="pct"/>
                  <w:tcBorders>
                    <w:tl2br w:val="nil"/>
                    <w:tr2bl w:val="nil"/>
                  </w:tcBorders>
                  <w:noWrap w:val="0"/>
                  <w:vAlign w:val="center"/>
                </w:tcPr>
                <w:p w14:paraId="6A155EF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&lt;0.5</w:t>
                  </w:r>
                </w:p>
              </w:tc>
              <w:tc>
                <w:tcPr>
                  <w:tcW w:w="813" w:type="pct"/>
                  <w:tcBorders>
                    <w:tl2br w:val="nil"/>
                    <w:tr2bl w:val="nil"/>
                  </w:tcBorders>
                  <w:noWrap w:val="0"/>
                  <w:vAlign w:val="center"/>
                </w:tcPr>
                <w:p w14:paraId="095FE85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&lt;0.01</w:t>
                  </w:r>
                </w:p>
              </w:tc>
              <w:tc>
                <w:tcPr>
                  <w:tcW w:w="813" w:type="pct"/>
                  <w:tcBorders>
                    <w:tl2br w:val="nil"/>
                    <w:tr2bl w:val="nil"/>
                  </w:tcBorders>
                  <w:noWrap w:val="0"/>
                  <w:vAlign w:val="center"/>
                </w:tcPr>
                <w:p w14:paraId="4E20FD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&lt;3</w:t>
                  </w:r>
                  <w:r>
                    <w:rPr>
                      <w:rFonts w:hint="eastAsia" w:cs="Times New Roman"/>
                      <w:color w:val="auto"/>
                      <w:kern w:val="2"/>
                      <w:sz w:val="18"/>
                      <w:szCs w:val="18"/>
                      <w:lang w:val="en-US" w:eastAsia="zh-CN"/>
                    </w:rPr>
                    <w:t>×10</w:t>
                  </w:r>
                  <w:r>
                    <w:rPr>
                      <w:rFonts w:hint="eastAsia" w:cs="Times New Roman"/>
                      <w:color w:val="auto"/>
                      <w:kern w:val="2"/>
                      <w:sz w:val="18"/>
                      <w:szCs w:val="18"/>
                      <w:vertAlign w:val="superscript"/>
                      <w:lang w:val="en-US" w:eastAsia="zh-CN"/>
                    </w:rPr>
                    <w:t>-3</w:t>
                  </w:r>
                  <w:r>
                    <w:rPr>
                      <w:rFonts w:hint="eastAsia" w:cs="Times New Roman"/>
                      <w:color w:val="auto"/>
                      <w:kern w:val="2"/>
                      <w:sz w:val="18"/>
                      <w:szCs w:val="18"/>
                      <w:lang w:val="en-US" w:eastAsia="zh-CN"/>
                    </w:rPr>
                    <w:t>mg/L</w:t>
                  </w:r>
                </w:p>
              </w:tc>
            </w:tr>
            <w:tr w14:paraId="6ED79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69F60E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1161" w:type="pct"/>
                  <w:tcBorders>
                    <w:tl2br w:val="nil"/>
                    <w:tr2bl w:val="nil"/>
                  </w:tcBorders>
                  <w:noWrap w:val="0"/>
                  <w:vAlign w:val="center"/>
                </w:tcPr>
                <w:p w14:paraId="252C3B9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铅（mg/kg）</w:t>
                  </w:r>
                </w:p>
              </w:tc>
              <w:tc>
                <w:tcPr>
                  <w:tcW w:w="820" w:type="pct"/>
                  <w:tcBorders>
                    <w:tl2br w:val="nil"/>
                    <w:tr2bl w:val="nil"/>
                  </w:tcBorders>
                  <w:noWrap w:val="0"/>
                  <w:vAlign w:val="center"/>
                </w:tcPr>
                <w:p w14:paraId="0B621C5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23</w:t>
                  </w:r>
                </w:p>
              </w:tc>
              <w:tc>
                <w:tcPr>
                  <w:tcW w:w="928" w:type="pct"/>
                  <w:tcBorders>
                    <w:tl2br w:val="nil"/>
                    <w:tr2bl w:val="nil"/>
                  </w:tcBorders>
                  <w:noWrap w:val="0"/>
                  <w:vAlign w:val="center"/>
                </w:tcPr>
                <w:p w14:paraId="78A72D1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12.7</w:t>
                  </w:r>
                </w:p>
              </w:tc>
              <w:tc>
                <w:tcPr>
                  <w:tcW w:w="813" w:type="pct"/>
                  <w:tcBorders>
                    <w:tl2br w:val="nil"/>
                    <w:tr2bl w:val="nil"/>
                  </w:tcBorders>
                  <w:noWrap w:val="0"/>
                  <w:vAlign w:val="center"/>
                </w:tcPr>
                <w:p w14:paraId="4B27228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813" w:type="pct"/>
                  <w:tcBorders>
                    <w:tl2br w:val="nil"/>
                    <w:tr2bl w:val="nil"/>
                  </w:tcBorders>
                  <w:noWrap w:val="0"/>
                  <w:vAlign w:val="center"/>
                </w:tcPr>
                <w:p w14:paraId="06C91AE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w:t>
                  </w:r>
                  <w:r>
                    <w:rPr>
                      <w:rFonts w:hint="eastAsia" w:cs="Times New Roman"/>
                      <w:color w:val="auto"/>
                      <w:kern w:val="2"/>
                      <w:sz w:val="18"/>
                      <w:szCs w:val="18"/>
                      <w:lang w:val="en-US" w:eastAsia="zh-CN"/>
                    </w:rPr>
                    <w:t>0.05mg/L</w:t>
                  </w:r>
                </w:p>
              </w:tc>
            </w:tr>
            <w:tr w14:paraId="72A20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08FEDDB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11</w:t>
                  </w:r>
                </w:p>
              </w:tc>
              <w:tc>
                <w:tcPr>
                  <w:tcW w:w="1161" w:type="pct"/>
                  <w:tcBorders>
                    <w:tl2br w:val="nil"/>
                    <w:tr2bl w:val="nil"/>
                  </w:tcBorders>
                  <w:noWrap w:val="0"/>
                  <w:vAlign w:val="center"/>
                </w:tcPr>
                <w:p w14:paraId="669C31D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砷（mg/kg）</w:t>
                  </w:r>
                </w:p>
              </w:tc>
              <w:tc>
                <w:tcPr>
                  <w:tcW w:w="820" w:type="pct"/>
                  <w:tcBorders>
                    <w:tl2br w:val="nil"/>
                    <w:tr2bl w:val="nil"/>
                  </w:tcBorders>
                  <w:noWrap w:val="0"/>
                  <w:vAlign w:val="center"/>
                </w:tcPr>
                <w:p w14:paraId="3D18B0C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3.6</w:t>
                  </w:r>
                </w:p>
              </w:tc>
              <w:tc>
                <w:tcPr>
                  <w:tcW w:w="928" w:type="pct"/>
                  <w:tcBorders>
                    <w:tl2br w:val="nil"/>
                    <w:tr2bl w:val="nil"/>
                  </w:tcBorders>
                  <w:noWrap w:val="0"/>
                  <w:vAlign w:val="center"/>
                </w:tcPr>
                <w:p w14:paraId="261C3B9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3.3</w:t>
                  </w:r>
                </w:p>
              </w:tc>
              <w:tc>
                <w:tcPr>
                  <w:tcW w:w="813" w:type="pct"/>
                  <w:tcBorders>
                    <w:tl2br w:val="nil"/>
                    <w:tr2bl w:val="nil"/>
                  </w:tcBorders>
                  <w:noWrap w:val="0"/>
                  <w:vAlign w:val="center"/>
                </w:tcPr>
                <w:p w14:paraId="6BADA6D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813" w:type="pct"/>
                  <w:tcBorders>
                    <w:tl2br w:val="nil"/>
                    <w:tr2bl w:val="nil"/>
                  </w:tcBorders>
                  <w:noWrap w:val="0"/>
                  <w:vAlign w:val="center"/>
                </w:tcPr>
                <w:p w14:paraId="44D1EA4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5.8×10</w:t>
                  </w:r>
                  <w:r>
                    <w:rPr>
                      <w:rFonts w:hint="eastAsia" w:cs="Times New Roman"/>
                      <w:color w:val="auto"/>
                      <w:kern w:val="2"/>
                      <w:sz w:val="18"/>
                      <w:szCs w:val="18"/>
                      <w:vertAlign w:val="superscript"/>
                      <w:lang w:val="en-US" w:eastAsia="zh-CN"/>
                    </w:rPr>
                    <w:t>-3</w:t>
                  </w:r>
                  <w:r>
                    <w:rPr>
                      <w:rFonts w:hint="eastAsia" w:cs="Times New Roman"/>
                      <w:color w:val="auto"/>
                      <w:kern w:val="2"/>
                      <w:sz w:val="18"/>
                      <w:szCs w:val="18"/>
                      <w:lang w:val="en-US" w:eastAsia="zh-CN"/>
                    </w:rPr>
                    <w:t>mg/L</w:t>
                  </w:r>
                </w:p>
              </w:tc>
            </w:tr>
            <w:tr w14:paraId="7EABB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46DB00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w:t>
                  </w:r>
                </w:p>
              </w:tc>
              <w:tc>
                <w:tcPr>
                  <w:tcW w:w="1161" w:type="pct"/>
                  <w:tcBorders>
                    <w:tl2br w:val="nil"/>
                    <w:tr2bl w:val="nil"/>
                  </w:tcBorders>
                  <w:noWrap w:val="0"/>
                  <w:vAlign w:val="center"/>
                </w:tcPr>
                <w:p w14:paraId="4D44EFB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铬（mg/kg）</w:t>
                  </w:r>
                </w:p>
              </w:tc>
              <w:tc>
                <w:tcPr>
                  <w:tcW w:w="820" w:type="pct"/>
                  <w:tcBorders>
                    <w:tl2br w:val="nil"/>
                    <w:tr2bl w:val="nil"/>
                  </w:tcBorders>
                  <w:noWrap w:val="0"/>
                  <w:vAlign w:val="center"/>
                </w:tcPr>
                <w:p w14:paraId="622B6BA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105</w:t>
                  </w:r>
                </w:p>
              </w:tc>
              <w:tc>
                <w:tcPr>
                  <w:tcW w:w="928" w:type="pct"/>
                  <w:tcBorders>
                    <w:tl2br w:val="nil"/>
                    <w:tr2bl w:val="nil"/>
                  </w:tcBorders>
                  <w:noWrap w:val="0"/>
                  <w:vAlign w:val="center"/>
                </w:tcPr>
                <w:p w14:paraId="55925EC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20.8</w:t>
                  </w:r>
                </w:p>
              </w:tc>
              <w:tc>
                <w:tcPr>
                  <w:tcW w:w="813" w:type="pct"/>
                  <w:tcBorders>
                    <w:tl2br w:val="nil"/>
                    <w:tr2bl w:val="nil"/>
                  </w:tcBorders>
                  <w:noWrap w:val="0"/>
                  <w:vAlign w:val="center"/>
                </w:tcPr>
                <w:p w14:paraId="1A0FC6F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2.6</w:t>
                  </w:r>
                </w:p>
              </w:tc>
              <w:tc>
                <w:tcPr>
                  <w:tcW w:w="813" w:type="pct"/>
                  <w:tcBorders>
                    <w:tl2br w:val="nil"/>
                    <w:tr2bl w:val="nil"/>
                  </w:tcBorders>
                  <w:noWrap w:val="0"/>
                  <w:vAlign w:val="center"/>
                </w:tcPr>
                <w:p w14:paraId="726D2E2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0.04mg/L</w:t>
                  </w:r>
                </w:p>
              </w:tc>
            </w:tr>
            <w:tr w14:paraId="3F2F0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0CCCE8C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13</w:t>
                  </w:r>
                </w:p>
              </w:tc>
              <w:tc>
                <w:tcPr>
                  <w:tcW w:w="1161" w:type="pct"/>
                  <w:tcBorders>
                    <w:tl2br w:val="nil"/>
                    <w:tr2bl w:val="nil"/>
                  </w:tcBorders>
                  <w:noWrap w:val="0"/>
                  <w:vAlign w:val="center"/>
                </w:tcPr>
                <w:p w14:paraId="129FF25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铜</w:t>
                  </w:r>
                </w:p>
              </w:tc>
              <w:tc>
                <w:tcPr>
                  <w:tcW w:w="820" w:type="pct"/>
                  <w:tcBorders>
                    <w:tl2br w:val="nil"/>
                    <w:tr2bl w:val="nil"/>
                  </w:tcBorders>
                  <w:noWrap w:val="0"/>
                  <w:vAlign w:val="center"/>
                </w:tcPr>
                <w:p w14:paraId="12A06BB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09D4617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274E31C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3C17ED1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w:t>
                  </w:r>
                  <w:r>
                    <w:rPr>
                      <w:rFonts w:hint="eastAsia" w:cs="Times New Roman"/>
                      <w:color w:val="auto"/>
                      <w:kern w:val="2"/>
                      <w:sz w:val="18"/>
                      <w:szCs w:val="18"/>
                      <w:lang w:val="en-US" w:eastAsia="zh-CN"/>
                    </w:rPr>
                    <w:t>0.01mg/L</w:t>
                  </w:r>
                </w:p>
              </w:tc>
            </w:tr>
            <w:tr w14:paraId="2261B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6222E67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14</w:t>
                  </w:r>
                </w:p>
              </w:tc>
              <w:tc>
                <w:tcPr>
                  <w:tcW w:w="1161" w:type="pct"/>
                  <w:tcBorders>
                    <w:tl2br w:val="nil"/>
                    <w:tr2bl w:val="nil"/>
                  </w:tcBorders>
                  <w:noWrap w:val="0"/>
                  <w:vAlign w:val="center"/>
                </w:tcPr>
                <w:p w14:paraId="79F09C6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锌</w:t>
                  </w:r>
                </w:p>
              </w:tc>
              <w:tc>
                <w:tcPr>
                  <w:tcW w:w="820" w:type="pct"/>
                  <w:tcBorders>
                    <w:tl2br w:val="nil"/>
                    <w:tr2bl w:val="nil"/>
                  </w:tcBorders>
                  <w:noWrap w:val="0"/>
                  <w:vAlign w:val="center"/>
                </w:tcPr>
                <w:p w14:paraId="096C54C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294D70B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2AB68EB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4FB4684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0.065mg/L</w:t>
                  </w:r>
                </w:p>
              </w:tc>
            </w:tr>
            <w:tr w14:paraId="3B1BF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30DF7D6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15</w:t>
                  </w:r>
                </w:p>
              </w:tc>
              <w:tc>
                <w:tcPr>
                  <w:tcW w:w="1161" w:type="pct"/>
                  <w:tcBorders>
                    <w:tl2br w:val="nil"/>
                    <w:tr2bl w:val="nil"/>
                  </w:tcBorders>
                  <w:noWrap w:val="0"/>
                  <w:vAlign w:val="center"/>
                </w:tcPr>
                <w:p w14:paraId="01BFEF00">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六价铬</w:t>
                  </w:r>
                </w:p>
              </w:tc>
              <w:tc>
                <w:tcPr>
                  <w:tcW w:w="820" w:type="pct"/>
                  <w:tcBorders>
                    <w:tl2br w:val="nil"/>
                    <w:tr2bl w:val="nil"/>
                  </w:tcBorders>
                  <w:noWrap w:val="0"/>
                  <w:vAlign w:val="center"/>
                </w:tcPr>
                <w:p w14:paraId="79C1A4E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2248C9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3DB971D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24DFEAEB">
                  <w:pPr>
                    <w:pStyle w:val="72"/>
                    <w:keepNext w:val="0"/>
                    <w:keepLines w:val="0"/>
                    <w:widowControl w:val="0"/>
                    <w:suppressLineNumbers w:val="0"/>
                    <w:spacing w:before="0" w:beforeAutospacing="0" w:after="0" w:afterAutospacing="0"/>
                    <w:ind w:left="0" w:right="0"/>
                    <w:rPr>
                      <w:rFonts w:hint="eastAsia"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w:t>
                  </w:r>
                  <w:r>
                    <w:rPr>
                      <w:rFonts w:hint="eastAsia" w:cs="Times New Roman"/>
                      <w:color w:val="auto"/>
                      <w:kern w:val="2"/>
                      <w:sz w:val="18"/>
                      <w:szCs w:val="18"/>
                      <w:lang w:val="en-US" w:eastAsia="zh-CN"/>
                    </w:rPr>
                    <w:t>4×10</w:t>
                  </w:r>
                  <w:r>
                    <w:rPr>
                      <w:rFonts w:hint="eastAsia" w:cs="Times New Roman"/>
                      <w:color w:val="auto"/>
                      <w:kern w:val="2"/>
                      <w:sz w:val="18"/>
                      <w:szCs w:val="18"/>
                      <w:vertAlign w:val="superscript"/>
                      <w:lang w:val="en-US" w:eastAsia="zh-CN"/>
                    </w:rPr>
                    <w:t>-3</w:t>
                  </w:r>
                  <w:r>
                    <w:rPr>
                      <w:rFonts w:hint="eastAsia" w:cs="Times New Roman"/>
                      <w:color w:val="auto"/>
                      <w:kern w:val="2"/>
                      <w:sz w:val="18"/>
                      <w:szCs w:val="18"/>
                      <w:lang w:val="en-US" w:eastAsia="zh-CN"/>
                    </w:rPr>
                    <w:t>mg/L</w:t>
                  </w:r>
                </w:p>
              </w:tc>
            </w:tr>
            <w:tr w14:paraId="5FFEB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10E3F1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16</w:t>
                  </w:r>
                </w:p>
              </w:tc>
              <w:tc>
                <w:tcPr>
                  <w:tcW w:w="1161" w:type="pct"/>
                  <w:tcBorders>
                    <w:tl2br w:val="nil"/>
                    <w:tr2bl w:val="nil"/>
                  </w:tcBorders>
                  <w:noWrap w:val="0"/>
                  <w:vAlign w:val="center"/>
                </w:tcPr>
                <w:p w14:paraId="51819E45">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铍</w:t>
                  </w:r>
                </w:p>
              </w:tc>
              <w:tc>
                <w:tcPr>
                  <w:tcW w:w="820" w:type="pct"/>
                  <w:tcBorders>
                    <w:tl2br w:val="nil"/>
                    <w:tr2bl w:val="nil"/>
                  </w:tcBorders>
                  <w:noWrap w:val="0"/>
                  <w:vAlign w:val="center"/>
                </w:tcPr>
                <w:p w14:paraId="2F79A7B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35DB6C8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4A800C3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100437B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&lt;3</w:t>
                  </w:r>
                  <w:r>
                    <w:rPr>
                      <w:rFonts w:hint="eastAsia" w:cs="Times New Roman"/>
                      <w:color w:val="auto"/>
                      <w:kern w:val="2"/>
                      <w:sz w:val="18"/>
                      <w:szCs w:val="18"/>
                      <w:lang w:val="en-US" w:eastAsia="zh-CN"/>
                    </w:rPr>
                    <w:t>×10</w:t>
                  </w:r>
                  <w:r>
                    <w:rPr>
                      <w:rFonts w:hint="eastAsia" w:cs="Times New Roman"/>
                      <w:color w:val="auto"/>
                      <w:kern w:val="2"/>
                      <w:sz w:val="18"/>
                      <w:szCs w:val="18"/>
                      <w:vertAlign w:val="superscript"/>
                      <w:lang w:val="en-US" w:eastAsia="zh-CN"/>
                    </w:rPr>
                    <w:t>-4</w:t>
                  </w:r>
                  <w:r>
                    <w:rPr>
                      <w:rFonts w:hint="eastAsia" w:cs="Times New Roman"/>
                      <w:color w:val="auto"/>
                      <w:kern w:val="2"/>
                      <w:sz w:val="18"/>
                      <w:szCs w:val="18"/>
                      <w:lang w:val="en-US" w:eastAsia="zh-CN"/>
                    </w:rPr>
                    <w:t>mg/L</w:t>
                  </w:r>
                </w:p>
              </w:tc>
            </w:tr>
            <w:tr w14:paraId="41135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3B6E550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17</w:t>
                  </w:r>
                </w:p>
              </w:tc>
              <w:tc>
                <w:tcPr>
                  <w:tcW w:w="1161" w:type="pct"/>
                  <w:tcBorders>
                    <w:tl2br w:val="nil"/>
                    <w:tr2bl w:val="nil"/>
                  </w:tcBorders>
                  <w:noWrap w:val="0"/>
                  <w:vAlign w:val="center"/>
                </w:tcPr>
                <w:p w14:paraId="6EAEA8EA">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钡</w:t>
                  </w:r>
                </w:p>
              </w:tc>
              <w:tc>
                <w:tcPr>
                  <w:tcW w:w="820" w:type="pct"/>
                  <w:tcBorders>
                    <w:tl2br w:val="nil"/>
                    <w:tr2bl w:val="nil"/>
                  </w:tcBorders>
                  <w:noWrap w:val="0"/>
                  <w:vAlign w:val="center"/>
                </w:tcPr>
                <w:p w14:paraId="11009F7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250181B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5D03C31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6828826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0.329mg/L</w:t>
                  </w:r>
                </w:p>
              </w:tc>
            </w:tr>
            <w:tr w14:paraId="3C6D9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6ADFDA0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18</w:t>
                  </w:r>
                </w:p>
              </w:tc>
              <w:tc>
                <w:tcPr>
                  <w:tcW w:w="1161" w:type="pct"/>
                  <w:tcBorders>
                    <w:tl2br w:val="nil"/>
                    <w:tr2bl w:val="nil"/>
                  </w:tcBorders>
                  <w:noWrap w:val="0"/>
                  <w:vAlign w:val="center"/>
                </w:tcPr>
                <w:p w14:paraId="0DC24666">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镍</w:t>
                  </w:r>
                </w:p>
              </w:tc>
              <w:tc>
                <w:tcPr>
                  <w:tcW w:w="820" w:type="pct"/>
                  <w:tcBorders>
                    <w:tl2br w:val="nil"/>
                    <w:tr2bl w:val="nil"/>
                  </w:tcBorders>
                  <w:noWrap w:val="0"/>
                  <w:vAlign w:val="center"/>
                </w:tcPr>
                <w:p w14:paraId="70A67E0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66FBB76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315ECC0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2D3E013B">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0.03mg/L</w:t>
                  </w:r>
                </w:p>
              </w:tc>
            </w:tr>
            <w:tr w14:paraId="68784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2863E64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19</w:t>
                  </w:r>
                </w:p>
              </w:tc>
              <w:tc>
                <w:tcPr>
                  <w:tcW w:w="1161" w:type="pct"/>
                  <w:tcBorders>
                    <w:tl2br w:val="nil"/>
                    <w:tr2bl w:val="nil"/>
                  </w:tcBorders>
                  <w:noWrap w:val="0"/>
                  <w:vAlign w:val="center"/>
                </w:tcPr>
                <w:p w14:paraId="319A3ECB">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硒</w:t>
                  </w:r>
                </w:p>
              </w:tc>
              <w:tc>
                <w:tcPr>
                  <w:tcW w:w="820" w:type="pct"/>
                  <w:tcBorders>
                    <w:tl2br w:val="nil"/>
                    <w:tr2bl w:val="nil"/>
                  </w:tcBorders>
                  <w:noWrap w:val="0"/>
                  <w:vAlign w:val="center"/>
                </w:tcPr>
                <w:p w14:paraId="330EDFF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0D235AE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41123F0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131032DD">
                  <w:pPr>
                    <w:pStyle w:val="72"/>
                    <w:keepNext w:val="0"/>
                    <w:keepLines w:val="0"/>
                    <w:widowControl w:val="0"/>
                    <w:suppressLineNumbers w:val="0"/>
                    <w:spacing w:before="0" w:beforeAutospacing="0" w:after="0" w:afterAutospacing="0"/>
                    <w:ind w:left="0" w:right="0"/>
                    <w:rPr>
                      <w:rFonts w:hint="eastAsia" w:cs="Times New Roman"/>
                      <w:color w:val="auto"/>
                      <w:kern w:val="2"/>
                      <w:sz w:val="18"/>
                      <w:szCs w:val="18"/>
                      <w:lang w:val="en-US" w:eastAsia="zh-CN"/>
                    </w:rPr>
                  </w:pPr>
                  <w:r>
                    <w:rPr>
                      <w:rFonts w:hint="eastAsia" w:cs="Times New Roman"/>
                      <w:color w:val="auto"/>
                      <w:kern w:val="2"/>
                      <w:sz w:val="18"/>
                      <w:szCs w:val="18"/>
                      <w:lang w:val="en-US" w:eastAsia="zh-CN"/>
                    </w:rPr>
                    <w:t>5.7×10</w:t>
                  </w:r>
                  <w:r>
                    <w:rPr>
                      <w:rFonts w:hint="eastAsia" w:cs="Times New Roman"/>
                      <w:color w:val="auto"/>
                      <w:kern w:val="2"/>
                      <w:sz w:val="18"/>
                      <w:szCs w:val="18"/>
                      <w:vertAlign w:val="superscript"/>
                      <w:lang w:val="en-US" w:eastAsia="zh-CN"/>
                    </w:rPr>
                    <w:t>-3</w:t>
                  </w:r>
                  <w:r>
                    <w:rPr>
                      <w:rFonts w:hint="eastAsia" w:cs="Times New Roman"/>
                      <w:color w:val="auto"/>
                      <w:kern w:val="2"/>
                      <w:sz w:val="18"/>
                      <w:szCs w:val="18"/>
                      <w:lang w:val="en-US" w:eastAsia="zh-CN"/>
                    </w:rPr>
                    <w:t>mg/L</w:t>
                  </w:r>
                </w:p>
              </w:tc>
            </w:tr>
            <w:tr w14:paraId="35117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4A45621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20</w:t>
                  </w:r>
                </w:p>
              </w:tc>
              <w:tc>
                <w:tcPr>
                  <w:tcW w:w="1161" w:type="pct"/>
                  <w:tcBorders>
                    <w:tl2br w:val="nil"/>
                    <w:tr2bl w:val="nil"/>
                  </w:tcBorders>
                  <w:noWrap w:val="0"/>
                  <w:vAlign w:val="center"/>
                </w:tcPr>
                <w:p w14:paraId="041CF6E0">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无机氟化物</w:t>
                  </w:r>
                </w:p>
              </w:tc>
              <w:tc>
                <w:tcPr>
                  <w:tcW w:w="820" w:type="pct"/>
                  <w:tcBorders>
                    <w:tl2br w:val="nil"/>
                    <w:tr2bl w:val="nil"/>
                  </w:tcBorders>
                  <w:noWrap w:val="0"/>
                  <w:vAlign w:val="center"/>
                </w:tcPr>
                <w:p w14:paraId="2B919B0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31D56B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766DF8C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63207ED7">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57.03mg/L</w:t>
                  </w:r>
                </w:p>
              </w:tc>
            </w:tr>
            <w:tr w14:paraId="4A87D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2" w:type="pct"/>
                  <w:tcBorders>
                    <w:tl2br w:val="nil"/>
                    <w:tr2bl w:val="nil"/>
                  </w:tcBorders>
                  <w:noWrap w:val="0"/>
                  <w:vAlign w:val="center"/>
                </w:tcPr>
                <w:p w14:paraId="112288A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21</w:t>
                  </w:r>
                </w:p>
              </w:tc>
              <w:tc>
                <w:tcPr>
                  <w:tcW w:w="1161" w:type="pct"/>
                  <w:tcBorders>
                    <w:tl2br w:val="nil"/>
                    <w:tr2bl w:val="nil"/>
                  </w:tcBorders>
                  <w:noWrap w:val="0"/>
                  <w:vAlign w:val="center"/>
                </w:tcPr>
                <w:p w14:paraId="73B39071">
                  <w:pPr>
                    <w:pStyle w:val="72"/>
                    <w:keepNext w:val="0"/>
                    <w:keepLines w:val="0"/>
                    <w:widowControl w:val="0"/>
                    <w:suppressLineNumbers w:val="0"/>
                    <w:spacing w:before="0" w:beforeAutospacing="0" w:after="0" w:afterAutospacing="0"/>
                    <w:ind w:left="0" w:right="0"/>
                    <w:rPr>
                      <w:rFonts w:hint="default" w:cs="Times New Roman"/>
                      <w:color w:val="auto"/>
                      <w:kern w:val="2"/>
                      <w:sz w:val="18"/>
                      <w:szCs w:val="18"/>
                      <w:lang w:val="en-US" w:eastAsia="zh-CN"/>
                    </w:rPr>
                  </w:pPr>
                  <w:r>
                    <w:rPr>
                      <w:rFonts w:hint="eastAsia" w:cs="Times New Roman"/>
                      <w:color w:val="auto"/>
                      <w:kern w:val="2"/>
                      <w:sz w:val="18"/>
                      <w:szCs w:val="18"/>
                      <w:lang w:val="en-US" w:eastAsia="zh-CN"/>
                    </w:rPr>
                    <w:t>氰化物</w:t>
                  </w:r>
                </w:p>
              </w:tc>
              <w:tc>
                <w:tcPr>
                  <w:tcW w:w="820" w:type="pct"/>
                  <w:tcBorders>
                    <w:tl2br w:val="nil"/>
                    <w:tr2bl w:val="nil"/>
                  </w:tcBorders>
                  <w:noWrap w:val="0"/>
                  <w:vAlign w:val="center"/>
                </w:tcPr>
                <w:p w14:paraId="5CC35E9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928" w:type="pct"/>
                  <w:tcBorders>
                    <w:tl2br w:val="nil"/>
                    <w:tr2bl w:val="nil"/>
                  </w:tcBorders>
                  <w:noWrap w:val="0"/>
                  <w:vAlign w:val="center"/>
                </w:tcPr>
                <w:p w14:paraId="5D9A42A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25ACCCA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w:t>
                  </w:r>
                </w:p>
              </w:tc>
              <w:tc>
                <w:tcPr>
                  <w:tcW w:w="813" w:type="pct"/>
                  <w:tcBorders>
                    <w:tl2br w:val="nil"/>
                    <w:tr2bl w:val="nil"/>
                  </w:tcBorders>
                  <w:noWrap w:val="0"/>
                  <w:vAlign w:val="center"/>
                </w:tcPr>
                <w:p w14:paraId="746A1EF0">
                  <w:pPr>
                    <w:pStyle w:val="72"/>
                    <w:keepNext w:val="0"/>
                    <w:keepLines w:val="0"/>
                    <w:widowControl w:val="0"/>
                    <w:suppressLineNumbers w:val="0"/>
                    <w:spacing w:before="0" w:beforeAutospacing="0" w:after="0" w:afterAutospacing="0"/>
                    <w:ind w:left="0" w:right="0"/>
                    <w:rPr>
                      <w:rFonts w:hint="eastAsia"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&lt;</w:t>
                  </w:r>
                  <w:r>
                    <w:rPr>
                      <w:rFonts w:hint="eastAsia" w:cs="Times New Roman"/>
                      <w:color w:val="auto"/>
                      <w:kern w:val="2"/>
                      <w:sz w:val="18"/>
                      <w:szCs w:val="18"/>
                      <w:lang w:val="en-US" w:eastAsia="zh-CN"/>
                    </w:rPr>
                    <w:t>1×10</w:t>
                  </w:r>
                  <w:r>
                    <w:rPr>
                      <w:rFonts w:hint="eastAsia" w:cs="Times New Roman"/>
                      <w:color w:val="auto"/>
                      <w:kern w:val="2"/>
                      <w:sz w:val="18"/>
                      <w:szCs w:val="18"/>
                      <w:vertAlign w:val="superscript"/>
                      <w:lang w:val="en-US" w:eastAsia="zh-CN"/>
                    </w:rPr>
                    <w:t>-4</w:t>
                  </w:r>
                  <w:r>
                    <w:rPr>
                      <w:rFonts w:hint="eastAsia" w:cs="Times New Roman"/>
                      <w:color w:val="auto"/>
                      <w:kern w:val="2"/>
                      <w:sz w:val="18"/>
                      <w:szCs w:val="18"/>
                      <w:lang w:val="en-US" w:eastAsia="zh-CN"/>
                    </w:rPr>
                    <w:t>mg/L</w:t>
                  </w:r>
                </w:p>
              </w:tc>
            </w:tr>
          </w:tbl>
          <w:p w14:paraId="44A47B56">
            <w:pPr>
              <w:keepNext w:val="0"/>
              <w:keepLines w:val="0"/>
              <w:suppressLineNumbers w:val="0"/>
              <w:tabs>
                <w:tab w:val="left" w:pos="360"/>
                <w:tab w:val="left" w:pos="2207"/>
              </w:tabs>
              <w:spacing w:before="0" w:beforeAutospacing="0" w:after="0" w:afterAutospacing="0"/>
              <w:ind w:left="0" w:right="0"/>
              <w:jc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rPr>
              <w:t>表2-</w:t>
            </w:r>
            <w:r>
              <w:rPr>
                <w:rFonts w:hint="default" w:ascii="Times New Roman" w:hAnsi="Times New Roman" w:cs="Times New Roman"/>
                <w:b/>
                <w:bCs/>
                <w:color w:val="auto"/>
                <w:sz w:val="24"/>
                <w:lang w:val="en-US" w:eastAsia="zh-CN"/>
              </w:rPr>
              <w:t>23</w:t>
            </w:r>
            <w:r>
              <w:rPr>
                <w:rFonts w:hint="default" w:ascii="Times New Roman" w:hAnsi="Times New Roman" w:cs="Times New Roman"/>
                <w:b/>
                <w:bCs/>
                <w:color w:val="auto"/>
                <w:sz w:val="24"/>
              </w:rPr>
              <w:t>主要原辅材料成分一览表</w:t>
            </w: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4</w:t>
            </w:r>
            <w:r>
              <w:rPr>
                <w:rFonts w:hint="default" w:ascii="Times New Roman" w:hAnsi="Times New Roman" w:cs="Times New Roman"/>
                <w:b/>
                <w:bCs/>
                <w:color w:val="auto"/>
                <w:sz w:val="24"/>
                <w:lang w:eastAsia="zh-CN"/>
              </w:rPr>
              <w:t>）</w:t>
            </w:r>
          </w:p>
          <w:tbl>
            <w:tblPr>
              <w:tblStyle w:val="3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4"/>
              <w:gridCol w:w="1889"/>
              <w:gridCol w:w="2045"/>
              <w:gridCol w:w="1507"/>
              <w:gridCol w:w="1673"/>
            </w:tblGrid>
            <w:tr w14:paraId="3A2E1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48AC6FA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序号</w:t>
                  </w:r>
                </w:p>
              </w:tc>
              <w:tc>
                <w:tcPr>
                  <w:tcW w:w="2347" w:type="pct"/>
                  <w:gridSpan w:val="2"/>
                  <w:tcBorders>
                    <w:tl2br w:val="nil"/>
                    <w:tr2bl w:val="nil"/>
                  </w:tcBorders>
                  <w:noWrap w:val="0"/>
                  <w:vAlign w:val="center"/>
                </w:tcPr>
                <w:p w14:paraId="586D615E">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检测项目</w:t>
                  </w:r>
                </w:p>
              </w:tc>
              <w:tc>
                <w:tcPr>
                  <w:tcW w:w="899" w:type="pct"/>
                  <w:tcBorders>
                    <w:tl2br w:val="nil"/>
                    <w:tr2bl w:val="nil"/>
                  </w:tcBorders>
                  <w:noWrap w:val="0"/>
                  <w:vAlign w:val="center"/>
                </w:tcPr>
                <w:p w14:paraId="3FFA1B2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钢渣</w:t>
                  </w:r>
                </w:p>
              </w:tc>
              <w:tc>
                <w:tcPr>
                  <w:tcW w:w="998" w:type="pct"/>
                  <w:tcBorders>
                    <w:tl2br w:val="nil"/>
                    <w:tr2bl w:val="nil"/>
                  </w:tcBorders>
                  <w:noWrap w:val="0"/>
                  <w:vAlign w:val="center"/>
                </w:tcPr>
                <w:p w14:paraId="649AC3A7">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电厂粉煤灰</w:t>
                  </w:r>
                </w:p>
              </w:tc>
            </w:tr>
            <w:tr w14:paraId="6A9F0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738BCDC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w:t>
                  </w:r>
                </w:p>
              </w:tc>
              <w:tc>
                <w:tcPr>
                  <w:tcW w:w="2347" w:type="pct"/>
                  <w:gridSpan w:val="2"/>
                  <w:tcBorders>
                    <w:tl2br w:val="nil"/>
                    <w:tr2bl w:val="nil"/>
                  </w:tcBorders>
                  <w:noWrap w:val="0"/>
                  <w:vAlign w:val="center"/>
                </w:tcPr>
                <w:p w14:paraId="4521B60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二氧化硅（%）</w:t>
                  </w:r>
                </w:p>
              </w:tc>
              <w:tc>
                <w:tcPr>
                  <w:tcW w:w="899" w:type="pct"/>
                  <w:tcBorders>
                    <w:tl2br w:val="nil"/>
                    <w:tr2bl w:val="nil"/>
                  </w:tcBorders>
                  <w:noWrap w:val="0"/>
                  <w:vAlign w:val="center"/>
                </w:tcPr>
                <w:p w14:paraId="3F9BD6F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16.50</w:t>
                  </w:r>
                </w:p>
              </w:tc>
              <w:tc>
                <w:tcPr>
                  <w:tcW w:w="998" w:type="pct"/>
                  <w:vMerge w:val="restart"/>
                  <w:tcBorders>
                    <w:tl2br w:val="nil"/>
                    <w:tr2bl w:val="nil"/>
                  </w:tcBorders>
                  <w:noWrap w:val="0"/>
                  <w:vAlign w:val="center"/>
                </w:tcPr>
                <w:p w14:paraId="5393B6A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84.9</w:t>
                  </w:r>
                </w:p>
              </w:tc>
            </w:tr>
            <w:tr w14:paraId="0673F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2DFEB93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2</w:t>
                  </w:r>
                </w:p>
              </w:tc>
              <w:tc>
                <w:tcPr>
                  <w:tcW w:w="2347" w:type="pct"/>
                  <w:gridSpan w:val="2"/>
                  <w:tcBorders>
                    <w:tl2br w:val="nil"/>
                    <w:tr2bl w:val="nil"/>
                  </w:tcBorders>
                  <w:noWrap w:val="0"/>
                  <w:vAlign w:val="center"/>
                </w:tcPr>
                <w:p w14:paraId="3679D09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三氧化二铝（%）</w:t>
                  </w:r>
                </w:p>
              </w:tc>
              <w:tc>
                <w:tcPr>
                  <w:tcW w:w="899" w:type="pct"/>
                  <w:tcBorders>
                    <w:tl2br w:val="nil"/>
                    <w:tr2bl w:val="nil"/>
                  </w:tcBorders>
                  <w:noWrap w:val="0"/>
                  <w:vAlign w:val="center"/>
                </w:tcPr>
                <w:p w14:paraId="5D17320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3.77</w:t>
                  </w:r>
                </w:p>
              </w:tc>
              <w:tc>
                <w:tcPr>
                  <w:tcW w:w="998" w:type="pct"/>
                  <w:vMerge w:val="continue"/>
                  <w:tcBorders>
                    <w:tl2br w:val="nil"/>
                    <w:tr2bl w:val="nil"/>
                  </w:tcBorders>
                  <w:noWrap w:val="0"/>
                  <w:vAlign w:val="center"/>
                </w:tcPr>
                <w:p w14:paraId="19BD517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r w14:paraId="4A6CC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6DF0F36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3</w:t>
                  </w:r>
                </w:p>
              </w:tc>
              <w:tc>
                <w:tcPr>
                  <w:tcW w:w="2347" w:type="pct"/>
                  <w:gridSpan w:val="2"/>
                  <w:tcBorders>
                    <w:tl2br w:val="nil"/>
                    <w:tr2bl w:val="nil"/>
                  </w:tcBorders>
                  <w:noWrap w:val="0"/>
                  <w:vAlign w:val="center"/>
                </w:tcPr>
                <w:p w14:paraId="3A019DD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三氧化二铁（%）</w:t>
                  </w:r>
                </w:p>
              </w:tc>
              <w:tc>
                <w:tcPr>
                  <w:tcW w:w="899" w:type="pct"/>
                  <w:tcBorders>
                    <w:tl2br w:val="nil"/>
                    <w:tr2bl w:val="nil"/>
                  </w:tcBorders>
                  <w:noWrap w:val="0"/>
                  <w:vAlign w:val="center"/>
                </w:tcPr>
                <w:p w14:paraId="7CD6299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16.88</w:t>
                  </w:r>
                </w:p>
              </w:tc>
              <w:tc>
                <w:tcPr>
                  <w:tcW w:w="998" w:type="pct"/>
                  <w:vMerge w:val="continue"/>
                  <w:tcBorders>
                    <w:tl2br w:val="nil"/>
                    <w:tr2bl w:val="nil"/>
                  </w:tcBorders>
                  <w:noWrap w:val="0"/>
                  <w:vAlign w:val="center"/>
                </w:tcPr>
                <w:p w14:paraId="6E9C8B2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r>
            <w:tr w14:paraId="764CF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45E1232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w:t>
                  </w:r>
                </w:p>
              </w:tc>
              <w:tc>
                <w:tcPr>
                  <w:tcW w:w="2347" w:type="pct"/>
                  <w:gridSpan w:val="2"/>
                  <w:tcBorders>
                    <w:tl2br w:val="nil"/>
                    <w:tr2bl w:val="nil"/>
                  </w:tcBorders>
                  <w:noWrap w:val="0"/>
                  <w:vAlign w:val="center"/>
                </w:tcPr>
                <w:p w14:paraId="229C352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氧化钙（%）</w:t>
                  </w:r>
                </w:p>
              </w:tc>
              <w:tc>
                <w:tcPr>
                  <w:tcW w:w="899" w:type="pct"/>
                  <w:tcBorders>
                    <w:tl2br w:val="nil"/>
                    <w:tr2bl w:val="nil"/>
                  </w:tcBorders>
                  <w:noWrap w:val="0"/>
                  <w:vAlign w:val="center"/>
                </w:tcPr>
                <w:p w14:paraId="48FADE9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40.66</w:t>
                  </w:r>
                </w:p>
              </w:tc>
              <w:tc>
                <w:tcPr>
                  <w:tcW w:w="998" w:type="pct"/>
                  <w:tcBorders>
                    <w:tl2br w:val="nil"/>
                    <w:tr2bl w:val="nil"/>
                  </w:tcBorders>
                  <w:noWrap w:val="0"/>
                  <w:vAlign w:val="center"/>
                </w:tcPr>
                <w:p w14:paraId="6E92085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0.3</w:t>
                  </w:r>
                </w:p>
              </w:tc>
            </w:tr>
            <w:tr w14:paraId="1DDF7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47DC507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w:t>
                  </w:r>
                </w:p>
              </w:tc>
              <w:tc>
                <w:tcPr>
                  <w:tcW w:w="2347" w:type="pct"/>
                  <w:gridSpan w:val="2"/>
                  <w:tcBorders>
                    <w:tl2br w:val="nil"/>
                    <w:tr2bl w:val="nil"/>
                  </w:tcBorders>
                  <w:noWrap w:val="0"/>
                  <w:vAlign w:val="center"/>
                </w:tcPr>
                <w:p w14:paraId="141B8A50">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氧化镁（%）</w:t>
                  </w:r>
                </w:p>
              </w:tc>
              <w:tc>
                <w:tcPr>
                  <w:tcW w:w="899" w:type="pct"/>
                  <w:tcBorders>
                    <w:tl2br w:val="nil"/>
                    <w:tr2bl w:val="nil"/>
                  </w:tcBorders>
                  <w:noWrap w:val="0"/>
                  <w:vAlign w:val="center"/>
                </w:tcPr>
                <w:p w14:paraId="38ED2E7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5.82</w:t>
                  </w:r>
                </w:p>
              </w:tc>
              <w:tc>
                <w:tcPr>
                  <w:tcW w:w="998" w:type="pct"/>
                  <w:tcBorders>
                    <w:tl2br w:val="nil"/>
                    <w:tr2bl w:val="nil"/>
                  </w:tcBorders>
                  <w:noWrap w:val="0"/>
                  <w:vAlign w:val="center"/>
                </w:tcPr>
                <w:p w14:paraId="05C206A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717F1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24997B2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6</w:t>
                  </w:r>
                </w:p>
              </w:tc>
              <w:tc>
                <w:tcPr>
                  <w:tcW w:w="2347" w:type="pct"/>
                  <w:gridSpan w:val="2"/>
                  <w:tcBorders>
                    <w:tl2br w:val="nil"/>
                    <w:tr2bl w:val="nil"/>
                  </w:tcBorders>
                  <w:noWrap w:val="0"/>
                  <w:vAlign w:val="center"/>
                </w:tcPr>
                <w:p w14:paraId="5164C471">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氧化钠（%）</w:t>
                  </w:r>
                </w:p>
              </w:tc>
              <w:tc>
                <w:tcPr>
                  <w:tcW w:w="899" w:type="pct"/>
                  <w:tcBorders>
                    <w:tl2br w:val="nil"/>
                    <w:tr2bl w:val="nil"/>
                  </w:tcBorders>
                  <w:noWrap w:val="0"/>
                  <w:vAlign w:val="center"/>
                </w:tcPr>
                <w:p w14:paraId="00DB530B">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0.21</w:t>
                  </w:r>
                </w:p>
              </w:tc>
              <w:tc>
                <w:tcPr>
                  <w:tcW w:w="998" w:type="pct"/>
                  <w:tcBorders>
                    <w:tl2br w:val="nil"/>
                    <w:tr2bl w:val="nil"/>
                  </w:tcBorders>
                  <w:noWrap w:val="0"/>
                  <w:vAlign w:val="center"/>
                </w:tcPr>
                <w:p w14:paraId="07CE4006">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63693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6E413A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7</w:t>
                  </w:r>
                </w:p>
              </w:tc>
              <w:tc>
                <w:tcPr>
                  <w:tcW w:w="2347" w:type="pct"/>
                  <w:gridSpan w:val="2"/>
                  <w:tcBorders>
                    <w:tl2br w:val="nil"/>
                    <w:tr2bl w:val="nil"/>
                  </w:tcBorders>
                  <w:noWrap w:val="0"/>
                  <w:vAlign w:val="center"/>
                </w:tcPr>
                <w:p w14:paraId="52C6FDA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三氧化硫（%）</w:t>
                  </w:r>
                </w:p>
              </w:tc>
              <w:tc>
                <w:tcPr>
                  <w:tcW w:w="899" w:type="pct"/>
                  <w:tcBorders>
                    <w:tl2br w:val="nil"/>
                    <w:tr2bl w:val="nil"/>
                  </w:tcBorders>
                  <w:noWrap w:val="0"/>
                  <w:vAlign w:val="center"/>
                </w:tcPr>
                <w:p w14:paraId="54B730C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1.02</w:t>
                  </w:r>
                </w:p>
              </w:tc>
              <w:tc>
                <w:tcPr>
                  <w:tcW w:w="998" w:type="pct"/>
                  <w:tcBorders>
                    <w:tl2br w:val="nil"/>
                    <w:tr2bl w:val="nil"/>
                  </w:tcBorders>
                  <w:noWrap w:val="0"/>
                  <w:vAlign w:val="center"/>
                </w:tcPr>
                <w:p w14:paraId="7E77DF1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0.1</w:t>
                  </w:r>
                </w:p>
              </w:tc>
            </w:tr>
            <w:tr w14:paraId="14188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529C618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8</w:t>
                  </w:r>
                </w:p>
              </w:tc>
              <w:tc>
                <w:tcPr>
                  <w:tcW w:w="2347" w:type="pct"/>
                  <w:gridSpan w:val="2"/>
                  <w:tcBorders>
                    <w:tl2br w:val="nil"/>
                    <w:tr2bl w:val="nil"/>
                  </w:tcBorders>
                  <w:noWrap w:val="0"/>
                  <w:vAlign w:val="center"/>
                </w:tcPr>
                <w:p w14:paraId="32A80B63">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TiO₂</w:t>
                  </w:r>
                </w:p>
              </w:tc>
              <w:tc>
                <w:tcPr>
                  <w:tcW w:w="899" w:type="pct"/>
                  <w:tcBorders>
                    <w:tl2br w:val="nil"/>
                    <w:tr2bl w:val="nil"/>
                  </w:tcBorders>
                  <w:noWrap w:val="0"/>
                  <w:vAlign w:val="center"/>
                </w:tcPr>
                <w:p w14:paraId="573256BF">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0.96</w:t>
                  </w:r>
                </w:p>
              </w:tc>
              <w:tc>
                <w:tcPr>
                  <w:tcW w:w="998" w:type="pct"/>
                  <w:tcBorders>
                    <w:tl2br w:val="nil"/>
                    <w:tr2bl w:val="nil"/>
                  </w:tcBorders>
                  <w:noWrap w:val="0"/>
                  <w:vAlign w:val="center"/>
                </w:tcPr>
                <w:p w14:paraId="12D5C56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29D49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54" w:type="pct"/>
                  <w:tcBorders>
                    <w:tl2br w:val="nil"/>
                    <w:tr2bl w:val="nil"/>
                  </w:tcBorders>
                  <w:noWrap w:val="0"/>
                  <w:vAlign w:val="center"/>
                </w:tcPr>
                <w:p w14:paraId="76401B05">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9</w:t>
                  </w:r>
                </w:p>
              </w:tc>
              <w:tc>
                <w:tcPr>
                  <w:tcW w:w="2347" w:type="pct"/>
                  <w:gridSpan w:val="2"/>
                  <w:tcBorders>
                    <w:tl2br w:val="nil"/>
                    <w:tr2bl w:val="nil"/>
                  </w:tcBorders>
                  <w:noWrap w:val="0"/>
                  <w:vAlign w:val="center"/>
                </w:tcPr>
                <w:p w14:paraId="3050851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MnO</w:t>
                  </w:r>
                </w:p>
              </w:tc>
              <w:tc>
                <w:tcPr>
                  <w:tcW w:w="899" w:type="pct"/>
                  <w:tcBorders>
                    <w:tl2br w:val="nil"/>
                    <w:tr2bl w:val="nil"/>
                  </w:tcBorders>
                  <w:noWrap w:val="0"/>
                  <w:vAlign w:val="center"/>
                </w:tcPr>
                <w:p w14:paraId="6788240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1.27</w:t>
                  </w:r>
                </w:p>
              </w:tc>
              <w:tc>
                <w:tcPr>
                  <w:tcW w:w="998" w:type="pct"/>
                  <w:tcBorders>
                    <w:tl2br w:val="nil"/>
                    <w:tr2bl w:val="nil"/>
                  </w:tcBorders>
                  <w:noWrap w:val="0"/>
                  <w:vAlign w:val="center"/>
                </w:tcPr>
                <w:p w14:paraId="022B78CD">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r>
            <w:tr w14:paraId="0AA1F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54" w:type="pct"/>
                  <w:vMerge w:val="restart"/>
                  <w:tcBorders>
                    <w:tl2br w:val="nil"/>
                    <w:tr2bl w:val="nil"/>
                  </w:tcBorders>
                  <w:noWrap w:val="0"/>
                  <w:vAlign w:val="center"/>
                </w:tcPr>
                <w:p w14:paraId="2676A4A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10</w:t>
                  </w:r>
                </w:p>
              </w:tc>
              <w:tc>
                <w:tcPr>
                  <w:tcW w:w="1127" w:type="pct"/>
                  <w:vMerge w:val="restart"/>
                  <w:tcBorders>
                    <w:tl2br w:val="nil"/>
                    <w:tr2bl w:val="nil"/>
                  </w:tcBorders>
                  <w:noWrap w:val="0"/>
                  <w:vAlign w:val="center"/>
                </w:tcPr>
                <w:p w14:paraId="7E86BAD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放射性</w:t>
                  </w:r>
                </w:p>
              </w:tc>
              <w:tc>
                <w:tcPr>
                  <w:tcW w:w="1220" w:type="pct"/>
                  <w:tcBorders>
                    <w:tl2br w:val="nil"/>
                    <w:tr2bl w:val="nil"/>
                  </w:tcBorders>
                  <w:noWrap w:val="0"/>
                  <w:vAlign w:val="center"/>
                </w:tcPr>
                <w:p w14:paraId="4C75302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内照射指数（IRa）</w:t>
                  </w:r>
                </w:p>
              </w:tc>
              <w:tc>
                <w:tcPr>
                  <w:tcW w:w="899" w:type="pct"/>
                  <w:vMerge w:val="restart"/>
                  <w:tcBorders>
                    <w:tl2br w:val="nil"/>
                    <w:tr2bl w:val="nil"/>
                  </w:tcBorders>
                  <w:noWrap w:val="0"/>
                  <w:vAlign w:val="center"/>
                </w:tcPr>
                <w:p w14:paraId="7105C3E8">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w:t>
                  </w:r>
                </w:p>
              </w:tc>
              <w:tc>
                <w:tcPr>
                  <w:tcW w:w="998" w:type="pct"/>
                  <w:tcBorders>
                    <w:tl2br w:val="nil"/>
                    <w:tr2bl w:val="nil"/>
                  </w:tcBorders>
                  <w:noWrap w:val="0"/>
                  <w:vAlign w:val="center"/>
                </w:tcPr>
                <w:p w14:paraId="246F7EF4">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0.3</w:t>
                  </w:r>
                </w:p>
              </w:tc>
            </w:tr>
            <w:tr w14:paraId="7E26A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54" w:type="pct"/>
                  <w:vMerge w:val="continue"/>
                  <w:tcBorders>
                    <w:tl2br w:val="nil"/>
                    <w:tr2bl w:val="nil"/>
                  </w:tcBorders>
                  <w:noWrap w:val="0"/>
                  <w:vAlign w:val="center"/>
                </w:tcPr>
                <w:p w14:paraId="6C0EA75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1127" w:type="pct"/>
                  <w:vMerge w:val="continue"/>
                  <w:tcBorders>
                    <w:tl2br w:val="nil"/>
                    <w:tr2bl w:val="nil"/>
                  </w:tcBorders>
                  <w:noWrap w:val="0"/>
                  <w:vAlign w:val="center"/>
                </w:tcPr>
                <w:p w14:paraId="36E95CF2">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1220" w:type="pct"/>
                  <w:tcBorders>
                    <w:tl2br w:val="nil"/>
                    <w:tr2bl w:val="nil"/>
                  </w:tcBorders>
                  <w:noWrap w:val="0"/>
                  <w:vAlign w:val="center"/>
                </w:tcPr>
                <w:p w14:paraId="73B1F809">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外照射指数</w:t>
                  </w:r>
                  <w:r>
                    <w:rPr>
                      <w:rFonts w:hint="default" w:ascii="Times New Roman" w:hAnsi="Times New Roman" w:cs="Times New Roman"/>
                      <w:color w:val="auto"/>
                      <w:kern w:val="2"/>
                      <w:sz w:val="18"/>
                      <w:szCs w:val="18"/>
                      <w:lang w:val="en-US" w:eastAsia="zh-CN"/>
                    </w:rPr>
                    <w:t>（</w:t>
                  </w:r>
                  <w:r>
                    <w:rPr>
                      <w:rFonts w:hint="default" w:ascii="Times New Roman" w:hAnsi="Times New Roman" w:eastAsia="宋体" w:cs="Times New Roman"/>
                      <w:color w:val="auto"/>
                      <w:kern w:val="2"/>
                      <w:sz w:val="18"/>
                      <w:szCs w:val="18"/>
                      <w:lang w:val="en-US" w:eastAsia="zh-CN"/>
                    </w:rPr>
                    <w:t>Ir</w:t>
                  </w:r>
                  <w:r>
                    <w:rPr>
                      <w:rFonts w:hint="default" w:ascii="Times New Roman" w:hAnsi="Times New Roman" w:cs="Times New Roman"/>
                      <w:color w:val="auto"/>
                      <w:kern w:val="2"/>
                      <w:sz w:val="18"/>
                      <w:szCs w:val="18"/>
                      <w:lang w:val="en-US" w:eastAsia="zh-CN"/>
                    </w:rPr>
                    <w:t>）</w:t>
                  </w:r>
                </w:p>
              </w:tc>
              <w:tc>
                <w:tcPr>
                  <w:tcW w:w="899" w:type="pct"/>
                  <w:vMerge w:val="continue"/>
                  <w:tcBorders>
                    <w:tl2br w:val="nil"/>
                    <w:tr2bl w:val="nil"/>
                  </w:tcBorders>
                  <w:noWrap w:val="0"/>
                  <w:vAlign w:val="center"/>
                </w:tcPr>
                <w:p w14:paraId="1DC4FADA">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p>
              </w:tc>
              <w:tc>
                <w:tcPr>
                  <w:tcW w:w="998" w:type="pct"/>
                  <w:tcBorders>
                    <w:tl2br w:val="nil"/>
                    <w:tr2bl w:val="nil"/>
                  </w:tcBorders>
                  <w:noWrap w:val="0"/>
                  <w:vAlign w:val="center"/>
                </w:tcPr>
                <w:p w14:paraId="3E2E61CC">
                  <w:pPr>
                    <w:pStyle w:val="72"/>
                    <w:keepNext w:val="0"/>
                    <w:keepLines w:val="0"/>
                    <w:widowControl w:val="0"/>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0.5</w:t>
                  </w:r>
                </w:p>
              </w:tc>
            </w:tr>
          </w:tbl>
          <w:p w14:paraId="04F9EFA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存储能力匹配分析：</w:t>
            </w:r>
          </w:p>
          <w:p w14:paraId="631B9080">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干</w:t>
            </w:r>
            <w:r>
              <w:rPr>
                <w:rFonts w:hint="default" w:ascii="Times New Roman" w:hAnsi="Times New Roman" w:cs="Times New Roman"/>
                <w:color w:val="auto"/>
                <w:sz w:val="24"/>
              </w:rPr>
              <w:t>原料库区面积为</w:t>
            </w:r>
            <w:r>
              <w:rPr>
                <w:rFonts w:hint="default" w:ascii="Times New Roman" w:hAnsi="Times New Roman" w:cs="Times New Roman"/>
                <w:color w:val="auto"/>
                <w:sz w:val="24"/>
                <w:lang w:val="en-US" w:eastAsia="zh-CN"/>
              </w:rPr>
              <w:t>10</w:t>
            </w:r>
            <w:r>
              <w:rPr>
                <w:rFonts w:hint="default" w:ascii="Times New Roman" w:hAnsi="Times New Roman" w:cs="Times New Roman"/>
                <w:color w:val="auto"/>
                <w:sz w:val="24"/>
              </w:rPr>
              <w:t>00m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，库内过道面积约为</w:t>
            </w:r>
            <w:r>
              <w:rPr>
                <w:rFonts w:hint="default" w:ascii="Times New Roman" w:hAnsi="Times New Roman" w:cs="Times New Roman"/>
                <w:color w:val="auto"/>
                <w:sz w:val="24"/>
                <w:lang w:val="en-US" w:eastAsia="zh-CN"/>
              </w:rPr>
              <w:t>1</w:t>
            </w:r>
            <w:r>
              <w:rPr>
                <w:rFonts w:hint="default" w:ascii="Times New Roman" w:hAnsi="Times New Roman" w:cs="Times New Roman"/>
                <w:color w:val="auto"/>
                <w:sz w:val="24"/>
              </w:rPr>
              <w:t>00m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，原料堆存高度</w:t>
            </w:r>
            <w:r>
              <w:rPr>
                <w:rFonts w:hint="default" w:ascii="Times New Roman" w:hAnsi="Times New Roman" w:cs="Times New Roman"/>
                <w:color w:val="auto"/>
                <w:sz w:val="24"/>
                <w:lang w:val="en-US" w:eastAsia="zh-CN"/>
              </w:rPr>
              <w:t>3</w:t>
            </w:r>
            <w:r>
              <w:rPr>
                <w:rFonts w:hint="default" w:ascii="Times New Roman" w:hAnsi="Times New Roman" w:cs="Times New Roman"/>
                <w:color w:val="auto"/>
                <w:sz w:val="24"/>
              </w:rPr>
              <w:t>m，有效堆存容积以</w:t>
            </w:r>
            <w:r>
              <w:rPr>
                <w:rFonts w:hint="default" w:ascii="Times New Roman" w:hAnsi="Times New Roman" w:cs="Times New Roman"/>
                <w:color w:val="auto"/>
                <w:sz w:val="24"/>
                <w:lang w:val="en-US" w:eastAsia="zh-CN"/>
              </w:rPr>
              <w:t>2700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计。</w:t>
            </w:r>
            <w:r>
              <w:rPr>
                <w:rFonts w:hint="default" w:ascii="Times New Roman" w:hAnsi="Times New Roman" w:cs="Times New Roman"/>
                <w:color w:val="auto"/>
                <w:sz w:val="24"/>
                <w:lang w:val="en-US" w:eastAsia="zh-CN"/>
              </w:rPr>
              <w:t>干</w:t>
            </w:r>
            <w:r>
              <w:rPr>
                <w:rFonts w:hint="default" w:ascii="Times New Roman" w:hAnsi="Times New Roman" w:cs="Times New Roman"/>
                <w:color w:val="auto"/>
                <w:sz w:val="24"/>
              </w:rPr>
              <w:t>原料库主要存放</w:t>
            </w:r>
            <w:r>
              <w:rPr>
                <w:rFonts w:hint="default" w:ascii="Times New Roman" w:hAnsi="Times New Roman" w:cs="Times New Roman"/>
                <w:color w:val="auto"/>
                <w:sz w:val="24"/>
                <w:lang w:val="en-US" w:eastAsia="zh-CN"/>
              </w:rPr>
              <w:t>林业废物、作物秸秆、废纸、废纺织品、废木材、废除尘布袋、废包装物、园林垃圾、</w:t>
            </w:r>
            <w:r>
              <w:rPr>
                <w:rFonts w:hint="default" w:ascii="Times New Roman" w:hAnsi="Times New Roman" w:cs="Times New Roman"/>
                <w:color w:val="auto"/>
                <w:sz w:val="24"/>
              </w:rPr>
              <w:t>脱硫石膏</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钢渣</w:t>
            </w: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铁尾矿、脱硫剂等</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每种原料</w:t>
            </w:r>
            <w:r>
              <w:rPr>
                <w:rFonts w:hint="default" w:ascii="Times New Roman" w:hAnsi="Times New Roman" w:cs="Times New Roman"/>
                <w:color w:val="auto"/>
                <w:sz w:val="24"/>
                <w:lang w:eastAsia="zh-CN"/>
              </w:rPr>
              <w:t>根据来源和性质分别</w:t>
            </w:r>
            <w:r>
              <w:rPr>
                <w:rFonts w:hint="default" w:ascii="Times New Roman" w:hAnsi="Times New Roman" w:cs="Times New Roman"/>
                <w:color w:val="auto"/>
                <w:sz w:val="24"/>
              </w:rPr>
              <w:t>用隔档分类分区堆放，各类固体废物堆存密度差异较大，综合考量，堆存密度以</w:t>
            </w:r>
            <w:r>
              <w:rPr>
                <w:rFonts w:hint="default" w:ascii="Times New Roman" w:hAnsi="Times New Roman" w:cs="Times New Roman"/>
                <w:color w:val="auto"/>
                <w:sz w:val="24"/>
                <w:lang w:val="en-US" w:eastAsia="zh-CN"/>
              </w:rPr>
              <w:t>2.5</w:t>
            </w:r>
            <w:r>
              <w:rPr>
                <w:rFonts w:hint="default" w:ascii="Times New Roman" w:hAnsi="Times New Roman" w:cs="Times New Roman"/>
                <w:color w:val="auto"/>
                <w:sz w:val="24"/>
              </w:rPr>
              <w:t>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计，最大堆存量为</w:t>
            </w:r>
            <w:r>
              <w:rPr>
                <w:rFonts w:hint="default" w:ascii="Times New Roman" w:hAnsi="Times New Roman" w:cs="Times New Roman"/>
                <w:color w:val="auto"/>
                <w:sz w:val="24"/>
                <w:lang w:val="en-US" w:eastAsia="zh-CN"/>
              </w:rPr>
              <w:t>6750</w:t>
            </w:r>
            <w:r>
              <w:rPr>
                <w:rFonts w:hint="default" w:ascii="Times New Roman" w:hAnsi="Times New Roman" w:cs="Times New Roman"/>
                <w:color w:val="auto"/>
                <w:sz w:val="24"/>
              </w:rPr>
              <w:t>t/d，</w:t>
            </w:r>
            <w:r>
              <w:rPr>
                <w:rFonts w:hint="default" w:ascii="Times New Roman" w:hAnsi="Times New Roman" w:cs="Times New Roman"/>
                <w:color w:val="auto"/>
                <w:sz w:val="24"/>
                <w:lang w:val="en-US" w:eastAsia="zh-CN"/>
              </w:rPr>
              <w:t>本项目干</w:t>
            </w:r>
            <w:r>
              <w:rPr>
                <w:rFonts w:hint="default" w:ascii="Times New Roman" w:hAnsi="Times New Roman" w:cs="Times New Roman"/>
                <w:color w:val="auto"/>
                <w:sz w:val="24"/>
              </w:rPr>
              <w:t>原料库需要</w:t>
            </w:r>
            <w:r>
              <w:rPr>
                <w:rFonts w:hint="default" w:ascii="Times New Roman" w:hAnsi="Times New Roman" w:cs="Times New Roman"/>
                <w:color w:val="auto"/>
                <w:spacing w:val="10"/>
                <w:kern w:val="24"/>
                <w:sz w:val="24"/>
              </w:rPr>
              <w:t>处置的固废</w:t>
            </w:r>
            <w:r>
              <w:rPr>
                <w:rFonts w:hint="default" w:ascii="Times New Roman" w:hAnsi="Times New Roman" w:cs="Times New Roman"/>
                <w:color w:val="auto"/>
                <w:sz w:val="24"/>
              </w:rPr>
              <w:t>总计为</w:t>
            </w:r>
            <w:r>
              <w:rPr>
                <w:rFonts w:hint="default" w:ascii="Times New Roman" w:hAnsi="Times New Roman" w:cs="Times New Roman"/>
                <w:color w:val="auto"/>
                <w:sz w:val="24"/>
                <w:lang w:val="en-US" w:eastAsia="zh-CN"/>
              </w:rPr>
              <w:t>30.6万</w:t>
            </w:r>
            <w:r>
              <w:rPr>
                <w:rFonts w:hint="default" w:ascii="Times New Roman" w:hAnsi="Times New Roman" w:cs="Times New Roman"/>
                <w:color w:val="auto"/>
                <w:sz w:val="24"/>
              </w:rPr>
              <w:t>t/a</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约为</w:t>
            </w:r>
            <w:r>
              <w:rPr>
                <w:rFonts w:hint="default" w:ascii="Times New Roman" w:hAnsi="Times New Roman" w:cs="Times New Roman"/>
                <w:color w:val="auto"/>
                <w:sz w:val="24"/>
                <w:lang w:val="en-US" w:eastAsia="zh-CN"/>
              </w:rPr>
              <w:t>1020</w:t>
            </w:r>
            <w:r>
              <w:rPr>
                <w:rFonts w:hint="default" w:ascii="Times New Roman" w:hAnsi="Times New Roman" w:cs="Times New Roman"/>
                <w:color w:val="auto"/>
                <w:sz w:val="24"/>
              </w:rPr>
              <w:t>t/d</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存储周期约为3天，</w:t>
            </w:r>
            <w:r>
              <w:rPr>
                <w:rFonts w:hint="default" w:ascii="Times New Roman" w:hAnsi="Times New Roman" w:cs="Times New Roman"/>
                <w:color w:val="auto"/>
                <w:sz w:val="24"/>
              </w:rPr>
              <w:t>因此能够满足储存需求。</w:t>
            </w:r>
          </w:p>
          <w:p w14:paraId="74BEDD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left"/>
              <w:textAlignment w:val="auto"/>
              <w:rPr>
                <w:rFonts w:hint="default" w:ascii="Times New Roman" w:hAnsi="Times New Roman" w:eastAsia="宋体" w:cs="Times New Roman"/>
                <w:b/>
                <w:bCs/>
                <w:color w:val="000000" w:themeColor="text1"/>
                <w:sz w:val="24"/>
                <w:szCs w:val="24"/>
                <w:highlight w:val="green"/>
                <w14:textFill>
                  <w14:solidFill>
                    <w14:schemeClr w14:val="tx1"/>
                  </w14:solidFill>
                </w14:textFill>
              </w:rPr>
            </w:pPr>
            <w:r>
              <w:rPr>
                <w:rFonts w:hint="default" w:ascii="Times New Roman" w:hAnsi="Times New Roman" w:cs="Times New Roman"/>
                <w:color w:val="auto"/>
                <w:sz w:val="24"/>
                <w:lang w:val="en-US" w:eastAsia="zh-CN"/>
              </w:rPr>
              <w:t>湿</w:t>
            </w:r>
            <w:r>
              <w:rPr>
                <w:rFonts w:hint="default" w:ascii="Times New Roman" w:hAnsi="Times New Roman" w:cs="Times New Roman"/>
                <w:color w:val="auto"/>
                <w:sz w:val="24"/>
              </w:rPr>
              <w:t>原料库区面积为</w:t>
            </w:r>
            <w:r>
              <w:rPr>
                <w:rFonts w:hint="default" w:ascii="Times New Roman" w:hAnsi="Times New Roman" w:cs="Times New Roman"/>
                <w:color w:val="auto"/>
                <w:sz w:val="24"/>
                <w:lang w:val="en-US" w:eastAsia="zh-CN"/>
              </w:rPr>
              <w:t>20</w:t>
            </w:r>
            <w:r>
              <w:rPr>
                <w:rFonts w:hint="default" w:ascii="Times New Roman" w:hAnsi="Times New Roman" w:cs="Times New Roman"/>
                <w:color w:val="auto"/>
                <w:sz w:val="24"/>
              </w:rPr>
              <w:t>00m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，库内过道面积约为</w:t>
            </w:r>
            <w:r>
              <w:rPr>
                <w:rFonts w:hint="default" w:ascii="Times New Roman" w:hAnsi="Times New Roman" w:cs="Times New Roman"/>
                <w:color w:val="auto"/>
                <w:sz w:val="24"/>
                <w:lang w:val="en-US" w:eastAsia="zh-CN"/>
              </w:rPr>
              <w:t>20</w:t>
            </w:r>
            <w:r>
              <w:rPr>
                <w:rFonts w:hint="default" w:ascii="Times New Roman" w:hAnsi="Times New Roman" w:cs="Times New Roman"/>
                <w:color w:val="auto"/>
                <w:sz w:val="24"/>
              </w:rPr>
              <w:t>0m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，原料</w:t>
            </w:r>
            <w:r>
              <w:rPr>
                <w:rFonts w:hint="default" w:ascii="Times New Roman" w:hAnsi="Times New Roman" w:cs="Times New Roman"/>
                <w:color w:val="auto"/>
                <w:sz w:val="24"/>
                <w:lang w:val="en-US" w:eastAsia="zh-CN"/>
              </w:rPr>
              <w:t>池高度2</w:t>
            </w:r>
            <w:r>
              <w:rPr>
                <w:rFonts w:hint="default" w:ascii="Times New Roman" w:hAnsi="Times New Roman" w:cs="Times New Roman"/>
                <w:color w:val="auto"/>
                <w:sz w:val="24"/>
              </w:rPr>
              <w:t>m，有效堆存容积以</w:t>
            </w:r>
            <w:r>
              <w:rPr>
                <w:rFonts w:hint="default" w:ascii="Times New Roman" w:hAnsi="Times New Roman" w:cs="Times New Roman"/>
                <w:color w:val="auto"/>
                <w:sz w:val="24"/>
                <w:lang w:val="en-US" w:eastAsia="zh-CN"/>
              </w:rPr>
              <w:t>3600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计。</w:t>
            </w:r>
            <w:r>
              <w:rPr>
                <w:rFonts w:hint="default" w:ascii="Times New Roman" w:hAnsi="Times New Roman" w:cs="Times New Roman"/>
                <w:color w:val="auto"/>
                <w:sz w:val="24"/>
                <w:lang w:val="en-US" w:eastAsia="zh-CN"/>
              </w:rPr>
              <w:t>湿</w:t>
            </w:r>
            <w:r>
              <w:rPr>
                <w:rFonts w:hint="default" w:ascii="Times New Roman" w:hAnsi="Times New Roman" w:cs="Times New Roman"/>
                <w:color w:val="auto"/>
                <w:sz w:val="24"/>
              </w:rPr>
              <w:t>原料库主要存放食品残渣、畜牧业废物、城镇污水污泥、清淤疏浚污泥</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工业</w:t>
            </w:r>
            <w:r>
              <w:rPr>
                <w:rFonts w:hint="default" w:ascii="Times New Roman" w:hAnsi="Times New Roman" w:cs="Times New Roman"/>
                <w:color w:val="auto"/>
                <w:sz w:val="24"/>
              </w:rPr>
              <w:t>污泥、</w:t>
            </w:r>
            <w:r>
              <w:rPr>
                <w:rFonts w:hint="default" w:ascii="Times New Roman" w:hAnsi="Times New Roman" w:cs="Times New Roman"/>
                <w:color w:val="auto"/>
                <w:sz w:val="24"/>
                <w:lang w:val="en-US" w:eastAsia="zh-CN"/>
              </w:rPr>
              <w:t>糖渣</w:t>
            </w: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中药渣、提铜渣浆</w:t>
            </w:r>
            <w:r>
              <w:rPr>
                <w:rFonts w:hint="default" w:ascii="Times New Roman" w:hAnsi="Times New Roman" w:cs="Times New Roman"/>
                <w:color w:val="auto"/>
                <w:sz w:val="24"/>
              </w:rPr>
              <w:t>，每种原料</w:t>
            </w:r>
            <w:r>
              <w:rPr>
                <w:rFonts w:hint="default" w:ascii="Times New Roman" w:hAnsi="Times New Roman" w:cs="Times New Roman"/>
                <w:color w:val="auto"/>
                <w:sz w:val="24"/>
                <w:lang w:eastAsia="zh-CN"/>
              </w:rPr>
              <w:t>根据来源和性质分别</w:t>
            </w:r>
            <w:r>
              <w:rPr>
                <w:rFonts w:hint="default" w:ascii="Times New Roman" w:hAnsi="Times New Roman" w:cs="Times New Roman"/>
                <w:color w:val="auto"/>
                <w:sz w:val="24"/>
              </w:rPr>
              <w:t>用隔档分类分区堆放，各类固体废物堆存密度差异较大，综合考量，堆存密度以</w:t>
            </w:r>
            <w:r>
              <w:rPr>
                <w:rFonts w:hint="default" w:ascii="Times New Roman" w:hAnsi="Times New Roman" w:cs="Times New Roman"/>
                <w:color w:val="auto"/>
                <w:sz w:val="24"/>
                <w:lang w:val="en-US" w:eastAsia="zh-CN"/>
              </w:rPr>
              <w:t>1</w:t>
            </w:r>
            <w:r>
              <w:rPr>
                <w:rFonts w:hint="default" w:ascii="Times New Roman" w:hAnsi="Times New Roman" w:cs="Times New Roman"/>
                <w:color w:val="auto"/>
                <w:sz w:val="24"/>
              </w:rPr>
              <w:t>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计，最大堆存量为</w:t>
            </w:r>
            <w:r>
              <w:rPr>
                <w:rFonts w:hint="default" w:ascii="Times New Roman" w:hAnsi="Times New Roman" w:cs="Times New Roman"/>
                <w:color w:val="auto"/>
                <w:sz w:val="24"/>
                <w:lang w:val="en-US" w:eastAsia="zh-CN"/>
              </w:rPr>
              <w:t>360</w:t>
            </w:r>
            <w:r>
              <w:rPr>
                <w:rFonts w:hint="default" w:ascii="Times New Roman" w:hAnsi="Times New Roman" w:cs="Times New Roman"/>
                <w:color w:val="auto"/>
                <w:sz w:val="24"/>
              </w:rPr>
              <w:t>0t，</w:t>
            </w:r>
            <w:r>
              <w:rPr>
                <w:rFonts w:hint="default" w:ascii="Times New Roman" w:hAnsi="Times New Roman" w:cs="Times New Roman"/>
                <w:color w:val="auto"/>
                <w:sz w:val="24"/>
                <w:lang w:val="en-US" w:eastAsia="zh-CN"/>
              </w:rPr>
              <w:t>本项目湿</w:t>
            </w:r>
            <w:r>
              <w:rPr>
                <w:rFonts w:hint="default" w:ascii="Times New Roman" w:hAnsi="Times New Roman" w:cs="Times New Roman"/>
                <w:color w:val="auto"/>
                <w:sz w:val="24"/>
              </w:rPr>
              <w:t>原料</w:t>
            </w:r>
            <w:r>
              <w:rPr>
                <w:rFonts w:hint="default" w:ascii="Times New Roman" w:hAnsi="Times New Roman" w:cs="Times New Roman"/>
                <w:color w:val="auto"/>
                <w:sz w:val="24"/>
                <w:lang w:val="en-US" w:eastAsia="zh-CN"/>
              </w:rPr>
              <w:t>计算，</w:t>
            </w:r>
            <w:r>
              <w:rPr>
                <w:rFonts w:hint="default" w:ascii="Times New Roman" w:hAnsi="Times New Roman" w:cs="Times New Roman"/>
                <w:color w:val="auto"/>
                <w:sz w:val="24"/>
              </w:rPr>
              <w:t>需要</w:t>
            </w:r>
            <w:r>
              <w:rPr>
                <w:rFonts w:hint="default" w:ascii="Times New Roman" w:hAnsi="Times New Roman" w:cs="Times New Roman"/>
                <w:color w:val="auto"/>
                <w:spacing w:val="10"/>
                <w:kern w:val="24"/>
                <w:sz w:val="24"/>
              </w:rPr>
              <w:t>处置的</w:t>
            </w:r>
            <w:r>
              <w:rPr>
                <w:rFonts w:hint="default" w:ascii="Times New Roman" w:hAnsi="Times New Roman" w:cs="Times New Roman"/>
                <w:color w:val="auto"/>
                <w:sz w:val="24"/>
                <w:lang w:val="en-US" w:eastAsia="zh-CN"/>
              </w:rPr>
              <w:t>湿</w:t>
            </w:r>
            <w:r>
              <w:rPr>
                <w:rFonts w:hint="default" w:ascii="Times New Roman" w:hAnsi="Times New Roman" w:cs="Times New Roman"/>
                <w:color w:val="auto"/>
                <w:sz w:val="24"/>
              </w:rPr>
              <w:t>原料总计为</w:t>
            </w:r>
            <w:r>
              <w:rPr>
                <w:rFonts w:hint="default" w:ascii="Times New Roman" w:hAnsi="Times New Roman" w:cs="Times New Roman"/>
                <w:color w:val="auto"/>
                <w:sz w:val="24"/>
                <w:lang w:val="en-US" w:eastAsia="zh-CN"/>
              </w:rPr>
              <w:t>22.35万</w:t>
            </w:r>
            <w:r>
              <w:rPr>
                <w:rFonts w:hint="default" w:ascii="Times New Roman" w:hAnsi="Times New Roman" w:cs="Times New Roman"/>
                <w:color w:val="auto"/>
                <w:sz w:val="24"/>
              </w:rPr>
              <w:t>t/a</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约为</w:t>
            </w:r>
            <w:r>
              <w:rPr>
                <w:rFonts w:hint="default" w:ascii="Times New Roman" w:hAnsi="Times New Roman" w:cs="Times New Roman"/>
                <w:color w:val="auto"/>
                <w:sz w:val="24"/>
                <w:lang w:val="en-US" w:eastAsia="zh-CN"/>
              </w:rPr>
              <w:t>745</w:t>
            </w:r>
            <w:r>
              <w:rPr>
                <w:rFonts w:hint="default" w:ascii="Times New Roman" w:hAnsi="Times New Roman" w:cs="Times New Roman"/>
                <w:color w:val="auto"/>
                <w:sz w:val="24"/>
              </w:rPr>
              <w:t>t/d</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w:t>
            </w:r>
            <w:r>
              <w:rPr>
                <w:rFonts w:hint="default" w:ascii="Times New Roman" w:hAnsi="Times New Roman" w:cs="Times New Roman"/>
                <w:color w:val="auto"/>
                <w:sz w:val="24"/>
                <w:lang w:val="en-US" w:eastAsia="zh-CN"/>
              </w:rPr>
              <w:t>存储周期约为</w:t>
            </w:r>
            <w:r>
              <w:rPr>
                <w:rFonts w:hint="default" w:ascii="Times New Roman" w:hAnsi="Times New Roman" w:cs="Times New Roman"/>
                <w:color w:val="auto"/>
                <w:sz w:val="24"/>
                <w:highlight w:val="none"/>
                <w:lang w:val="en-US" w:eastAsia="zh-CN"/>
              </w:rPr>
              <w:t>4天，</w:t>
            </w:r>
            <w:r>
              <w:rPr>
                <w:rFonts w:hint="default" w:ascii="Times New Roman" w:hAnsi="Times New Roman" w:cs="Times New Roman"/>
                <w:color w:val="auto"/>
                <w:sz w:val="24"/>
              </w:rPr>
              <w:t>因此能够满足储存需求。</w:t>
            </w:r>
          </w:p>
          <w:p w14:paraId="2C2340E5">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b/>
                <w:bCs w:val="0"/>
                <w:color w:val="auto"/>
                <w:sz w:val="24"/>
                <w:szCs w:val="24"/>
                <w:highlight w:val="none"/>
                <w:lang w:eastAsia="zh-CN"/>
              </w:rPr>
            </w:pPr>
            <w:r>
              <w:rPr>
                <w:rFonts w:hint="default" w:ascii="Times New Roman" w:hAnsi="Times New Roman" w:eastAsia="宋体" w:cs="Times New Roman"/>
                <w:b w:val="0"/>
                <w:bCs/>
                <w:color w:val="auto"/>
                <w:sz w:val="24"/>
                <w:szCs w:val="24"/>
                <w:highlight w:val="none"/>
                <w:lang w:val="en-US" w:eastAsia="zh-CN"/>
              </w:rPr>
              <w:t>1</w:t>
            </w:r>
            <w:r>
              <w:rPr>
                <w:rFonts w:hint="default" w:ascii="Times New Roman" w:hAnsi="Times New Roman"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rPr>
              <w:t>、物料平衡</w:t>
            </w:r>
          </w:p>
          <w:p w14:paraId="40995E0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color w:val="auto"/>
                <w:sz w:val="24"/>
                <w:szCs w:val="24"/>
                <w:highlight w:val="green"/>
              </w:rPr>
            </w:pPr>
            <w:r>
              <w:rPr>
                <w:rFonts w:hint="default" w:ascii="Times New Roman" w:hAnsi="Times New Roman" w:eastAsia="宋体" w:cs="Times New Roman"/>
                <w:b w:val="0"/>
                <w:bCs/>
                <w:color w:val="auto"/>
                <w:sz w:val="24"/>
                <w:szCs w:val="24"/>
                <w:highlight w:val="none"/>
                <w:lang w:eastAsia="zh-CN"/>
              </w:rPr>
              <w:t>本项目</w:t>
            </w:r>
            <w:r>
              <w:rPr>
                <w:rFonts w:hint="default" w:ascii="Times New Roman" w:hAnsi="Times New Roman" w:eastAsia="宋体" w:cs="Times New Roman"/>
                <w:b w:val="0"/>
                <w:bCs/>
                <w:color w:val="auto"/>
                <w:sz w:val="24"/>
                <w:szCs w:val="24"/>
                <w:highlight w:val="none"/>
              </w:rPr>
              <w:t>物料平衡见下表。</w:t>
            </w:r>
          </w:p>
          <w:p w14:paraId="27E70C9D">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24  固废</w:t>
            </w:r>
            <w:r>
              <w:rPr>
                <w:rFonts w:hint="default" w:ascii="Times New Roman" w:hAnsi="Times New Roman" w:cs="Times New Roman"/>
                <w:b/>
                <w:bCs/>
                <w:sz w:val="24"/>
              </w:rPr>
              <w:t>烘干</w:t>
            </w:r>
            <w:r>
              <w:rPr>
                <w:rFonts w:hint="default" w:ascii="Times New Roman" w:hAnsi="Times New Roman" w:cs="Times New Roman"/>
                <w:b/>
                <w:bCs/>
                <w:sz w:val="24"/>
                <w:lang w:val="en-US" w:eastAsia="zh-CN"/>
              </w:rPr>
              <w:t>生产线</w:t>
            </w:r>
            <w:r>
              <w:rPr>
                <w:rFonts w:hint="default" w:ascii="Times New Roman" w:hAnsi="Times New Roman" w:cs="Times New Roman"/>
                <w:b/>
                <w:bCs/>
                <w:sz w:val="24"/>
              </w:rPr>
              <w:t>物料平衡</w:t>
            </w:r>
            <w:r>
              <w:rPr>
                <w:rFonts w:hint="default" w:ascii="Times New Roman" w:hAnsi="Times New Roman" w:cs="Times New Roman"/>
                <w:b/>
                <w:bCs/>
                <w:sz w:val="24"/>
                <w:lang w:eastAsia="zh-CN"/>
              </w:rPr>
              <w:t>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10"/>
              <w:gridCol w:w="1278"/>
              <w:gridCol w:w="926"/>
              <w:gridCol w:w="2016"/>
              <w:gridCol w:w="1528"/>
              <w:gridCol w:w="920"/>
            </w:tblGrid>
            <w:tr w14:paraId="68F2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427" w:type="pct"/>
                  <w:gridSpan w:val="3"/>
                  <w:shd w:val="clear" w:color="auto" w:fill="auto"/>
                  <w:vAlign w:val="center"/>
                </w:tcPr>
                <w:p w14:paraId="7510D8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输入</w:t>
                  </w:r>
                </w:p>
              </w:tc>
              <w:tc>
                <w:tcPr>
                  <w:tcW w:w="2572" w:type="pct"/>
                  <w:gridSpan w:val="3"/>
                  <w:shd w:val="clear" w:color="auto" w:fill="auto"/>
                  <w:vAlign w:val="center"/>
                </w:tcPr>
                <w:p w14:paraId="535D09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输出</w:t>
                  </w:r>
                </w:p>
              </w:tc>
            </w:tr>
            <w:tr w14:paraId="172E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shd w:val="clear" w:color="auto" w:fill="auto"/>
                  <w:vAlign w:val="center"/>
                </w:tcPr>
                <w:p w14:paraId="368672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793" w:type="pct"/>
                  <w:shd w:val="clear" w:color="auto" w:fill="auto"/>
                  <w:vAlign w:val="center"/>
                </w:tcPr>
                <w:p w14:paraId="695352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含水率%</w:t>
                  </w:r>
                </w:p>
              </w:tc>
              <w:tc>
                <w:tcPr>
                  <w:tcW w:w="583" w:type="pct"/>
                  <w:shd w:val="clear" w:color="auto" w:fill="auto"/>
                  <w:vAlign w:val="center"/>
                </w:tcPr>
                <w:p w14:paraId="124E64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c>
                <w:tcPr>
                  <w:tcW w:w="1051" w:type="pct"/>
                  <w:shd w:val="clear" w:color="auto" w:fill="auto"/>
                  <w:vAlign w:val="center"/>
                </w:tcPr>
                <w:p w14:paraId="553BB5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942" w:type="pct"/>
                  <w:shd w:val="clear" w:color="auto" w:fill="auto"/>
                  <w:vAlign w:val="center"/>
                </w:tcPr>
                <w:p w14:paraId="5BD1E3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含水率%</w:t>
                  </w:r>
                </w:p>
              </w:tc>
              <w:tc>
                <w:tcPr>
                  <w:tcW w:w="578" w:type="pct"/>
                  <w:shd w:val="clear" w:color="auto" w:fill="auto"/>
                  <w:vAlign w:val="center"/>
                </w:tcPr>
                <w:p w14:paraId="73CCB4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r>
            <w:tr w14:paraId="7521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504B7F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脱硫石膏</w:t>
                  </w:r>
                </w:p>
              </w:tc>
              <w:tc>
                <w:tcPr>
                  <w:tcW w:w="793" w:type="pct"/>
                  <w:vMerge w:val="restart"/>
                  <w:shd w:val="clear" w:color="auto" w:fill="auto"/>
                  <w:noWrap/>
                  <w:vAlign w:val="center"/>
                </w:tcPr>
                <w:p w14:paraId="25CE3F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583" w:type="pct"/>
                  <w:vMerge w:val="restart"/>
                  <w:shd w:val="clear" w:color="auto" w:fill="auto"/>
                  <w:noWrap/>
                  <w:vAlign w:val="center"/>
                </w:tcPr>
                <w:p w14:paraId="7CCB63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80000</w:t>
                  </w:r>
                </w:p>
              </w:tc>
              <w:tc>
                <w:tcPr>
                  <w:tcW w:w="1051" w:type="pct"/>
                  <w:shd w:val="clear" w:color="auto" w:fill="auto"/>
                  <w:noWrap/>
                  <w:vAlign w:val="center"/>
                </w:tcPr>
                <w:p w14:paraId="4D20AE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脱硫石膏</w:t>
                  </w:r>
                </w:p>
              </w:tc>
              <w:tc>
                <w:tcPr>
                  <w:tcW w:w="942" w:type="pct"/>
                  <w:shd w:val="clear" w:color="auto" w:fill="auto"/>
                  <w:noWrap/>
                  <w:vAlign w:val="center"/>
                </w:tcPr>
                <w:p w14:paraId="473D1B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578" w:type="pct"/>
                  <w:shd w:val="clear" w:color="auto" w:fill="auto"/>
                  <w:noWrap/>
                  <w:vAlign w:val="center"/>
                </w:tcPr>
                <w:p w14:paraId="251967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70000</w:t>
                  </w:r>
                </w:p>
              </w:tc>
            </w:tr>
            <w:tr w14:paraId="0D37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1FD7AAF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5C9A675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0E01CBC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647B79F5">
                  <w:pPr>
                    <w:pStyle w:val="11"/>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废气（含水蒸气）</w:t>
                  </w:r>
                </w:p>
              </w:tc>
              <w:tc>
                <w:tcPr>
                  <w:tcW w:w="942" w:type="pct"/>
                  <w:shd w:val="clear" w:color="auto" w:fill="auto"/>
                  <w:noWrap/>
                  <w:vAlign w:val="center"/>
                </w:tcPr>
                <w:p w14:paraId="263B8B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highlight w:val="none"/>
                      <w:u w:val="none"/>
                      <w:lang w:val="en-US" w:eastAsia="zh-CN" w:bidi="ar"/>
                    </w:rPr>
                    <w:t>/</w:t>
                  </w:r>
                </w:p>
              </w:tc>
              <w:tc>
                <w:tcPr>
                  <w:tcW w:w="578" w:type="pct"/>
                  <w:shd w:val="clear" w:color="auto" w:fill="auto"/>
                  <w:noWrap/>
                  <w:vAlign w:val="center"/>
                </w:tcPr>
                <w:p w14:paraId="345996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10000</w:t>
                  </w:r>
                </w:p>
              </w:tc>
            </w:tr>
            <w:tr w14:paraId="7E0E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3E51CE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林业废物</w:t>
                  </w:r>
                </w:p>
              </w:tc>
              <w:tc>
                <w:tcPr>
                  <w:tcW w:w="793" w:type="pct"/>
                  <w:vMerge w:val="restart"/>
                  <w:shd w:val="clear" w:color="auto" w:fill="auto"/>
                  <w:noWrap/>
                  <w:vAlign w:val="center"/>
                </w:tcPr>
                <w:p w14:paraId="594227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583" w:type="pct"/>
                  <w:vMerge w:val="restart"/>
                  <w:shd w:val="clear" w:color="auto" w:fill="auto"/>
                  <w:noWrap/>
                  <w:vAlign w:val="center"/>
                </w:tcPr>
                <w:p w14:paraId="4319EF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c>
                <w:tcPr>
                  <w:tcW w:w="1051" w:type="pct"/>
                  <w:shd w:val="clear" w:color="auto" w:fill="auto"/>
                  <w:noWrap/>
                  <w:vAlign w:val="center"/>
                </w:tcPr>
                <w:p w14:paraId="7D8C18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林业废物</w:t>
                  </w:r>
                </w:p>
              </w:tc>
              <w:tc>
                <w:tcPr>
                  <w:tcW w:w="942" w:type="pct"/>
                  <w:shd w:val="clear" w:color="auto" w:fill="auto"/>
                  <w:noWrap/>
                  <w:vAlign w:val="center"/>
                </w:tcPr>
                <w:p w14:paraId="57E007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578" w:type="pct"/>
                  <w:shd w:val="clear" w:color="auto" w:fill="auto"/>
                  <w:noWrap/>
                  <w:vAlign w:val="center"/>
                </w:tcPr>
                <w:p w14:paraId="22E234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3750</w:t>
                  </w:r>
                </w:p>
              </w:tc>
            </w:tr>
            <w:tr w14:paraId="533A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1A3A714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1C73050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3E89017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1B2408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废气（含水蒸气）</w:t>
                  </w:r>
                </w:p>
              </w:tc>
              <w:tc>
                <w:tcPr>
                  <w:tcW w:w="942" w:type="pct"/>
                  <w:shd w:val="clear" w:color="auto" w:fill="auto"/>
                  <w:noWrap/>
                  <w:vAlign w:val="center"/>
                </w:tcPr>
                <w:p w14:paraId="325A42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highlight w:val="none"/>
                      <w:u w:val="none"/>
                      <w:lang w:val="en-US" w:eastAsia="zh-CN" w:bidi="ar"/>
                    </w:rPr>
                    <w:t>/</w:t>
                  </w:r>
                </w:p>
              </w:tc>
              <w:tc>
                <w:tcPr>
                  <w:tcW w:w="578" w:type="pct"/>
                  <w:shd w:val="clear" w:color="auto" w:fill="auto"/>
                  <w:noWrap/>
                  <w:vAlign w:val="center"/>
                </w:tcPr>
                <w:p w14:paraId="0B8CCA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1250</w:t>
                  </w:r>
                </w:p>
              </w:tc>
            </w:tr>
            <w:tr w14:paraId="1D93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4E542B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作物秸秆</w:t>
                  </w:r>
                </w:p>
              </w:tc>
              <w:tc>
                <w:tcPr>
                  <w:tcW w:w="793" w:type="pct"/>
                  <w:vMerge w:val="restart"/>
                  <w:shd w:val="clear" w:color="auto" w:fill="auto"/>
                  <w:noWrap/>
                  <w:vAlign w:val="center"/>
                </w:tcPr>
                <w:p w14:paraId="7C45FD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583" w:type="pct"/>
                  <w:vMerge w:val="restart"/>
                  <w:shd w:val="clear" w:color="auto" w:fill="auto"/>
                  <w:noWrap/>
                  <w:vAlign w:val="center"/>
                </w:tcPr>
                <w:p w14:paraId="1DDCDD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25000</w:t>
                  </w:r>
                </w:p>
              </w:tc>
              <w:tc>
                <w:tcPr>
                  <w:tcW w:w="1051" w:type="pct"/>
                  <w:shd w:val="clear" w:color="auto" w:fill="auto"/>
                  <w:noWrap/>
                  <w:vAlign w:val="center"/>
                </w:tcPr>
                <w:p w14:paraId="28F167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作物秸秆</w:t>
                  </w:r>
                </w:p>
              </w:tc>
              <w:tc>
                <w:tcPr>
                  <w:tcW w:w="942" w:type="pct"/>
                  <w:shd w:val="clear" w:color="auto" w:fill="auto"/>
                  <w:noWrap/>
                  <w:vAlign w:val="center"/>
                </w:tcPr>
                <w:p w14:paraId="176F3C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578" w:type="pct"/>
                  <w:shd w:val="clear" w:color="auto" w:fill="auto"/>
                  <w:noWrap/>
                  <w:vAlign w:val="center"/>
                </w:tcPr>
                <w:p w14:paraId="02FE9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18750</w:t>
                  </w:r>
                </w:p>
              </w:tc>
            </w:tr>
            <w:tr w14:paraId="43E7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298B866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25E7068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2E976E2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5517FC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废气（含水蒸气）</w:t>
                  </w:r>
                </w:p>
              </w:tc>
              <w:tc>
                <w:tcPr>
                  <w:tcW w:w="942" w:type="pct"/>
                  <w:shd w:val="clear" w:color="auto" w:fill="auto"/>
                  <w:noWrap/>
                  <w:vAlign w:val="center"/>
                </w:tcPr>
                <w:p w14:paraId="287222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highlight w:val="none"/>
                      <w:u w:val="none"/>
                      <w:lang w:val="en-US" w:eastAsia="zh-CN" w:bidi="ar"/>
                    </w:rPr>
                    <w:t>/</w:t>
                  </w:r>
                </w:p>
              </w:tc>
              <w:tc>
                <w:tcPr>
                  <w:tcW w:w="578" w:type="pct"/>
                  <w:shd w:val="clear" w:color="auto" w:fill="auto"/>
                  <w:noWrap/>
                  <w:vAlign w:val="center"/>
                </w:tcPr>
                <w:p w14:paraId="30036E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6250</w:t>
                  </w:r>
                </w:p>
              </w:tc>
            </w:tr>
            <w:tr w14:paraId="03FF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78A7D5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提铜渣浆</w:t>
                  </w:r>
                </w:p>
              </w:tc>
              <w:tc>
                <w:tcPr>
                  <w:tcW w:w="793" w:type="pct"/>
                  <w:vMerge w:val="restart"/>
                  <w:shd w:val="clear" w:color="auto" w:fill="auto"/>
                  <w:noWrap/>
                  <w:vAlign w:val="center"/>
                </w:tcPr>
                <w:p w14:paraId="5FC128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w:t>
                  </w:r>
                </w:p>
              </w:tc>
              <w:tc>
                <w:tcPr>
                  <w:tcW w:w="583" w:type="pct"/>
                  <w:vMerge w:val="restart"/>
                  <w:shd w:val="clear" w:color="auto" w:fill="auto"/>
                  <w:noWrap/>
                  <w:vAlign w:val="center"/>
                </w:tcPr>
                <w:p w14:paraId="2C2E96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051" w:type="pct"/>
                  <w:shd w:val="clear" w:color="auto" w:fill="auto"/>
                  <w:noWrap/>
                  <w:vAlign w:val="center"/>
                </w:tcPr>
                <w:p w14:paraId="2595B2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提铜渣浆</w:t>
                  </w:r>
                </w:p>
              </w:tc>
              <w:tc>
                <w:tcPr>
                  <w:tcW w:w="942" w:type="pct"/>
                  <w:shd w:val="clear" w:color="auto" w:fill="auto"/>
                  <w:noWrap/>
                  <w:vAlign w:val="center"/>
                </w:tcPr>
                <w:p w14:paraId="05BC28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578" w:type="pct"/>
                  <w:shd w:val="clear" w:color="auto" w:fill="auto"/>
                  <w:noWrap/>
                  <w:vAlign w:val="center"/>
                </w:tcPr>
                <w:p w14:paraId="6FB149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7500</w:t>
                  </w:r>
                </w:p>
              </w:tc>
            </w:tr>
            <w:tr w14:paraId="1C45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728EB1B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6964DE0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7C72D58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6A4EA2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进入废气（含水蒸气）</w:t>
                  </w:r>
                </w:p>
              </w:tc>
              <w:tc>
                <w:tcPr>
                  <w:tcW w:w="942" w:type="pct"/>
                  <w:shd w:val="clear" w:color="auto" w:fill="auto"/>
                  <w:noWrap/>
                  <w:vAlign w:val="center"/>
                </w:tcPr>
                <w:p w14:paraId="3520CF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w:t>
                  </w:r>
                </w:p>
              </w:tc>
              <w:tc>
                <w:tcPr>
                  <w:tcW w:w="578" w:type="pct"/>
                  <w:shd w:val="clear" w:color="auto" w:fill="auto"/>
                  <w:noWrap/>
                  <w:vAlign w:val="center"/>
                </w:tcPr>
                <w:p w14:paraId="20B128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2500</w:t>
                  </w:r>
                </w:p>
              </w:tc>
            </w:tr>
            <w:tr w14:paraId="5EED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5BC0FD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中药渣</w:t>
                  </w:r>
                </w:p>
              </w:tc>
              <w:tc>
                <w:tcPr>
                  <w:tcW w:w="793" w:type="pct"/>
                  <w:vMerge w:val="restart"/>
                  <w:shd w:val="clear" w:color="auto" w:fill="auto"/>
                  <w:noWrap/>
                  <w:vAlign w:val="center"/>
                </w:tcPr>
                <w:p w14:paraId="0109A0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w:t>
                  </w:r>
                </w:p>
              </w:tc>
              <w:tc>
                <w:tcPr>
                  <w:tcW w:w="583" w:type="pct"/>
                  <w:vMerge w:val="restart"/>
                  <w:shd w:val="clear" w:color="auto" w:fill="auto"/>
                  <w:noWrap/>
                  <w:vAlign w:val="center"/>
                </w:tcPr>
                <w:p w14:paraId="57FB9E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r>
                    <w:rPr>
                      <w:rFonts w:hint="default" w:ascii="Times New Roman" w:hAnsi="Times New Roman" w:cs="Times New Roman"/>
                      <w:i w:val="0"/>
                      <w:iCs w:val="0"/>
                      <w:color w:val="000000"/>
                      <w:kern w:val="0"/>
                      <w:sz w:val="18"/>
                      <w:szCs w:val="18"/>
                      <w:u w:val="none"/>
                      <w:lang w:val="en-US" w:eastAsia="zh-CN" w:bidi="ar"/>
                    </w:rPr>
                    <w:t>50</w:t>
                  </w:r>
                  <w:r>
                    <w:rPr>
                      <w:rFonts w:hint="default" w:ascii="Times New Roman" w:hAnsi="Times New Roman" w:eastAsia="宋体" w:cs="Times New Roman"/>
                      <w:i w:val="0"/>
                      <w:iCs w:val="0"/>
                      <w:color w:val="000000"/>
                      <w:kern w:val="0"/>
                      <w:sz w:val="18"/>
                      <w:szCs w:val="18"/>
                      <w:u w:val="none"/>
                      <w:lang w:val="en-US" w:eastAsia="zh-CN" w:bidi="ar"/>
                    </w:rPr>
                    <w:t>00</w:t>
                  </w:r>
                </w:p>
              </w:tc>
              <w:tc>
                <w:tcPr>
                  <w:tcW w:w="1051" w:type="pct"/>
                  <w:shd w:val="clear" w:color="auto" w:fill="auto"/>
                  <w:noWrap/>
                  <w:vAlign w:val="center"/>
                </w:tcPr>
                <w:p w14:paraId="6879F8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中药渣</w:t>
                  </w:r>
                </w:p>
              </w:tc>
              <w:tc>
                <w:tcPr>
                  <w:tcW w:w="942" w:type="pct"/>
                  <w:shd w:val="clear" w:color="auto" w:fill="auto"/>
                  <w:noWrap/>
                  <w:vAlign w:val="center"/>
                </w:tcPr>
                <w:p w14:paraId="1E7453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578" w:type="pct"/>
                  <w:shd w:val="clear" w:color="auto" w:fill="auto"/>
                  <w:noWrap/>
                  <w:vAlign w:val="center"/>
                </w:tcPr>
                <w:p w14:paraId="3122D7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11250</w:t>
                  </w:r>
                </w:p>
              </w:tc>
            </w:tr>
            <w:tr w14:paraId="0E8D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2921918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165AB31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0A84F8E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64220B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废气（含水蒸气）</w:t>
                  </w:r>
                </w:p>
              </w:tc>
              <w:tc>
                <w:tcPr>
                  <w:tcW w:w="942" w:type="pct"/>
                  <w:shd w:val="clear" w:color="auto" w:fill="auto"/>
                  <w:noWrap/>
                  <w:vAlign w:val="center"/>
                </w:tcPr>
                <w:p w14:paraId="70A08C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w:t>
                  </w:r>
                </w:p>
              </w:tc>
              <w:tc>
                <w:tcPr>
                  <w:tcW w:w="578" w:type="pct"/>
                  <w:shd w:val="clear" w:color="auto" w:fill="auto"/>
                  <w:noWrap/>
                  <w:vAlign w:val="center"/>
                </w:tcPr>
                <w:p w14:paraId="3D3CE1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3750</w:t>
                  </w:r>
                </w:p>
              </w:tc>
            </w:tr>
            <w:tr w14:paraId="5F15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3FFCD4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糖渣</w:t>
                  </w:r>
                </w:p>
              </w:tc>
              <w:tc>
                <w:tcPr>
                  <w:tcW w:w="793" w:type="pct"/>
                  <w:vMerge w:val="restart"/>
                  <w:shd w:val="clear" w:color="auto" w:fill="auto"/>
                  <w:noWrap/>
                  <w:vAlign w:val="center"/>
                </w:tcPr>
                <w:p w14:paraId="1DC137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w:t>
                  </w:r>
                </w:p>
              </w:tc>
              <w:tc>
                <w:tcPr>
                  <w:tcW w:w="583" w:type="pct"/>
                  <w:vMerge w:val="restart"/>
                  <w:shd w:val="clear" w:color="auto" w:fill="auto"/>
                  <w:noWrap/>
                  <w:vAlign w:val="center"/>
                </w:tcPr>
                <w:p w14:paraId="4A8244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r>
                    <w:rPr>
                      <w:rFonts w:hint="default" w:ascii="Times New Roman" w:hAnsi="Times New Roman" w:cs="Times New Roman"/>
                      <w:i w:val="0"/>
                      <w:iCs w:val="0"/>
                      <w:color w:val="000000"/>
                      <w:kern w:val="0"/>
                      <w:sz w:val="18"/>
                      <w:szCs w:val="18"/>
                      <w:u w:val="none"/>
                      <w:lang w:val="en-US" w:eastAsia="zh-CN" w:bidi="ar"/>
                    </w:rPr>
                    <w:t>50</w:t>
                  </w:r>
                  <w:r>
                    <w:rPr>
                      <w:rFonts w:hint="default" w:ascii="Times New Roman" w:hAnsi="Times New Roman" w:eastAsia="宋体" w:cs="Times New Roman"/>
                      <w:i w:val="0"/>
                      <w:iCs w:val="0"/>
                      <w:color w:val="000000"/>
                      <w:kern w:val="0"/>
                      <w:sz w:val="18"/>
                      <w:szCs w:val="18"/>
                      <w:u w:val="none"/>
                      <w:lang w:val="en-US" w:eastAsia="zh-CN" w:bidi="ar"/>
                    </w:rPr>
                    <w:t>00</w:t>
                  </w:r>
                </w:p>
              </w:tc>
              <w:tc>
                <w:tcPr>
                  <w:tcW w:w="1051" w:type="pct"/>
                  <w:shd w:val="clear" w:color="auto" w:fill="auto"/>
                  <w:noWrap/>
                  <w:vAlign w:val="center"/>
                </w:tcPr>
                <w:p w14:paraId="3FA66F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糖渣</w:t>
                  </w:r>
                </w:p>
              </w:tc>
              <w:tc>
                <w:tcPr>
                  <w:tcW w:w="942" w:type="pct"/>
                  <w:shd w:val="clear" w:color="auto" w:fill="auto"/>
                  <w:noWrap/>
                  <w:vAlign w:val="center"/>
                </w:tcPr>
                <w:p w14:paraId="0B8230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578" w:type="pct"/>
                  <w:shd w:val="clear" w:color="auto" w:fill="auto"/>
                  <w:noWrap/>
                  <w:vAlign w:val="center"/>
                </w:tcPr>
                <w:p w14:paraId="56A8A6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11250</w:t>
                  </w:r>
                </w:p>
              </w:tc>
            </w:tr>
            <w:tr w14:paraId="6DC6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27CDDA0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410580F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2AC07A8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7C56FF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废气（含水蒸气）</w:t>
                  </w:r>
                </w:p>
              </w:tc>
              <w:tc>
                <w:tcPr>
                  <w:tcW w:w="942" w:type="pct"/>
                  <w:shd w:val="clear" w:color="auto" w:fill="auto"/>
                  <w:noWrap/>
                  <w:vAlign w:val="center"/>
                </w:tcPr>
                <w:p w14:paraId="0D638B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w:t>
                  </w:r>
                </w:p>
              </w:tc>
              <w:tc>
                <w:tcPr>
                  <w:tcW w:w="578" w:type="pct"/>
                  <w:shd w:val="clear" w:color="auto" w:fill="auto"/>
                  <w:noWrap/>
                  <w:vAlign w:val="center"/>
                </w:tcPr>
                <w:p w14:paraId="2E4DB2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3750</w:t>
                  </w:r>
                </w:p>
              </w:tc>
            </w:tr>
            <w:tr w14:paraId="0BE0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vMerge w:val="restart"/>
                  <w:shd w:val="clear" w:color="auto" w:fill="auto"/>
                  <w:noWrap/>
                  <w:vAlign w:val="center"/>
                </w:tcPr>
                <w:p w14:paraId="37B127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营养土（自产）</w:t>
                  </w:r>
                </w:p>
              </w:tc>
              <w:tc>
                <w:tcPr>
                  <w:tcW w:w="793" w:type="pct"/>
                  <w:vMerge w:val="restart"/>
                  <w:shd w:val="clear" w:color="auto" w:fill="auto"/>
                  <w:noWrap/>
                  <w:vAlign w:val="center"/>
                </w:tcPr>
                <w:p w14:paraId="7EA73D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583" w:type="pct"/>
                  <w:vMerge w:val="restart"/>
                  <w:shd w:val="clear" w:color="auto" w:fill="auto"/>
                  <w:noWrap/>
                  <w:vAlign w:val="center"/>
                </w:tcPr>
                <w:p w14:paraId="472FC4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60000</w:t>
                  </w:r>
                </w:p>
              </w:tc>
              <w:tc>
                <w:tcPr>
                  <w:tcW w:w="1051" w:type="pct"/>
                  <w:shd w:val="clear" w:color="auto" w:fill="auto"/>
                  <w:noWrap/>
                  <w:vAlign w:val="center"/>
                </w:tcPr>
                <w:p w14:paraId="7E5106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营养土（自产）</w:t>
                  </w:r>
                </w:p>
              </w:tc>
              <w:tc>
                <w:tcPr>
                  <w:tcW w:w="942" w:type="pct"/>
                  <w:shd w:val="clear" w:color="auto" w:fill="auto"/>
                  <w:noWrap/>
                  <w:vAlign w:val="center"/>
                </w:tcPr>
                <w:p w14:paraId="276279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578" w:type="pct"/>
                  <w:shd w:val="clear" w:color="auto" w:fill="auto"/>
                  <w:noWrap/>
                  <w:vAlign w:val="center"/>
                </w:tcPr>
                <w:p w14:paraId="1C46B0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4500</w:t>
                  </w:r>
                  <w:r>
                    <w:rPr>
                      <w:rFonts w:hint="default" w:ascii="Times New Roman" w:hAnsi="Times New Roman" w:cs="Times New Roman"/>
                      <w:i w:val="0"/>
                      <w:iCs w:val="0"/>
                      <w:color w:val="000000"/>
                      <w:kern w:val="0"/>
                      <w:sz w:val="18"/>
                      <w:szCs w:val="18"/>
                      <w:u w:val="none"/>
                      <w:lang w:val="en-US" w:eastAsia="zh-CN" w:bidi="ar"/>
                    </w:rPr>
                    <w:t>0</w:t>
                  </w:r>
                </w:p>
              </w:tc>
            </w:tr>
            <w:tr w14:paraId="6D04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1" w:type="pct"/>
                  <w:vMerge w:val="continue"/>
                  <w:shd w:val="clear" w:color="auto" w:fill="auto"/>
                  <w:noWrap/>
                  <w:vAlign w:val="center"/>
                </w:tcPr>
                <w:p w14:paraId="7E9D38D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793" w:type="pct"/>
                  <w:vMerge w:val="continue"/>
                  <w:shd w:val="clear" w:color="auto" w:fill="auto"/>
                  <w:noWrap/>
                  <w:vAlign w:val="center"/>
                </w:tcPr>
                <w:p w14:paraId="2EBCEBA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583" w:type="pct"/>
                  <w:vMerge w:val="continue"/>
                  <w:shd w:val="clear" w:color="auto" w:fill="auto"/>
                  <w:noWrap/>
                  <w:vAlign w:val="center"/>
                </w:tcPr>
                <w:p w14:paraId="46E1517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c>
                <w:tcPr>
                  <w:tcW w:w="1051" w:type="pct"/>
                  <w:shd w:val="clear" w:color="auto" w:fill="auto"/>
                  <w:noWrap/>
                  <w:vAlign w:val="center"/>
                </w:tcPr>
                <w:p w14:paraId="45143E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废气（含水蒸气）</w:t>
                  </w:r>
                </w:p>
              </w:tc>
              <w:tc>
                <w:tcPr>
                  <w:tcW w:w="942" w:type="pct"/>
                  <w:shd w:val="clear" w:color="auto" w:fill="auto"/>
                  <w:noWrap/>
                  <w:vAlign w:val="center"/>
                </w:tcPr>
                <w:p w14:paraId="01FEE8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w:t>
                  </w:r>
                </w:p>
              </w:tc>
              <w:tc>
                <w:tcPr>
                  <w:tcW w:w="578" w:type="pct"/>
                  <w:shd w:val="clear" w:color="auto" w:fill="auto"/>
                  <w:noWrap/>
                  <w:vAlign w:val="center"/>
                </w:tcPr>
                <w:p w14:paraId="1934FA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15000</w:t>
                  </w:r>
                </w:p>
              </w:tc>
            </w:tr>
            <w:tr w14:paraId="248F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051" w:type="pct"/>
                  <w:shd w:val="clear" w:color="auto" w:fill="auto"/>
                  <w:noWrap/>
                  <w:vAlign w:val="center"/>
                </w:tcPr>
                <w:p w14:paraId="4AE605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合计</w:t>
                  </w:r>
                </w:p>
              </w:tc>
              <w:tc>
                <w:tcPr>
                  <w:tcW w:w="793" w:type="pct"/>
                  <w:shd w:val="clear" w:color="auto" w:fill="auto"/>
                  <w:noWrap/>
                  <w:vAlign w:val="center"/>
                </w:tcPr>
                <w:p w14:paraId="00FD54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w:t>
                  </w:r>
                </w:p>
              </w:tc>
              <w:tc>
                <w:tcPr>
                  <w:tcW w:w="583" w:type="pct"/>
                  <w:shd w:val="clear" w:color="auto" w:fill="auto"/>
                  <w:noWrap/>
                  <w:vAlign w:val="center"/>
                </w:tcPr>
                <w:p w14:paraId="6BA1E2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210000</w:t>
                  </w:r>
                </w:p>
              </w:tc>
              <w:tc>
                <w:tcPr>
                  <w:tcW w:w="1051" w:type="pct"/>
                  <w:shd w:val="clear" w:color="auto" w:fill="auto"/>
                  <w:noWrap/>
                  <w:vAlign w:val="center"/>
                </w:tcPr>
                <w:p w14:paraId="0199F4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942" w:type="pct"/>
                  <w:shd w:val="clear" w:color="auto" w:fill="auto"/>
                  <w:noWrap/>
                  <w:vAlign w:val="center"/>
                </w:tcPr>
                <w:p w14:paraId="153622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w:t>
                  </w:r>
                </w:p>
              </w:tc>
              <w:tc>
                <w:tcPr>
                  <w:tcW w:w="578" w:type="pct"/>
                  <w:shd w:val="clear" w:color="auto" w:fill="auto"/>
                  <w:noWrap/>
                  <w:vAlign w:val="center"/>
                </w:tcPr>
                <w:p w14:paraId="73F1C5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w:t>
                  </w:r>
                  <w:r>
                    <w:rPr>
                      <w:rFonts w:hint="default" w:ascii="Times New Roman" w:hAnsi="Times New Roman" w:cs="Times New Roman"/>
                      <w:i w:val="0"/>
                      <w:iCs w:val="0"/>
                      <w:color w:val="000000"/>
                      <w:kern w:val="0"/>
                      <w:sz w:val="18"/>
                      <w:szCs w:val="18"/>
                      <w:u w:val="none"/>
                      <w:lang w:val="en-US" w:eastAsia="zh-CN" w:bidi="ar"/>
                    </w:rPr>
                    <w:t>10</w:t>
                  </w:r>
                  <w:r>
                    <w:rPr>
                      <w:rFonts w:hint="default" w:ascii="Times New Roman" w:hAnsi="Times New Roman" w:eastAsia="宋体" w:cs="Times New Roman"/>
                      <w:i w:val="0"/>
                      <w:iCs w:val="0"/>
                      <w:color w:val="000000"/>
                      <w:kern w:val="0"/>
                      <w:sz w:val="18"/>
                      <w:szCs w:val="18"/>
                      <w:u w:val="none"/>
                      <w:lang w:val="en-US" w:eastAsia="zh-CN" w:bidi="ar"/>
                    </w:rPr>
                    <w:t>000</w:t>
                  </w:r>
                </w:p>
              </w:tc>
            </w:tr>
          </w:tbl>
          <w:p w14:paraId="51011D49">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25   营养土生产线</w:t>
            </w:r>
            <w:r>
              <w:rPr>
                <w:rFonts w:hint="default" w:ascii="Times New Roman" w:hAnsi="Times New Roman" w:cs="Times New Roman"/>
                <w:b/>
                <w:bCs/>
                <w:sz w:val="24"/>
              </w:rPr>
              <w:t>物料平衡</w:t>
            </w:r>
            <w:r>
              <w:rPr>
                <w:rFonts w:hint="default" w:ascii="Times New Roman" w:hAnsi="Times New Roman" w:cs="Times New Roman"/>
                <w:b/>
                <w:bCs/>
                <w:sz w:val="24"/>
                <w:lang w:eastAsia="zh-CN"/>
              </w:rPr>
              <w:t>表</w:t>
            </w:r>
          </w:p>
          <w:tbl>
            <w:tblPr>
              <w:tblStyle w:val="30"/>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36"/>
              <w:gridCol w:w="1758"/>
              <w:gridCol w:w="2416"/>
              <w:gridCol w:w="1779"/>
            </w:tblGrid>
            <w:tr w14:paraId="4F89F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78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输入</w:t>
                  </w:r>
                </w:p>
              </w:tc>
              <w:tc>
                <w:tcPr>
                  <w:tcW w:w="221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2C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输出</w:t>
                  </w:r>
                </w:p>
              </w:tc>
            </w:tr>
            <w:tr w14:paraId="3D2A8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D5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A2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5D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1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A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r>
            <w:tr w14:paraId="0453D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8A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酒制造废物、酒糟</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05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77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外售产品营养土</w:t>
                  </w: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62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80000</w:t>
                  </w:r>
                </w:p>
              </w:tc>
            </w:tr>
            <w:tr w14:paraId="7FAB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4C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作物秸秆</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A3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20</w:t>
                  </w:r>
                  <w:r>
                    <w:rPr>
                      <w:rFonts w:hint="default" w:ascii="Times New Roman" w:hAnsi="Times New Roman" w:eastAsia="宋体" w:cs="Times New Roman"/>
                      <w:i w:val="0"/>
                      <w:iCs w:val="0"/>
                      <w:color w:val="000000"/>
                      <w:kern w:val="0"/>
                      <w:sz w:val="18"/>
                      <w:szCs w:val="18"/>
                      <w:u w:val="none"/>
                      <w:lang w:val="en-US" w:eastAsia="zh-CN" w:bidi="ar"/>
                    </w:rPr>
                    <w:t>000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F0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用于生产替代燃烧颗粒</w:t>
                  </w: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251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60000</w:t>
                  </w:r>
                </w:p>
              </w:tc>
            </w:tr>
            <w:tr w14:paraId="361D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72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林业废物</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0D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A6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废气（含水蒸气）</w:t>
                  </w: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83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81325</w:t>
                  </w:r>
                </w:p>
              </w:tc>
            </w:tr>
            <w:tr w14:paraId="7CAD0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20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畜禽粪污</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D3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47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进入废水</w:t>
                  </w: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A4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8675</w:t>
                  </w:r>
                </w:p>
              </w:tc>
            </w:tr>
            <w:tr w14:paraId="314A4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68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污泥、城镇污水污泥、清淤疏浚污泥</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68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170000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AFF7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06F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76C8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D0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糖渣、中药渣</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60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22500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214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9BB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1635F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25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发酵菌</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DE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729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7EF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1D0DD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98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48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r>
                    <w:rPr>
                      <w:rFonts w:hint="default" w:ascii="Times New Roman" w:hAnsi="Times New Roman" w:cs="Times New Roman"/>
                      <w:i w:val="0"/>
                      <w:iCs w:val="0"/>
                      <w:color w:val="000000"/>
                      <w:kern w:val="0"/>
                      <w:sz w:val="18"/>
                      <w:szCs w:val="18"/>
                      <w:u w:val="none"/>
                      <w:lang w:val="en-US" w:eastAsia="zh-CN" w:bidi="ar"/>
                    </w:rPr>
                    <w:t>3000</w:t>
                  </w:r>
                  <w:r>
                    <w:rPr>
                      <w:rFonts w:hint="default" w:ascii="Times New Roman" w:hAnsi="Times New Roman" w:eastAsia="宋体" w:cs="Times New Roman"/>
                      <w:i w:val="0"/>
                      <w:iCs w:val="0"/>
                      <w:color w:val="000000"/>
                      <w:kern w:val="0"/>
                      <w:sz w:val="18"/>
                      <w:szCs w:val="18"/>
                      <w:u w:val="none"/>
                      <w:lang w:val="en-US" w:eastAsia="zh-CN" w:bidi="ar"/>
                    </w:rPr>
                    <w:t>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84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01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r>
                    <w:rPr>
                      <w:rFonts w:hint="default" w:ascii="Times New Roman" w:hAnsi="Times New Roman" w:cs="Times New Roman"/>
                      <w:i w:val="0"/>
                      <w:iCs w:val="0"/>
                      <w:color w:val="000000"/>
                      <w:kern w:val="0"/>
                      <w:sz w:val="18"/>
                      <w:szCs w:val="18"/>
                      <w:u w:val="none"/>
                      <w:lang w:val="en-US" w:eastAsia="zh-CN" w:bidi="ar"/>
                    </w:rPr>
                    <w:t>3000</w:t>
                  </w:r>
                  <w:r>
                    <w:rPr>
                      <w:rFonts w:hint="default" w:ascii="Times New Roman" w:hAnsi="Times New Roman" w:eastAsia="宋体" w:cs="Times New Roman"/>
                      <w:i w:val="0"/>
                      <w:iCs w:val="0"/>
                      <w:color w:val="000000"/>
                      <w:kern w:val="0"/>
                      <w:sz w:val="18"/>
                      <w:szCs w:val="18"/>
                      <w:u w:val="none"/>
                      <w:lang w:val="en-US" w:eastAsia="zh-CN" w:bidi="ar"/>
                    </w:rPr>
                    <w:t>0</w:t>
                  </w:r>
                </w:p>
              </w:tc>
            </w:tr>
          </w:tbl>
          <w:p w14:paraId="3CAC1D2D">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26替代燃烧颗粒生产线</w:t>
            </w:r>
            <w:r>
              <w:rPr>
                <w:rFonts w:hint="default" w:ascii="Times New Roman" w:hAnsi="Times New Roman" w:cs="Times New Roman"/>
                <w:b/>
                <w:bCs/>
                <w:sz w:val="24"/>
              </w:rPr>
              <w:t>物料平衡</w:t>
            </w:r>
            <w:r>
              <w:rPr>
                <w:rFonts w:hint="default" w:ascii="Times New Roman" w:hAnsi="Times New Roman" w:cs="Times New Roman"/>
                <w:b/>
                <w:bCs/>
                <w:sz w:val="24"/>
                <w:lang w:eastAsia="zh-CN"/>
              </w:rPr>
              <w:t>表</w:t>
            </w:r>
          </w:p>
          <w:tbl>
            <w:tblPr>
              <w:tblStyle w:val="30"/>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73"/>
              <w:gridCol w:w="1995"/>
              <w:gridCol w:w="1482"/>
              <w:gridCol w:w="2239"/>
            </w:tblGrid>
            <w:tr w14:paraId="56F52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78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F6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输入</w:t>
                  </w:r>
                </w:p>
              </w:tc>
              <w:tc>
                <w:tcPr>
                  <w:tcW w:w="221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7CA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输出</w:t>
                  </w:r>
                </w:p>
              </w:tc>
            </w:tr>
            <w:tr w14:paraId="658EA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8F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EC7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C9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7D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r>
            <w:tr w14:paraId="4770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27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废纸、废纺织品、废木材、废除尘布袋、废包装物</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E9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37500</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1B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替代燃烧颗粒</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D5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100000</w:t>
                  </w:r>
                </w:p>
              </w:tc>
            </w:tr>
            <w:tr w14:paraId="05C3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BF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烘干后的林业废物</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86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3750</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057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废气（含水蒸气）</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4B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12500</w:t>
                  </w:r>
                </w:p>
              </w:tc>
            </w:tr>
            <w:tr w14:paraId="34942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C3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烘干后的作物秸秆</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B8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18750</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B31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6BD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25A5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02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烘干后的提铜渣浆</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42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7500</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226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A6A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05D50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059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烘干后的营养土</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2B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45000</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33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08E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1215F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58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CF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112500</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C8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37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112500</w:t>
                  </w:r>
                </w:p>
              </w:tc>
            </w:tr>
          </w:tbl>
          <w:p w14:paraId="00017FF1">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sz w:val="24"/>
              </w:rPr>
            </w:pPr>
            <w:r>
              <w:rPr>
                <w:rFonts w:hint="default" w:ascii="Times New Roman" w:hAnsi="Times New Roman" w:cs="Times New Roman"/>
                <w:b/>
                <w:bCs/>
                <w:sz w:val="24"/>
              </w:rPr>
              <w:t>表2-</w:t>
            </w:r>
            <w:r>
              <w:rPr>
                <w:rFonts w:hint="default" w:ascii="Times New Roman" w:hAnsi="Times New Roman" w:cs="Times New Roman"/>
                <w:b/>
                <w:bCs/>
                <w:sz w:val="24"/>
                <w:lang w:val="en-US" w:eastAsia="zh-CN"/>
              </w:rPr>
              <w:t xml:space="preserve">27   </w:t>
            </w:r>
            <w:r>
              <w:rPr>
                <w:rFonts w:hint="default" w:ascii="Times New Roman" w:hAnsi="Times New Roman" w:cs="Times New Roman"/>
                <w:b/>
                <w:bCs/>
                <w:sz w:val="24"/>
              </w:rPr>
              <w:t>免烧砖</w:t>
            </w:r>
            <w:r>
              <w:rPr>
                <w:rFonts w:hint="default" w:ascii="Times New Roman" w:hAnsi="Times New Roman" w:cs="Times New Roman"/>
                <w:b/>
                <w:bCs/>
                <w:sz w:val="24"/>
                <w:lang w:val="en-US" w:eastAsia="zh-CN"/>
              </w:rPr>
              <w:t>生产线</w:t>
            </w:r>
            <w:r>
              <w:rPr>
                <w:rFonts w:hint="default" w:ascii="Times New Roman" w:hAnsi="Times New Roman" w:cs="Times New Roman"/>
                <w:b/>
                <w:bCs/>
                <w:sz w:val="24"/>
              </w:rPr>
              <w:t>物料平衡</w:t>
            </w:r>
            <w:r>
              <w:rPr>
                <w:rFonts w:hint="default" w:ascii="Times New Roman" w:hAnsi="Times New Roman" w:cs="Times New Roman"/>
                <w:b/>
                <w:bCs/>
                <w:sz w:val="24"/>
                <w:lang w:eastAsia="zh-CN"/>
              </w:rPr>
              <w:t>表</w:t>
            </w:r>
          </w:p>
          <w:tbl>
            <w:tblPr>
              <w:tblStyle w:val="30"/>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37"/>
              <w:gridCol w:w="2031"/>
              <w:gridCol w:w="1462"/>
              <w:gridCol w:w="2259"/>
            </w:tblGrid>
            <w:tr w14:paraId="78E41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7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FA5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输入</w:t>
                  </w:r>
                </w:p>
              </w:tc>
              <w:tc>
                <w:tcPr>
                  <w:tcW w:w="22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8EB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输出</w:t>
                  </w:r>
                </w:p>
              </w:tc>
            </w:tr>
            <w:tr w14:paraId="2304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464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BB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440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物料名称</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F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数量（t/a）</w:t>
                  </w:r>
                </w:p>
              </w:tc>
            </w:tr>
            <w:tr w14:paraId="7B45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910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水泥</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207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682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免烧砖</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13E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212500</w:t>
                  </w:r>
                </w:p>
              </w:tc>
            </w:tr>
            <w:tr w14:paraId="37C28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1BD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烘干后的脱硫石膏</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040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70000</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6B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废气（含水蒸气）</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D88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2500</w:t>
                  </w:r>
                </w:p>
              </w:tc>
            </w:tr>
            <w:tr w14:paraId="3BBF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2A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钢渣、粉煤灰、炉渣、尾矿、脱硫剂</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FA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110000</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BDF6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A34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7196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04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固化剂</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72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8C0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E35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u w:val="none"/>
                    </w:rPr>
                  </w:pPr>
                </w:p>
              </w:tc>
            </w:tr>
            <w:tr w14:paraId="6CD6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703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603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215000</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B39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03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215000</w:t>
                  </w:r>
                </w:p>
              </w:tc>
            </w:tr>
          </w:tbl>
          <w:p w14:paraId="79ED7405">
            <w:pPr>
              <w:pStyle w:val="130"/>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Autospacing="0" w:line="240" w:lineRule="auto"/>
              <w:ind w:left="0" w:right="0" w:firstLine="0"/>
              <w:textAlignment w:val="auto"/>
              <w:rPr>
                <w:rFonts w:hint="default" w:ascii="Times New Roman" w:hAnsi="Times New Roman" w:eastAsia="宋体" w:cs="Times New Roman"/>
                <w:b/>
                <w:bCs w:val="0"/>
                <w:color w:val="auto"/>
                <w:sz w:val="24"/>
                <w:szCs w:val="24"/>
                <w:highlight w:val="green"/>
              </w:rPr>
            </w:pPr>
          </w:p>
          <w:p w14:paraId="46F354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w:t>
            </w:r>
            <w:r>
              <w:rPr>
                <w:rFonts w:hint="default" w:ascii="Times New Roman" w:hAnsi="Times New Roman"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rPr>
              <w:t>、地理位置及周边关系</w:t>
            </w:r>
          </w:p>
          <w:p w14:paraId="6899F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00"/>
                <w:sz w:val="24"/>
                <w:szCs w:val="24"/>
                <w:highlight w:val="none"/>
              </w:rPr>
              <w:t>地理位置：本项目位于</w:t>
            </w:r>
            <w:r>
              <w:rPr>
                <w:rFonts w:hint="default" w:ascii="Times New Roman" w:hAnsi="Times New Roman" w:eastAsia="宋体" w:cs="Times New Roman"/>
                <w:color w:val="000000"/>
                <w:sz w:val="24"/>
                <w:szCs w:val="24"/>
                <w:highlight w:val="none"/>
                <w:lang w:eastAsia="zh-CN"/>
              </w:rPr>
              <w:t>河北省唐山市迁安市经济开发区纬九街北侧、经十一路东侧</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迁安市仁通金属制品有限公司院内</w:t>
            </w:r>
            <w:r>
              <w:rPr>
                <w:rFonts w:hint="default" w:ascii="Times New Roman" w:hAnsi="Times New Roman" w:cs="Times New Roman"/>
                <w:color w:val="000000"/>
                <w:sz w:val="24"/>
                <w:szCs w:val="24"/>
                <w:highlight w:val="none"/>
                <w:lang w:val="en-US" w:eastAsia="zh-CN"/>
              </w:rPr>
              <w:t>1</w:t>
            </w:r>
            <w:r>
              <w:rPr>
                <w:rFonts w:hint="default" w:ascii="Times New Roman" w:hAnsi="Times New Roman" w:eastAsia="宋体" w:cs="Times New Roman"/>
                <w:color w:val="000000"/>
                <w:sz w:val="24"/>
                <w:szCs w:val="24"/>
                <w:highlight w:val="none"/>
                <w:lang w:eastAsia="zh-CN"/>
              </w:rPr>
              <w:t>号</w:t>
            </w:r>
            <w:r>
              <w:rPr>
                <w:rFonts w:hint="default" w:ascii="Times New Roman" w:hAnsi="Times New Roman"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eastAsia="zh-CN"/>
              </w:rPr>
              <w:t>号厂房</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中心坐标为</w:t>
            </w:r>
            <w:r>
              <w:rPr>
                <w:rFonts w:hint="default" w:ascii="Times New Roman" w:hAnsi="Times New Roman" w:eastAsia="宋体" w:cs="Times New Roman"/>
                <w:b w:val="0"/>
                <w:bCs w:val="0"/>
                <w:color w:val="000000"/>
                <w:sz w:val="24"/>
                <w:szCs w:val="24"/>
                <w:highlight w:val="none"/>
              </w:rPr>
              <w:t>E118°36'06.210，N39°59'17.615"</w:t>
            </w:r>
            <w:r>
              <w:rPr>
                <w:rFonts w:hint="default"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lang w:val="en-US" w:eastAsia="zh-CN"/>
              </w:rPr>
              <w:t>项目西侧为</w:t>
            </w:r>
            <w:r>
              <w:rPr>
                <w:rFonts w:hint="default" w:ascii="Times New Roman" w:hAnsi="Times New Roman" w:cs="Times New Roman"/>
                <w:b w:val="0"/>
                <w:bCs w:val="0"/>
                <w:color w:val="000000"/>
                <w:sz w:val="24"/>
                <w:szCs w:val="24"/>
                <w:highlight w:val="none"/>
                <w:lang w:val="en-US" w:eastAsia="zh-CN"/>
              </w:rPr>
              <w:t>唐山市隆江金属制品有限公司</w:t>
            </w:r>
            <w:r>
              <w:rPr>
                <w:rFonts w:hint="default" w:ascii="Times New Roman" w:hAnsi="Times New Roman" w:eastAsia="宋体" w:cs="Times New Roman"/>
                <w:b w:val="0"/>
                <w:bCs w:val="0"/>
                <w:color w:val="000000"/>
                <w:sz w:val="24"/>
                <w:szCs w:val="24"/>
                <w:highlight w:val="none"/>
                <w:lang w:val="en-US" w:eastAsia="zh-CN"/>
              </w:rPr>
              <w:t>，东侧为</w:t>
            </w:r>
            <w:r>
              <w:rPr>
                <w:rFonts w:hint="default" w:ascii="Times New Roman" w:hAnsi="Times New Roman" w:cs="Times New Roman"/>
                <w:b w:val="0"/>
                <w:bCs w:val="0"/>
                <w:color w:val="000000"/>
                <w:sz w:val="24"/>
                <w:szCs w:val="24"/>
                <w:highlight w:val="none"/>
                <w:lang w:val="en-US" w:eastAsia="zh-CN"/>
              </w:rPr>
              <w:t>唐山市互为金属制品有限公司</w:t>
            </w:r>
            <w:r>
              <w:rPr>
                <w:rFonts w:hint="default" w:ascii="Times New Roman" w:hAnsi="Times New Roman" w:eastAsia="宋体" w:cs="Times New Roman"/>
                <w:b w:val="0"/>
                <w:bCs w:val="0"/>
                <w:color w:val="000000"/>
                <w:sz w:val="24"/>
                <w:szCs w:val="24"/>
                <w:highlight w:val="none"/>
                <w:lang w:val="en-US" w:eastAsia="zh-CN"/>
              </w:rPr>
              <w:t>，南侧为</w:t>
            </w:r>
            <w:r>
              <w:rPr>
                <w:rFonts w:hint="default" w:ascii="Times New Roman" w:hAnsi="Times New Roman" w:cs="Times New Roman"/>
                <w:b w:val="0"/>
                <w:bCs w:val="0"/>
                <w:color w:val="000000"/>
                <w:sz w:val="24"/>
                <w:szCs w:val="24"/>
                <w:highlight w:val="none"/>
                <w:lang w:val="en-US" w:eastAsia="zh-CN"/>
              </w:rPr>
              <w:t>迁安鼎泰金属制品有限公司</w:t>
            </w:r>
            <w:r>
              <w:rPr>
                <w:rFonts w:hint="default" w:ascii="Times New Roman" w:hAnsi="Times New Roman" w:eastAsia="宋体" w:cs="Times New Roman"/>
                <w:b w:val="0"/>
                <w:bCs w:val="0"/>
                <w:color w:val="000000"/>
                <w:sz w:val="24"/>
                <w:szCs w:val="24"/>
                <w:highlight w:val="none"/>
                <w:lang w:val="en-US" w:eastAsia="zh-CN"/>
              </w:rPr>
              <w:t>，北侧为</w:t>
            </w:r>
            <w:r>
              <w:rPr>
                <w:rFonts w:hint="default" w:ascii="Times New Roman" w:hAnsi="Times New Roman" w:cs="Times New Roman"/>
                <w:b w:val="0"/>
                <w:bCs w:val="0"/>
                <w:color w:val="000000"/>
                <w:sz w:val="24"/>
                <w:szCs w:val="24"/>
                <w:highlight w:val="none"/>
                <w:lang w:val="en-US" w:eastAsia="zh-CN"/>
              </w:rPr>
              <w:t>迁安市星华金属制品有限公司</w:t>
            </w:r>
            <w:r>
              <w:rPr>
                <w:rFonts w:hint="default"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lang w:val="en-US" w:eastAsia="zh-CN"/>
              </w:rPr>
              <w:t>距离项目最近的敏感点为</w:t>
            </w:r>
            <w:r>
              <w:rPr>
                <w:rFonts w:hint="default" w:ascii="Times New Roman" w:hAnsi="Times New Roman" w:cs="Times New Roman"/>
                <w:b w:val="0"/>
                <w:bCs w:val="0"/>
                <w:color w:val="000000"/>
                <w:sz w:val="24"/>
                <w:szCs w:val="24"/>
                <w:highlight w:val="none"/>
                <w:lang w:val="en-US" w:eastAsia="zh-CN"/>
              </w:rPr>
              <w:t>西北</w:t>
            </w:r>
            <w:r>
              <w:rPr>
                <w:rFonts w:hint="default" w:ascii="Times New Roman" w:hAnsi="Times New Roman" w:eastAsia="宋体" w:cs="Times New Roman"/>
                <w:b w:val="0"/>
                <w:bCs w:val="0"/>
                <w:color w:val="000000"/>
                <w:sz w:val="24"/>
                <w:szCs w:val="24"/>
                <w:highlight w:val="none"/>
                <w:lang w:val="en-US" w:eastAsia="zh-CN"/>
              </w:rPr>
              <w:t>侧</w:t>
            </w:r>
            <w:r>
              <w:rPr>
                <w:rFonts w:hint="default" w:ascii="Times New Roman" w:hAnsi="Times New Roman" w:cs="Times New Roman"/>
                <w:b w:val="0"/>
                <w:bCs w:val="0"/>
                <w:color w:val="000000"/>
                <w:sz w:val="24"/>
                <w:szCs w:val="24"/>
                <w:highlight w:val="none"/>
                <w:lang w:val="en-US" w:eastAsia="zh-CN"/>
              </w:rPr>
              <w:t>580</w:t>
            </w:r>
            <w:r>
              <w:rPr>
                <w:rFonts w:hint="default" w:ascii="Times New Roman" w:hAnsi="Times New Roman" w:eastAsia="宋体" w:cs="Times New Roman"/>
                <w:b w:val="0"/>
                <w:bCs w:val="0"/>
                <w:color w:val="000000"/>
                <w:sz w:val="24"/>
                <w:szCs w:val="24"/>
                <w:highlight w:val="none"/>
                <w:lang w:val="en-US" w:eastAsia="zh-CN"/>
              </w:rPr>
              <w:t>m的滨河社区。</w:t>
            </w:r>
            <w:r>
              <w:rPr>
                <w:rFonts w:hint="default" w:ascii="Times New Roman" w:hAnsi="Times New Roman" w:eastAsia="宋体" w:cs="Times New Roman"/>
                <w:color w:val="000000"/>
                <w:sz w:val="24"/>
                <w:szCs w:val="24"/>
                <w:highlight w:val="none"/>
              </w:rPr>
              <w:t>项目地理位置见附图1。</w:t>
            </w:r>
          </w:p>
          <w:p w14:paraId="3E3903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w:t>
            </w:r>
            <w:r>
              <w:rPr>
                <w:rFonts w:hint="default" w:ascii="Times New Roman" w:hAnsi="Times New Roman" w:eastAsia="宋体"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、公用工程</w:t>
            </w:r>
          </w:p>
          <w:p w14:paraId="10ED9B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1</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给</w:t>
            </w:r>
            <w:r>
              <w:rPr>
                <w:rFonts w:hint="default" w:ascii="Times New Roman" w:hAnsi="Times New Roman" w:eastAsia="宋体" w:cs="Times New Roman"/>
                <w:color w:val="000000"/>
                <w:sz w:val="24"/>
                <w:szCs w:val="24"/>
                <w:highlight w:val="none"/>
                <w:lang w:eastAsia="zh-CN"/>
              </w:rPr>
              <w:t>排</w:t>
            </w:r>
            <w:r>
              <w:rPr>
                <w:rFonts w:hint="default" w:ascii="Times New Roman" w:hAnsi="Times New Roman" w:eastAsia="宋体" w:cs="Times New Roman"/>
                <w:color w:val="000000"/>
                <w:sz w:val="24"/>
                <w:szCs w:val="24"/>
                <w:highlight w:val="none"/>
              </w:rPr>
              <w:t>水</w:t>
            </w:r>
          </w:p>
          <w:p w14:paraId="51CA7E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①</w:t>
            </w:r>
            <w:r>
              <w:rPr>
                <w:rFonts w:hint="default" w:ascii="Times New Roman" w:hAnsi="Times New Roman" w:eastAsia="宋体" w:cs="Times New Roman"/>
                <w:color w:val="000000"/>
                <w:sz w:val="24"/>
                <w:szCs w:val="24"/>
                <w:highlight w:val="none"/>
                <w:lang w:eastAsia="zh-CN"/>
              </w:rPr>
              <w:t>给水</w:t>
            </w:r>
          </w:p>
          <w:p w14:paraId="6993B2C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rPr>
            </w:pPr>
            <w:r>
              <w:rPr>
                <w:rFonts w:hint="default" w:ascii="Times New Roman" w:hAnsi="Times New Roman" w:cs="Times New Roman"/>
                <w:sz w:val="24"/>
              </w:rPr>
              <w:t>生活用排水：本项目用水由</w:t>
            </w:r>
            <w:r>
              <w:rPr>
                <w:rFonts w:hint="default" w:ascii="Times New Roman" w:hAnsi="Times New Roman" w:cs="Times New Roman"/>
                <w:sz w:val="24"/>
                <w:lang w:val="en-US" w:eastAsia="zh-CN"/>
              </w:rPr>
              <w:t>供水管网</w:t>
            </w:r>
            <w:r>
              <w:rPr>
                <w:rFonts w:hint="default" w:ascii="Times New Roman" w:hAnsi="Times New Roman" w:cs="Times New Roman"/>
                <w:sz w:val="24"/>
              </w:rPr>
              <w:t>供给，</w:t>
            </w:r>
            <w:r>
              <w:rPr>
                <w:rFonts w:hint="default" w:ascii="Times New Roman" w:hAnsi="Times New Roman" w:cs="Times New Roman"/>
                <w:bCs/>
                <w:sz w:val="24"/>
              </w:rPr>
              <w:t>项目设置劳动定员</w:t>
            </w:r>
            <w:r>
              <w:rPr>
                <w:rFonts w:hint="default" w:ascii="Times New Roman" w:hAnsi="Times New Roman" w:cs="Times New Roman"/>
                <w:bCs/>
                <w:sz w:val="24"/>
                <w:lang w:val="en-US" w:eastAsia="zh-CN"/>
              </w:rPr>
              <w:t>50</w:t>
            </w:r>
            <w:r>
              <w:rPr>
                <w:rFonts w:hint="default" w:ascii="Times New Roman" w:hAnsi="Times New Roman" w:cs="Times New Roman"/>
                <w:bCs/>
                <w:sz w:val="24"/>
              </w:rPr>
              <w:t>人，不设食堂</w:t>
            </w:r>
            <w:r>
              <w:rPr>
                <w:rFonts w:hint="default" w:ascii="Times New Roman" w:hAnsi="Times New Roman" w:cs="Times New Roman"/>
                <w:bCs/>
                <w:sz w:val="24"/>
                <w:lang w:eastAsia="zh-CN"/>
              </w:rPr>
              <w:t>，</w:t>
            </w:r>
            <w:r>
              <w:rPr>
                <w:rFonts w:hint="default" w:ascii="Times New Roman" w:hAnsi="Times New Roman" w:cs="Times New Roman"/>
                <w:bCs/>
                <w:sz w:val="24"/>
                <w:lang w:val="en-US" w:eastAsia="zh-CN"/>
              </w:rPr>
              <w:t>设置值班</w:t>
            </w:r>
            <w:r>
              <w:rPr>
                <w:rFonts w:hint="default" w:ascii="Times New Roman" w:hAnsi="Times New Roman" w:cs="Times New Roman"/>
                <w:bCs/>
                <w:sz w:val="24"/>
              </w:rPr>
              <w:t>宿舍，厕所为水冲厕所。生活用水</w:t>
            </w:r>
            <w:r>
              <w:rPr>
                <w:rFonts w:hint="default" w:ascii="Times New Roman" w:hAnsi="Times New Roman" w:cs="Times New Roman"/>
                <w:bCs/>
                <w:sz w:val="24"/>
                <w:lang w:val="en-US" w:eastAsia="zh-CN"/>
              </w:rPr>
              <w:t>根据《河北省用水定额》（DB13/T5450.1—2021）及企业实际情况，</w:t>
            </w:r>
            <w:r>
              <w:rPr>
                <w:rFonts w:hint="default" w:ascii="Times New Roman" w:hAnsi="Times New Roman" w:cs="Times New Roman"/>
                <w:bCs/>
                <w:sz w:val="24"/>
              </w:rPr>
              <w:t>按照30L/人·d计算，生活用水量为</w:t>
            </w:r>
            <w:r>
              <w:rPr>
                <w:rFonts w:hint="default" w:ascii="Times New Roman" w:hAnsi="Times New Roman" w:cs="Times New Roman"/>
                <w:bCs/>
                <w:sz w:val="24"/>
                <w:lang w:val="en-US" w:eastAsia="zh-CN"/>
              </w:rPr>
              <w:t>1.5</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bCs/>
                <w:sz w:val="24"/>
              </w:rPr>
              <w:t>/d（</w:t>
            </w:r>
            <w:r>
              <w:rPr>
                <w:rFonts w:hint="default" w:ascii="Times New Roman" w:hAnsi="Times New Roman" w:cs="Times New Roman"/>
                <w:bCs/>
                <w:sz w:val="24"/>
                <w:lang w:val="en-US" w:eastAsia="zh-CN"/>
              </w:rPr>
              <w:t>450</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bCs/>
                <w:sz w:val="24"/>
              </w:rPr>
              <w:t>，废水产生量为</w:t>
            </w:r>
            <w:r>
              <w:rPr>
                <w:rFonts w:hint="default" w:ascii="Times New Roman" w:hAnsi="Times New Roman" w:cs="Times New Roman"/>
                <w:bCs/>
                <w:sz w:val="24"/>
                <w:lang w:val="en-US" w:eastAsia="zh-CN"/>
              </w:rPr>
              <w:t>1.2</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bCs/>
                <w:sz w:val="24"/>
              </w:rPr>
              <w:t>/d（</w:t>
            </w:r>
            <w:r>
              <w:rPr>
                <w:rFonts w:hint="default" w:ascii="Times New Roman" w:hAnsi="Times New Roman" w:cs="Times New Roman"/>
                <w:bCs/>
                <w:sz w:val="24"/>
                <w:lang w:val="en-US" w:eastAsia="zh-CN"/>
              </w:rPr>
              <w:t>360</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bCs/>
                <w:sz w:val="24"/>
              </w:rPr>
              <w:t>，生活污水排入</w:t>
            </w:r>
            <w:r>
              <w:rPr>
                <w:rFonts w:hint="default" w:ascii="Times New Roman" w:hAnsi="Times New Roman" w:cs="Times New Roman"/>
                <w:bCs/>
                <w:sz w:val="24"/>
                <w:lang w:val="en-US" w:eastAsia="zh-CN"/>
              </w:rPr>
              <w:t>园区污水管网</w:t>
            </w:r>
            <w:r>
              <w:rPr>
                <w:rFonts w:hint="default" w:ascii="Times New Roman" w:hAnsi="Times New Roman" w:cs="Times New Roman"/>
                <w:bCs/>
                <w:sz w:val="24"/>
              </w:rPr>
              <w:t>。</w:t>
            </w:r>
          </w:p>
          <w:p w14:paraId="6750FC0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sz w:val="24"/>
              </w:rPr>
            </w:pPr>
            <w:r>
              <w:rPr>
                <w:rFonts w:hint="default" w:ascii="Times New Roman" w:hAnsi="Times New Roman" w:cs="Times New Roman"/>
                <w:sz w:val="24"/>
              </w:rPr>
              <w:t>生产用排水：</w:t>
            </w:r>
          </w:p>
          <w:p w14:paraId="2ED55023">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bCs/>
                <w:sz w:val="24"/>
                <w:lang w:eastAsia="zh-CN"/>
              </w:rPr>
            </w:pPr>
            <w:r>
              <w:rPr>
                <w:rFonts w:hint="default" w:ascii="Times New Roman" w:hAnsi="Times New Roman" w:cs="Times New Roman"/>
                <w:bCs/>
                <w:sz w:val="24"/>
              </w:rPr>
              <w:t>A、设备冲洗</w:t>
            </w:r>
            <w:r>
              <w:rPr>
                <w:rFonts w:hint="default" w:ascii="Times New Roman" w:hAnsi="Times New Roman" w:cs="Times New Roman"/>
                <w:bCs/>
                <w:sz w:val="24"/>
                <w:lang w:eastAsia="zh-CN"/>
              </w:rPr>
              <w:t>：</w:t>
            </w:r>
          </w:p>
          <w:p w14:paraId="1CE0850B">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sz w:val="24"/>
              </w:rPr>
            </w:pPr>
            <w:r>
              <w:rPr>
                <w:rFonts w:hint="default" w:ascii="Times New Roman" w:hAnsi="Times New Roman" w:cs="Times New Roman"/>
                <w:bCs/>
                <w:sz w:val="24"/>
              </w:rPr>
              <w:t>本项目在更换原料品种时需对生产设备</w:t>
            </w:r>
            <w:r>
              <w:rPr>
                <w:rFonts w:hint="default" w:ascii="Times New Roman" w:hAnsi="Times New Roman" w:cs="Times New Roman"/>
                <w:bCs/>
                <w:sz w:val="24"/>
                <w:lang w:val="en-US" w:eastAsia="zh-CN"/>
              </w:rPr>
              <w:t>滚筒式干燥机</w:t>
            </w:r>
            <w:r>
              <w:rPr>
                <w:rFonts w:hint="default" w:ascii="Times New Roman" w:hAnsi="Times New Roman" w:cs="Times New Roman"/>
                <w:bCs/>
                <w:sz w:val="24"/>
              </w:rPr>
              <w:t>进行冲洗，根据企业提供资料，项目每周更换</w:t>
            </w:r>
            <w:r>
              <w:rPr>
                <w:rFonts w:hint="default" w:ascii="Times New Roman" w:hAnsi="Times New Roman" w:cs="Times New Roman"/>
                <w:bCs/>
                <w:sz w:val="24"/>
                <w:lang w:val="en-US" w:eastAsia="zh-CN"/>
              </w:rPr>
              <w:t>一</w:t>
            </w:r>
            <w:r>
              <w:rPr>
                <w:rFonts w:hint="default" w:ascii="Times New Roman" w:hAnsi="Times New Roman" w:cs="Times New Roman"/>
                <w:bCs/>
                <w:sz w:val="24"/>
              </w:rPr>
              <w:t>次原料品种，每次冲洗设备用水量为4</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bCs/>
                <w:sz w:val="24"/>
              </w:rPr>
              <w:t>，则设备冲洗用水量为</w:t>
            </w:r>
            <w:r>
              <w:rPr>
                <w:rFonts w:hint="default" w:ascii="Times New Roman" w:hAnsi="Times New Roman" w:cs="Times New Roman"/>
                <w:bCs/>
                <w:sz w:val="24"/>
                <w:lang w:val="en-US" w:eastAsia="zh-CN"/>
              </w:rPr>
              <w:t>0.57</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bCs/>
                <w:sz w:val="24"/>
              </w:rPr>
              <w:t>/d（</w:t>
            </w:r>
            <w:r>
              <w:rPr>
                <w:rFonts w:hint="default" w:ascii="Times New Roman" w:hAnsi="Times New Roman" w:cs="Times New Roman"/>
                <w:bCs/>
                <w:sz w:val="24"/>
                <w:lang w:val="en-US" w:eastAsia="zh-CN"/>
              </w:rPr>
              <w:t>171</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bCs/>
                <w:sz w:val="24"/>
              </w:rPr>
              <w:t>。废水产生量按用水量的80%计算，则废水产生量为0.</w:t>
            </w:r>
            <w:r>
              <w:rPr>
                <w:rFonts w:hint="default" w:ascii="Times New Roman" w:hAnsi="Times New Roman" w:cs="Times New Roman"/>
                <w:bCs/>
                <w:sz w:val="24"/>
                <w:lang w:val="en-US" w:eastAsia="zh-CN"/>
              </w:rPr>
              <w:t>46</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bCs/>
                <w:sz w:val="24"/>
              </w:rPr>
              <w:t>/d（</w:t>
            </w:r>
            <w:r>
              <w:rPr>
                <w:rFonts w:hint="default" w:ascii="Times New Roman" w:hAnsi="Times New Roman" w:cs="Times New Roman"/>
                <w:bCs/>
                <w:sz w:val="24"/>
                <w:lang w:val="en-US" w:eastAsia="zh-CN"/>
              </w:rPr>
              <w:t>136.8</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bCs/>
                <w:sz w:val="24"/>
              </w:rPr>
              <w:t>，经污水收集池由泵打入厂区污水处理站处理。</w:t>
            </w:r>
          </w:p>
          <w:p w14:paraId="1C24901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bCs/>
                <w:sz w:val="24"/>
                <w:lang w:eastAsia="zh-CN"/>
              </w:rPr>
            </w:pPr>
            <w:r>
              <w:rPr>
                <w:rFonts w:hint="default" w:ascii="Times New Roman" w:hAnsi="Times New Roman" w:cs="Times New Roman"/>
                <w:bCs/>
                <w:sz w:val="24"/>
              </w:rPr>
              <w:t>B、车间</w:t>
            </w:r>
            <w:r>
              <w:rPr>
                <w:rFonts w:hint="default" w:ascii="Times New Roman" w:hAnsi="Times New Roman" w:cs="Times New Roman"/>
                <w:bCs/>
                <w:sz w:val="24"/>
                <w:lang w:eastAsia="zh-CN"/>
              </w:rPr>
              <w:t>、</w:t>
            </w:r>
            <w:r>
              <w:rPr>
                <w:rFonts w:hint="default" w:ascii="Times New Roman" w:hAnsi="Times New Roman" w:cs="Times New Roman"/>
                <w:bCs/>
                <w:sz w:val="24"/>
                <w:lang w:val="en-US" w:eastAsia="zh-CN"/>
              </w:rPr>
              <w:t>厂区</w:t>
            </w:r>
            <w:r>
              <w:rPr>
                <w:rFonts w:hint="default" w:ascii="Times New Roman" w:hAnsi="Times New Roman" w:cs="Times New Roman"/>
                <w:bCs/>
                <w:sz w:val="24"/>
              </w:rPr>
              <w:t>地面</w:t>
            </w:r>
            <w:r>
              <w:rPr>
                <w:rFonts w:hint="default" w:ascii="Times New Roman" w:hAnsi="Times New Roman" w:cs="Times New Roman"/>
                <w:bCs/>
                <w:sz w:val="24"/>
                <w:lang w:val="en-US" w:eastAsia="zh-CN"/>
              </w:rPr>
              <w:t>冲洗</w:t>
            </w:r>
            <w:r>
              <w:rPr>
                <w:rFonts w:hint="default" w:ascii="Times New Roman" w:hAnsi="Times New Roman" w:cs="Times New Roman"/>
                <w:bCs/>
                <w:sz w:val="24"/>
                <w:lang w:eastAsia="zh-CN"/>
              </w:rPr>
              <w:t>：</w:t>
            </w:r>
          </w:p>
          <w:p w14:paraId="569BEEE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rPr>
              <w:t>本项目车间每</w:t>
            </w:r>
            <w:r>
              <w:rPr>
                <w:rFonts w:hint="default" w:ascii="Times New Roman" w:hAnsi="Times New Roman" w:cs="Times New Roman"/>
                <w:bCs/>
                <w:color w:val="auto"/>
                <w:sz w:val="24"/>
                <w:lang w:val="en-US" w:eastAsia="zh-CN"/>
              </w:rPr>
              <w:t>天</w:t>
            </w:r>
            <w:r>
              <w:rPr>
                <w:rFonts w:hint="default" w:ascii="Times New Roman" w:hAnsi="Times New Roman" w:cs="Times New Roman"/>
                <w:bCs/>
                <w:color w:val="auto"/>
                <w:sz w:val="24"/>
              </w:rPr>
              <w:t>需对地面</w:t>
            </w:r>
            <w:r>
              <w:rPr>
                <w:rFonts w:hint="default" w:ascii="Times New Roman" w:hAnsi="Times New Roman" w:cs="Times New Roman"/>
                <w:bCs/>
                <w:color w:val="auto"/>
                <w:sz w:val="24"/>
                <w:lang w:val="en-US" w:eastAsia="zh-CN"/>
              </w:rPr>
              <w:t>擦</w:t>
            </w:r>
            <w:r>
              <w:rPr>
                <w:rFonts w:hint="default" w:ascii="Times New Roman" w:hAnsi="Times New Roman" w:cs="Times New Roman"/>
                <w:bCs/>
                <w:color w:val="auto"/>
                <w:sz w:val="24"/>
              </w:rPr>
              <w:t>洗一次，</w:t>
            </w:r>
            <w:r>
              <w:rPr>
                <w:rFonts w:hint="default" w:ascii="Times New Roman" w:hAnsi="Times New Roman" w:cs="Times New Roman"/>
                <w:sz w:val="24"/>
                <w:lang w:val="en-US" w:eastAsia="zh-CN"/>
              </w:rPr>
              <w:t>车间</w:t>
            </w:r>
            <w:r>
              <w:rPr>
                <w:rFonts w:hint="default" w:ascii="Times New Roman" w:hAnsi="Times New Roman" w:cs="Times New Roman"/>
                <w:sz w:val="24"/>
              </w:rPr>
              <w:t>面积</w:t>
            </w:r>
            <w:r>
              <w:rPr>
                <w:rFonts w:hint="default" w:ascii="Times New Roman" w:hAnsi="Times New Roman" w:cs="Times New Roman"/>
                <w:sz w:val="24"/>
                <w:lang w:eastAsia="zh-CN"/>
              </w:rPr>
              <w:t>约为</w:t>
            </w:r>
            <w:r>
              <w:rPr>
                <w:rFonts w:hint="default" w:ascii="Times New Roman" w:hAnsi="Times New Roman" w:cs="Times New Roman"/>
                <w:sz w:val="24"/>
                <w:lang w:val="en-US" w:eastAsia="zh-CN"/>
              </w:rPr>
              <w:t>2万</w:t>
            </w:r>
            <w:r>
              <w:rPr>
                <w:rFonts w:hint="default" w:ascii="Times New Roman" w:hAnsi="Times New Roman" w:cs="Times New Roman"/>
                <w:sz w:val="24"/>
              </w:rPr>
              <w:t>m</w:t>
            </w:r>
            <w:r>
              <w:rPr>
                <w:rFonts w:hint="default" w:ascii="Times New Roman" w:hAnsi="Times New Roman" w:cs="Times New Roman"/>
                <w:sz w:val="24"/>
                <w:vertAlign w:val="superscript"/>
              </w:rPr>
              <w:t>2</w:t>
            </w:r>
            <w:r>
              <w:rPr>
                <w:rFonts w:hint="default" w:ascii="Times New Roman" w:hAnsi="Times New Roman" w:cs="Times New Roman"/>
                <w:sz w:val="24"/>
                <w:vertAlign w:val="baseline"/>
                <w:lang w:eastAsia="zh-CN"/>
              </w:rPr>
              <w:t>，</w:t>
            </w:r>
            <w:r>
              <w:rPr>
                <w:rFonts w:hint="default" w:ascii="Times New Roman" w:hAnsi="Times New Roman" w:cs="Times New Roman"/>
                <w:color w:val="auto"/>
                <w:sz w:val="24"/>
              </w:rPr>
              <w:t>冲洗用水量按</w:t>
            </w:r>
            <w:r>
              <w:rPr>
                <w:rFonts w:hint="default" w:ascii="Times New Roman" w:hAnsi="Times New Roman" w:cs="Times New Roman"/>
                <w:color w:val="auto"/>
                <w:sz w:val="24"/>
                <w:lang w:val="en-US" w:eastAsia="zh-CN"/>
              </w:rPr>
              <w:t>1</w:t>
            </w:r>
            <w:r>
              <w:rPr>
                <w:rFonts w:hint="default" w:ascii="Times New Roman" w:hAnsi="Times New Roman" w:cs="Times New Roman"/>
                <w:color w:val="auto"/>
                <w:sz w:val="24"/>
              </w:rPr>
              <w:t>L/m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·次计算，则地面</w:t>
            </w:r>
            <w:r>
              <w:rPr>
                <w:rFonts w:hint="default" w:ascii="Times New Roman" w:hAnsi="Times New Roman" w:cs="Times New Roman"/>
                <w:color w:val="auto"/>
                <w:sz w:val="24"/>
                <w:lang w:val="en-US" w:eastAsia="zh-CN"/>
              </w:rPr>
              <w:t>擦</w:t>
            </w:r>
            <w:r>
              <w:rPr>
                <w:rFonts w:hint="default" w:ascii="Times New Roman" w:hAnsi="Times New Roman" w:cs="Times New Roman"/>
                <w:color w:val="auto"/>
                <w:sz w:val="24"/>
              </w:rPr>
              <w:t>洗用水量为</w:t>
            </w:r>
            <w:r>
              <w:rPr>
                <w:rFonts w:hint="default" w:ascii="Times New Roman" w:hAnsi="Times New Roman" w:cs="Times New Roman"/>
                <w:color w:val="auto"/>
                <w:sz w:val="24"/>
                <w:lang w:val="en-US" w:eastAsia="zh-CN"/>
              </w:rPr>
              <w:t>20</w:t>
            </w:r>
            <w:r>
              <w:rPr>
                <w:rFonts w:hint="default" w:ascii="Times New Roman" w:hAnsi="Times New Roman" w:cs="Times New Roman"/>
                <w:color w:val="auto"/>
                <w:sz w:val="24"/>
              </w:rPr>
              <w:t>m³/d</w:t>
            </w:r>
            <w:r>
              <w:rPr>
                <w:rFonts w:hint="default" w:ascii="Times New Roman" w:hAnsi="Times New Roman" w:cs="Times New Roman"/>
                <w:bCs/>
                <w:color w:val="auto"/>
                <w:sz w:val="24"/>
              </w:rPr>
              <w:t>（</w:t>
            </w:r>
            <w:r>
              <w:rPr>
                <w:rFonts w:hint="default" w:ascii="Times New Roman" w:hAnsi="Times New Roman" w:cs="Times New Roman"/>
                <w:bCs/>
                <w:color w:val="auto"/>
                <w:sz w:val="24"/>
                <w:lang w:val="en-US" w:eastAsia="zh-CN"/>
              </w:rPr>
              <w:t>6000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/a）</w:t>
            </w:r>
            <w:r>
              <w:rPr>
                <w:rFonts w:hint="default" w:ascii="Times New Roman" w:hAnsi="Times New Roman" w:cs="Times New Roman"/>
                <w:bCs/>
                <w:color w:val="auto"/>
                <w:sz w:val="24"/>
              </w:rPr>
              <w:t>。</w:t>
            </w:r>
            <w:r>
              <w:rPr>
                <w:rFonts w:hint="default" w:ascii="Times New Roman" w:hAnsi="Times New Roman" w:cs="Times New Roman"/>
                <w:bCs/>
                <w:color w:val="auto"/>
                <w:sz w:val="24"/>
                <w:lang w:val="en-US" w:eastAsia="zh-CN"/>
              </w:rPr>
              <w:t>车间擦洗采用污水处理站处理后的中水，全部蒸发消耗，无废水排放。</w:t>
            </w:r>
          </w:p>
          <w:p w14:paraId="5492CACF">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bCs/>
                <w:sz w:val="24"/>
                <w:lang w:eastAsia="zh-CN"/>
              </w:rPr>
            </w:pPr>
            <w:r>
              <w:rPr>
                <w:rFonts w:hint="default" w:ascii="Times New Roman" w:hAnsi="Times New Roman" w:cs="Times New Roman"/>
                <w:bCs/>
                <w:sz w:val="24"/>
                <w:lang w:val="en-US" w:eastAsia="zh-CN"/>
              </w:rPr>
              <w:t>C</w:t>
            </w:r>
            <w:r>
              <w:rPr>
                <w:rFonts w:hint="default" w:ascii="Times New Roman" w:hAnsi="Times New Roman" w:cs="Times New Roman"/>
                <w:bCs/>
                <w:sz w:val="24"/>
              </w:rPr>
              <w:t>、洗车平台</w:t>
            </w:r>
            <w:r>
              <w:rPr>
                <w:rFonts w:hint="default" w:ascii="Times New Roman" w:hAnsi="Times New Roman" w:cs="Times New Roman"/>
                <w:bCs/>
                <w:sz w:val="24"/>
                <w:lang w:eastAsia="zh-CN"/>
              </w:rPr>
              <w:t>：</w:t>
            </w:r>
          </w:p>
          <w:p w14:paraId="366E670B">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sz w:val="24"/>
              </w:rPr>
            </w:pPr>
            <w:r>
              <w:rPr>
                <w:rFonts w:hint="default" w:ascii="Times New Roman" w:hAnsi="Times New Roman" w:cs="Times New Roman"/>
                <w:bCs/>
                <w:sz w:val="24"/>
              </w:rPr>
              <w:t>本项目厂区出入口处设置洗车平台，</w:t>
            </w:r>
            <w:r>
              <w:rPr>
                <w:rFonts w:hint="default" w:ascii="Times New Roman" w:hAnsi="Times New Roman" w:cs="Times New Roman"/>
                <w:sz w:val="24"/>
              </w:rPr>
              <w:t>洗车用水量为</w:t>
            </w:r>
            <w:r>
              <w:rPr>
                <w:rFonts w:hint="default" w:ascii="Times New Roman" w:hAnsi="Times New Roman" w:cs="Times New Roman"/>
                <w:sz w:val="24"/>
                <w:lang w:val="en-US" w:eastAsia="zh-CN"/>
              </w:rPr>
              <w:t>2</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sz w:val="24"/>
              </w:rPr>
              <w:t>/d</w:t>
            </w:r>
            <w:r>
              <w:rPr>
                <w:rFonts w:hint="default" w:ascii="Times New Roman" w:hAnsi="Times New Roman" w:cs="Times New Roman"/>
              </w:rPr>
              <w:t>（</w:t>
            </w:r>
            <w:r>
              <w:rPr>
                <w:rFonts w:hint="default" w:ascii="Times New Roman" w:hAnsi="Times New Roman" w:cs="Times New Roman"/>
                <w:sz w:val="24"/>
                <w:lang w:val="en-US" w:eastAsia="zh-CN"/>
              </w:rPr>
              <w:t>6</w:t>
            </w:r>
            <w:r>
              <w:rPr>
                <w:rFonts w:hint="default" w:ascii="Times New Roman" w:hAnsi="Times New Roman" w:cs="Times New Roman"/>
                <w:sz w:val="24"/>
              </w:rPr>
              <w:t>00m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rPr>
              <w:t>）</w:t>
            </w:r>
            <w:r>
              <w:rPr>
                <w:rFonts w:hint="default" w:ascii="Times New Roman" w:hAnsi="Times New Roman" w:cs="Times New Roman"/>
                <w:sz w:val="24"/>
              </w:rPr>
              <w:t>，循环水量为4m</w:t>
            </w:r>
            <w:r>
              <w:rPr>
                <w:rFonts w:hint="default" w:ascii="Times New Roman" w:hAnsi="Times New Roman" w:cs="Times New Roman"/>
                <w:sz w:val="24"/>
                <w:vertAlign w:val="superscript"/>
              </w:rPr>
              <w:t>3</w:t>
            </w:r>
            <w:r>
              <w:rPr>
                <w:rFonts w:hint="default" w:ascii="Times New Roman" w:hAnsi="Times New Roman" w:cs="Times New Roman"/>
                <w:sz w:val="24"/>
              </w:rPr>
              <w:t>/d</w:t>
            </w:r>
            <w:r>
              <w:rPr>
                <w:rFonts w:hint="default" w:ascii="Times New Roman" w:hAnsi="Times New Roman" w:cs="Times New Roman"/>
              </w:rPr>
              <w:t>（</w:t>
            </w:r>
            <w:r>
              <w:rPr>
                <w:rFonts w:hint="default" w:ascii="Times New Roman" w:hAnsi="Times New Roman" w:cs="Times New Roman"/>
                <w:sz w:val="24"/>
                <w:lang w:val="en-US" w:eastAsia="zh-CN"/>
              </w:rPr>
              <w:t>12</w:t>
            </w:r>
            <w:r>
              <w:rPr>
                <w:rFonts w:hint="default" w:ascii="Times New Roman" w:hAnsi="Times New Roman" w:cs="Times New Roman"/>
                <w:sz w:val="24"/>
              </w:rPr>
              <w:t>00m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rPr>
              <w:t>）</w:t>
            </w:r>
            <w:r>
              <w:rPr>
                <w:rFonts w:hint="default" w:ascii="Times New Roman" w:hAnsi="Times New Roman" w:cs="Times New Roman"/>
                <w:sz w:val="24"/>
              </w:rPr>
              <w:t>，定期添加新水，新水添加量为</w:t>
            </w:r>
            <w:r>
              <w:rPr>
                <w:rFonts w:hint="default" w:ascii="Times New Roman" w:hAnsi="Times New Roman" w:cs="Times New Roman"/>
                <w:sz w:val="24"/>
                <w:lang w:val="en-US" w:eastAsia="zh-CN"/>
              </w:rPr>
              <w:t>1</w:t>
            </w:r>
            <w:r>
              <w:rPr>
                <w:rFonts w:hint="default" w:ascii="Times New Roman" w:hAnsi="Times New Roman" w:cs="Times New Roman"/>
                <w:sz w:val="24"/>
              </w:rPr>
              <w:t>m</w:t>
            </w:r>
            <w:r>
              <w:rPr>
                <w:rFonts w:hint="default" w:ascii="Times New Roman" w:hAnsi="Times New Roman" w:cs="Times New Roman"/>
                <w:sz w:val="24"/>
                <w:vertAlign w:val="superscript"/>
              </w:rPr>
              <w:t>3</w:t>
            </w:r>
            <w:r>
              <w:rPr>
                <w:rFonts w:hint="default" w:ascii="Times New Roman" w:hAnsi="Times New Roman" w:cs="Times New Roman"/>
                <w:sz w:val="24"/>
              </w:rPr>
              <w:t>/d</w:t>
            </w:r>
            <w:r>
              <w:rPr>
                <w:rFonts w:hint="default" w:ascii="Times New Roman" w:hAnsi="Times New Roman" w:cs="Times New Roman"/>
              </w:rPr>
              <w:t>（</w:t>
            </w:r>
            <w:r>
              <w:rPr>
                <w:rFonts w:hint="default" w:ascii="Times New Roman" w:hAnsi="Times New Roman" w:cs="Times New Roman"/>
                <w:sz w:val="24"/>
                <w:lang w:val="en-US" w:eastAsia="zh-CN"/>
              </w:rPr>
              <w:t>3</w:t>
            </w:r>
            <w:r>
              <w:rPr>
                <w:rFonts w:hint="default" w:ascii="Times New Roman" w:hAnsi="Times New Roman" w:cs="Times New Roman"/>
                <w:sz w:val="24"/>
              </w:rPr>
              <w:t>00m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rPr>
              <w:t>）。</w:t>
            </w:r>
          </w:p>
          <w:p w14:paraId="26ED75E6">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sz w:val="24"/>
                <w:lang w:val="en-US" w:eastAsia="zh-CN"/>
              </w:rPr>
            </w:pPr>
            <w:r>
              <w:rPr>
                <w:rFonts w:hint="default" w:ascii="Times New Roman" w:hAnsi="Times New Roman" w:cs="Times New Roman"/>
                <w:bCs/>
                <w:sz w:val="24"/>
                <w:lang w:val="en-US" w:eastAsia="zh-CN"/>
              </w:rPr>
              <w:t>D、生物除臭塔：</w:t>
            </w:r>
          </w:p>
          <w:p w14:paraId="67AF9D49">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sz w:val="24"/>
              </w:rPr>
            </w:pPr>
            <w:r>
              <w:rPr>
                <w:rFonts w:hint="default" w:ascii="Times New Roman" w:hAnsi="Times New Roman" w:cs="Times New Roman"/>
                <w:bCs/>
                <w:sz w:val="24"/>
                <w:lang w:val="en-US" w:eastAsia="zh-CN"/>
              </w:rPr>
              <w:t>生物除臭塔采用生物酶型除臭剂，喷淋液为水，用水循环使用不外排，定期补充新鲜水。补充量为0.1m³/d</w:t>
            </w:r>
            <w:r>
              <w:rPr>
                <w:rFonts w:hint="default" w:ascii="Times New Roman" w:hAnsi="Times New Roman" w:cs="Times New Roman"/>
                <w:sz w:val="24"/>
              </w:rPr>
              <w:t>（</w:t>
            </w:r>
            <w:r>
              <w:rPr>
                <w:rFonts w:hint="default" w:ascii="Times New Roman" w:hAnsi="Times New Roman" w:cs="Times New Roman"/>
                <w:sz w:val="24"/>
                <w:lang w:val="en-US" w:eastAsia="zh-CN"/>
              </w:rPr>
              <w:t>3</w:t>
            </w:r>
            <w:r>
              <w:rPr>
                <w:rFonts w:hint="default" w:ascii="Times New Roman" w:hAnsi="Times New Roman" w:cs="Times New Roman"/>
                <w:sz w:val="24"/>
              </w:rPr>
              <w:t>0m</w:t>
            </w:r>
            <w:r>
              <w:rPr>
                <w:rFonts w:hint="default" w:ascii="Times New Roman" w:hAnsi="Times New Roman" w:cs="Times New Roman"/>
                <w:sz w:val="24"/>
                <w:vertAlign w:val="superscript"/>
              </w:rPr>
              <w:t>3</w:t>
            </w:r>
            <w:r>
              <w:rPr>
                <w:rFonts w:hint="default" w:ascii="Times New Roman" w:hAnsi="Times New Roman" w:cs="Times New Roman"/>
                <w:sz w:val="24"/>
              </w:rPr>
              <w:t>/a）</w:t>
            </w:r>
            <w:r>
              <w:rPr>
                <w:rFonts w:hint="default" w:ascii="Times New Roman" w:hAnsi="Times New Roman" w:cs="Times New Roman"/>
                <w:bCs/>
                <w:sz w:val="24"/>
                <w:lang w:val="en-US" w:eastAsia="zh-CN"/>
              </w:rPr>
              <w:t>。</w:t>
            </w:r>
          </w:p>
          <w:p w14:paraId="1A2C4A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E、喷淋用水：</w:t>
            </w:r>
          </w:p>
          <w:p w14:paraId="1AE708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项目</w:t>
            </w:r>
            <w:r>
              <w:rPr>
                <w:rFonts w:hint="default" w:ascii="Times New Roman" w:hAnsi="Times New Roman" w:eastAsia="宋体" w:cs="Times New Roman"/>
                <w:color w:val="000000"/>
                <w:sz w:val="24"/>
                <w:szCs w:val="24"/>
                <w:highlight w:val="none"/>
                <w:lang w:eastAsia="zh-CN"/>
              </w:rPr>
              <w:t>生产过程中</w:t>
            </w:r>
            <w:r>
              <w:rPr>
                <w:rFonts w:hint="default" w:ascii="Times New Roman" w:hAnsi="Times New Roman" w:eastAsia="宋体" w:cs="Times New Roman"/>
                <w:color w:val="000000"/>
                <w:sz w:val="24"/>
                <w:szCs w:val="24"/>
                <w:highlight w:val="none"/>
              </w:rPr>
              <w:t>原料装卸过程会产生</w:t>
            </w:r>
            <w:r>
              <w:rPr>
                <w:rFonts w:hint="default" w:ascii="Times New Roman" w:hAnsi="Times New Roman" w:eastAsia="宋体" w:cs="Times New Roman"/>
                <w:color w:val="000000"/>
                <w:sz w:val="24"/>
                <w:szCs w:val="24"/>
                <w:highlight w:val="none"/>
                <w:lang w:eastAsia="zh-CN"/>
              </w:rPr>
              <w:t>少量</w:t>
            </w:r>
            <w:r>
              <w:rPr>
                <w:rFonts w:hint="default" w:ascii="Times New Roman" w:hAnsi="Times New Roman" w:eastAsia="宋体" w:cs="Times New Roman"/>
                <w:color w:val="000000"/>
                <w:sz w:val="24"/>
                <w:szCs w:val="24"/>
                <w:highlight w:val="none"/>
              </w:rPr>
              <w:t>粉尘，</w:t>
            </w:r>
            <w:r>
              <w:rPr>
                <w:rFonts w:hint="default" w:ascii="Times New Roman" w:hAnsi="Times New Roman" w:eastAsia="宋体" w:cs="Times New Roman"/>
                <w:color w:val="000000"/>
                <w:sz w:val="24"/>
                <w:szCs w:val="24"/>
                <w:highlight w:val="none"/>
                <w:lang w:val="en-US" w:eastAsia="zh-CN"/>
              </w:rPr>
              <w:t>项目设置雾炮</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喷淋用水量为</w:t>
            </w:r>
            <w:r>
              <w:rPr>
                <w:rFonts w:hint="default" w:ascii="Times New Roman" w:hAnsi="Times New Roman" w:eastAsia="宋体" w:cs="Times New Roman"/>
                <w:color w:val="000000"/>
                <w:sz w:val="24"/>
                <w:szCs w:val="24"/>
                <w:highlight w:val="none"/>
                <w:lang w:val="en-US" w:eastAsia="zh-CN"/>
              </w:rPr>
              <w:t>9.38</w:t>
            </w:r>
            <w:r>
              <w:rPr>
                <w:rFonts w:hint="default" w:ascii="Times New Roman" w:hAnsi="Times New Roman" w:eastAsia="宋体" w:cs="Times New Roman"/>
                <w:color w:val="000000"/>
                <w:sz w:val="24"/>
                <w:szCs w:val="24"/>
                <w:highlight w:val="none"/>
              </w:rPr>
              <w:t>m</w:t>
            </w:r>
            <w:r>
              <w:rPr>
                <w:rFonts w:hint="default" w:ascii="Times New Roman" w:hAnsi="Times New Roman" w:eastAsia="宋体" w:cs="Times New Roman"/>
                <w:color w:val="000000"/>
                <w:sz w:val="24"/>
                <w:szCs w:val="24"/>
                <w:highlight w:val="none"/>
                <w:vertAlign w:val="superscript"/>
              </w:rPr>
              <w:t>3</w:t>
            </w:r>
            <w:r>
              <w:rPr>
                <w:rFonts w:hint="default" w:ascii="Times New Roman" w:hAnsi="Times New Roman" w:eastAsia="宋体" w:cs="Times New Roman"/>
                <w:color w:val="000000"/>
                <w:sz w:val="24"/>
                <w:szCs w:val="24"/>
                <w:highlight w:val="none"/>
              </w:rPr>
              <w:t>/d</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2814</w:t>
            </w:r>
            <w:r>
              <w:rPr>
                <w:rFonts w:hint="default" w:ascii="Times New Roman" w:hAnsi="Times New Roman" w:cs="Times New Roman"/>
                <w:sz w:val="24"/>
                <w:highlight w:val="none"/>
              </w:rPr>
              <w:t>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/a）</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喷淋用水</w:t>
            </w:r>
            <w:r>
              <w:rPr>
                <w:rFonts w:hint="default" w:ascii="Times New Roman" w:hAnsi="Times New Roman" w:cs="Times New Roman"/>
                <w:bCs/>
                <w:color w:val="auto"/>
                <w:sz w:val="24"/>
                <w:lang w:val="en-US" w:eastAsia="zh-CN"/>
              </w:rPr>
              <w:t>采用污水处理站处理后的中水，全部</w:t>
            </w:r>
            <w:r>
              <w:rPr>
                <w:rFonts w:hint="default" w:ascii="Times New Roman" w:hAnsi="Times New Roman" w:cs="Times New Roman"/>
                <w:sz w:val="24"/>
                <w:highlight w:val="none"/>
                <w:lang w:val="en-US" w:eastAsia="zh-CN"/>
              </w:rPr>
              <w:t>进入原料，无废水产生。</w:t>
            </w:r>
          </w:p>
          <w:p w14:paraId="774F48B2">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F</w:t>
            </w:r>
            <w:r>
              <w:rPr>
                <w:rFonts w:hint="default" w:ascii="Times New Roman" w:hAnsi="Times New Roman" w:eastAsia="宋体" w:cs="Times New Roman"/>
                <w:color w:val="000000"/>
                <w:sz w:val="24"/>
                <w:szCs w:val="24"/>
                <w:highlight w:val="none"/>
                <w:lang w:val="en-US" w:eastAsia="zh-CN"/>
              </w:rPr>
              <w:t>、制砖用水：项目制砖过程中需加水，加水量约占3%，则制砖过程用水量为21.25m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/d</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6375</w:t>
            </w:r>
            <w:r>
              <w:rPr>
                <w:rFonts w:hint="default" w:ascii="Times New Roman" w:hAnsi="Times New Roman" w:cs="Times New Roman"/>
                <w:sz w:val="24"/>
                <w:highlight w:val="none"/>
              </w:rPr>
              <w:t>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/a）</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制砖用水进入原料，无废水产生。</w:t>
            </w:r>
          </w:p>
          <w:p w14:paraId="552A7475">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s="Times New Roman"/>
                <w:sz w:val="24"/>
                <w:lang w:val="en-US" w:eastAsia="zh-CN"/>
              </w:rPr>
            </w:pPr>
            <w:r>
              <w:rPr>
                <w:rFonts w:hint="default" w:ascii="Times New Roman" w:hAnsi="Times New Roman" w:cs="Times New Roman"/>
                <w:sz w:val="24"/>
                <w:highlight w:val="none"/>
                <w:lang w:val="en-US" w:eastAsia="zh-CN"/>
              </w:rPr>
              <w:t>G、渗滤液：</w:t>
            </w:r>
            <w:r>
              <w:rPr>
                <w:rFonts w:hint="default" w:ascii="Times New Roman" w:hAnsi="Times New Roman" w:eastAsia="宋体" w:cs="Times New Roman"/>
                <w:color w:val="000000"/>
                <w:sz w:val="24"/>
                <w:szCs w:val="24"/>
                <w:highlight w:val="none"/>
                <w:lang w:val="en-US" w:eastAsia="zh-CN"/>
              </w:rPr>
              <w:t>项目原料污泥、粪污等原料入厂时含水率较高，在发酵初期会产生渗滤液，参照“城市生活垃圾MBT堆肥单元”相关论文中实验数据，吨垃圾渗滤液日均产生量0.05m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，污泥、粪污等总用量为173500t，则渗滤液产生量为28.92m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/d</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8675</w:t>
            </w:r>
            <w:r>
              <w:rPr>
                <w:rFonts w:hint="default" w:ascii="Times New Roman" w:hAnsi="Times New Roman" w:cs="Times New Roman"/>
                <w:sz w:val="24"/>
                <w:highlight w:val="none"/>
              </w:rPr>
              <w:t>m</w:t>
            </w:r>
            <w:r>
              <w:rPr>
                <w:rFonts w:hint="default" w:ascii="Times New Roman" w:hAnsi="Times New Roman" w:cs="Times New Roman"/>
                <w:sz w:val="24"/>
                <w:highlight w:val="none"/>
                <w:vertAlign w:val="superscript"/>
              </w:rPr>
              <w:t>3</w:t>
            </w:r>
            <w:r>
              <w:rPr>
                <w:rFonts w:hint="default" w:ascii="Times New Roman" w:hAnsi="Times New Roman" w:cs="Times New Roman"/>
                <w:sz w:val="24"/>
                <w:highlight w:val="none"/>
              </w:rPr>
              <w:t>/a）</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渗滤液经发酵池周边的边沟收集后</w:t>
            </w:r>
            <w:r>
              <w:rPr>
                <w:rFonts w:hint="default" w:ascii="Times New Roman" w:hAnsi="Times New Roman" w:cs="Times New Roman"/>
                <w:bCs/>
                <w:sz w:val="24"/>
                <w:highlight w:val="none"/>
              </w:rPr>
              <w:t>由泵打入厂区污水处理站处理</w:t>
            </w:r>
            <w:r>
              <w:rPr>
                <w:rFonts w:hint="default" w:ascii="Times New Roman" w:hAnsi="Times New Roman" w:eastAsia="宋体" w:cs="Times New Roman"/>
                <w:color w:val="000000"/>
                <w:sz w:val="24"/>
                <w:szCs w:val="24"/>
                <w:highlight w:val="none"/>
                <w:lang w:val="en-US" w:eastAsia="zh-CN"/>
              </w:rPr>
              <w:t>。</w:t>
            </w:r>
          </w:p>
          <w:p w14:paraId="63EA2AF4">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H、脱硝用水：</w:t>
            </w:r>
            <w:r>
              <w:rPr>
                <w:rFonts w:hint="default" w:ascii="Times New Roman" w:hAnsi="Times New Roman" w:eastAsia="宋体" w:cs="Times New Roman"/>
                <w:bCs/>
                <w:color w:val="auto"/>
                <w:sz w:val="24"/>
                <w:highlight w:val="none"/>
              </w:rPr>
              <w:t>SCR脱硝工序</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尿素溶液（10%）配置</w:t>
            </w:r>
            <w:r>
              <w:rPr>
                <w:rFonts w:hint="default" w:ascii="Times New Roman" w:hAnsi="Times New Roman" w:eastAsia="宋体" w:cs="Times New Roman"/>
                <w:bCs/>
                <w:color w:val="auto"/>
                <w:sz w:val="24"/>
                <w:highlight w:val="none"/>
              </w:rPr>
              <w:t>用水量为</w:t>
            </w:r>
            <w:r>
              <w:rPr>
                <w:rFonts w:hint="default" w:ascii="Times New Roman" w:hAnsi="Times New Roman" w:eastAsia="宋体" w:cs="Times New Roman"/>
                <w:bCs/>
                <w:color w:val="auto"/>
                <w:sz w:val="24"/>
                <w:highlight w:val="none"/>
                <w:lang w:val="en-US" w:eastAsia="zh-CN"/>
              </w:rPr>
              <w:t>0.2</w:t>
            </w:r>
            <w:r>
              <w:rPr>
                <w:rFonts w:hint="default" w:ascii="Times New Roman" w:hAnsi="Times New Roman" w:eastAsia="宋体" w:cs="Times New Roman"/>
                <w:bCs/>
                <w:color w:val="auto"/>
                <w:sz w:val="24"/>
                <w:highlight w:val="none"/>
                <w:lang w:eastAsia="zh-CN"/>
              </w:rPr>
              <w:t>m³</w:t>
            </w:r>
            <w:r>
              <w:rPr>
                <w:rFonts w:hint="default" w:ascii="Times New Roman" w:hAnsi="Times New Roman" w:eastAsia="宋体" w:cs="Times New Roman"/>
                <w:bCs/>
                <w:color w:val="auto"/>
                <w:sz w:val="24"/>
                <w:highlight w:val="none"/>
              </w:rPr>
              <w:t>/d，均随着尿素喷入炉膛的过程中蒸发，不外排</w:t>
            </w:r>
            <w:r>
              <w:rPr>
                <w:rFonts w:hint="default" w:ascii="Times New Roman" w:hAnsi="Times New Roman" w:eastAsia="宋体" w:cs="Times New Roman"/>
                <w:bCs/>
                <w:color w:val="auto"/>
                <w:sz w:val="24"/>
                <w:highlight w:val="none"/>
                <w:lang w:eastAsia="zh-CN"/>
              </w:rPr>
              <w:t>。</w:t>
            </w:r>
          </w:p>
          <w:p w14:paraId="6014CAA4">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sz w:val="24"/>
              </w:rPr>
            </w:pPr>
            <w:r>
              <w:rPr>
                <w:rFonts w:hint="default" w:ascii="Times New Roman" w:hAnsi="Times New Roman" w:cs="Times New Roman"/>
                <w:sz w:val="24"/>
              </w:rPr>
              <w:t>本项目用排水平衡见下表。</w:t>
            </w:r>
          </w:p>
          <w:p w14:paraId="10E77939">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sz w:val="24"/>
              </w:rPr>
            </w:pPr>
            <w:r>
              <w:rPr>
                <w:rFonts w:hint="default" w:ascii="Times New Roman" w:hAnsi="Times New Roman" w:cs="Times New Roman"/>
                <w:b/>
                <w:sz w:val="24"/>
              </w:rPr>
              <w:t>表2-</w:t>
            </w:r>
            <w:r>
              <w:rPr>
                <w:rFonts w:hint="default" w:ascii="Times New Roman" w:hAnsi="Times New Roman" w:cs="Times New Roman"/>
                <w:b/>
                <w:sz w:val="24"/>
                <w:lang w:val="en-US" w:eastAsia="zh-CN"/>
              </w:rPr>
              <w:t>28</w:t>
            </w:r>
            <w:r>
              <w:rPr>
                <w:rFonts w:hint="default" w:ascii="Times New Roman" w:hAnsi="Times New Roman" w:cs="Times New Roman"/>
                <w:b/>
                <w:sz w:val="24"/>
              </w:rPr>
              <w:t xml:space="preserve">   项目用排水量一览表</w:t>
            </w:r>
            <w:r>
              <w:rPr>
                <w:rFonts w:hint="default" w:ascii="Times New Roman" w:hAnsi="Times New Roman" w:cs="Times New Roman"/>
                <w:b/>
                <w:snapToGrid w:val="0"/>
                <w:kern w:val="0"/>
                <w:sz w:val="24"/>
                <w:szCs w:val="22"/>
              </w:rPr>
              <w:t xml:space="preserve"> </w:t>
            </w:r>
            <w:r>
              <w:rPr>
                <w:rFonts w:hint="default" w:ascii="Times New Roman" w:hAnsi="Times New Roman" w:cs="Times New Roman"/>
                <w:b/>
                <w:snapToGrid w:val="0"/>
                <w:kern w:val="0"/>
                <w:sz w:val="24"/>
                <w:szCs w:val="22"/>
                <w:lang w:val="zh-CN"/>
              </w:rPr>
              <w:t xml:space="preserve"> 单位：m</w:t>
            </w:r>
            <w:r>
              <w:rPr>
                <w:rFonts w:hint="default" w:ascii="Times New Roman" w:hAnsi="Times New Roman" w:cs="Times New Roman"/>
                <w:b/>
                <w:snapToGrid w:val="0"/>
                <w:kern w:val="0"/>
                <w:sz w:val="24"/>
                <w:szCs w:val="22"/>
                <w:vertAlign w:val="superscript"/>
                <w:lang w:val="zh-CN"/>
              </w:rPr>
              <w:t>3</w:t>
            </w:r>
            <w:r>
              <w:rPr>
                <w:rFonts w:hint="default" w:ascii="Times New Roman" w:hAnsi="Times New Roman" w:cs="Times New Roman"/>
                <w:b/>
                <w:snapToGrid w:val="0"/>
                <w:kern w:val="0"/>
                <w:sz w:val="24"/>
                <w:szCs w:val="22"/>
                <w:lang w:val="zh-CN"/>
              </w:rPr>
              <w:t>/d</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1369"/>
              <w:gridCol w:w="1333"/>
              <w:gridCol w:w="1245"/>
              <w:gridCol w:w="1214"/>
              <w:gridCol w:w="1615"/>
            </w:tblGrid>
            <w:tr w14:paraId="4B9E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 w:type="pct"/>
                  <w:tcBorders>
                    <w:tl2br w:val="nil"/>
                    <w:tr2bl w:val="nil"/>
                  </w:tcBorders>
                  <w:vAlign w:val="center"/>
                </w:tcPr>
                <w:p w14:paraId="33C5AB4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项目</w:t>
                  </w:r>
                </w:p>
              </w:tc>
              <w:tc>
                <w:tcPr>
                  <w:tcW w:w="817" w:type="pct"/>
                  <w:tcBorders>
                    <w:tl2br w:val="nil"/>
                    <w:tr2bl w:val="nil"/>
                  </w:tcBorders>
                  <w:vAlign w:val="center"/>
                </w:tcPr>
                <w:p w14:paraId="1ABE194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用水量</w:t>
                  </w:r>
                </w:p>
              </w:tc>
              <w:tc>
                <w:tcPr>
                  <w:tcW w:w="795" w:type="pct"/>
                  <w:tcBorders>
                    <w:tl2br w:val="nil"/>
                    <w:tr2bl w:val="nil"/>
                  </w:tcBorders>
                  <w:vAlign w:val="center"/>
                </w:tcPr>
                <w:p w14:paraId="3C843F7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新水量</w:t>
                  </w:r>
                </w:p>
              </w:tc>
              <w:tc>
                <w:tcPr>
                  <w:tcW w:w="743" w:type="pct"/>
                  <w:tcBorders>
                    <w:tl2br w:val="nil"/>
                    <w:tr2bl w:val="nil"/>
                  </w:tcBorders>
                  <w:vAlign w:val="center"/>
                </w:tcPr>
                <w:p w14:paraId="6355539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损耗量</w:t>
                  </w:r>
                </w:p>
              </w:tc>
              <w:tc>
                <w:tcPr>
                  <w:tcW w:w="724" w:type="pct"/>
                  <w:tcBorders>
                    <w:tl2br w:val="nil"/>
                    <w:tr2bl w:val="nil"/>
                  </w:tcBorders>
                  <w:vAlign w:val="center"/>
                </w:tcPr>
                <w:p w14:paraId="745DA50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废水量</w:t>
                  </w:r>
                </w:p>
              </w:tc>
              <w:tc>
                <w:tcPr>
                  <w:tcW w:w="963" w:type="pct"/>
                  <w:tcBorders>
                    <w:tl2br w:val="nil"/>
                    <w:tr2bl w:val="nil"/>
                  </w:tcBorders>
                  <w:vAlign w:val="center"/>
                </w:tcPr>
                <w:p w14:paraId="021AEE2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回用水量</w:t>
                  </w:r>
                </w:p>
              </w:tc>
            </w:tr>
            <w:tr w14:paraId="4001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956" w:type="pct"/>
                  <w:tcBorders>
                    <w:tl2br w:val="nil"/>
                    <w:tr2bl w:val="nil"/>
                  </w:tcBorders>
                  <w:vAlign w:val="center"/>
                </w:tcPr>
                <w:p w14:paraId="7F06115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职工生活</w:t>
                  </w:r>
                </w:p>
              </w:tc>
              <w:tc>
                <w:tcPr>
                  <w:tcW w:w="817" w:type="pct"/>
                  <w:tcBorders>
                    <w:tl2br w:val="nil"/>
                    <w:tr2bl w:val="nil"/>
                  </w:tcBorders>
                  <w:vAlign w:val="center"/>
                </w:tcPr>
                <w:p w14:paraId="5AE9989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w:t>
                  </w:r>
                </w:p>
              </w:tc>
              <w:tc>
                <w:tcPr>
                  <w:tcW w:w="795" w:type="pct"/>
                  <w:tcBorders>
                    <w:tl2br w:val="nil"/>
                    <w:tr2bl w:val="nil"/>
                  </w:tcBorders>
                  <w:vAlign w:val="center"/>
                </w:tcPr>
                <w:p w14:paraId="5FD52BB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1.5</w:t>
                  </w:r>
                </w:p>
              </w:tc>
              <w:tc>
                <w:tcPr>
                  <w:tcW w:w="743" w:type="pct"/>
                  <w:tcBorders>
                    <w:tl2br w:val="nil"/>
                    <w:tr2bl w:val="nil"/>
                  </w:tcBorders>
                  <w:vAlign w:val="center"/>
                </w:tcPr>
                <w:p w14:paraId="2A08B60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0.3</w:t>
                  </w:r>
                </w:p>
              </w:tc>
              <w:tc>
                <w:tcPr>
                  <w:tcW w:w="724" w:type="pct"/>
                  <w:tcBorders>
                    <w:tl2br w:val="nil"/>
                    <w:tr2bl w:val="nil"/>
                  </w:tcBorders>
                  <w:vAlign w:val="center"/>
                </w:tcPr>
                <w:p w14:paraId="25CE5EB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1.2</w:t>
                  </w:r>
                </w:p>
              </w:tc>
              <w:tc>
                <w:tcPr>
                  <w:tcW w:w="963" w:type="pct"/>
                  <w:tcBorders>
                    <w:tl2br w:val="nil"/>
                    <w:tr2bl w:val="nil"/>
                  </w:tcBorders>
                  <w:vAlign w:val="center"/>
                </w:tcPr>
                <w:p w14:paraId="04DB0E4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0</w:t>
                  </w:r>
                </w:p>
              </w:tc>
            </w:tr>
            <w:tr w14:paraId="0736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56" w:type="pct"/>
                  <w:tcBorders>
                    <w:tl2br w:val="nil"/>
                    <w:tr2bl w:val="nil"/>
                  </w:tcBorders>
                  <w:vAlign w:val="center"/>
                </w:tcPr>
                <w:p w14:paraId="628E298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设备冲洗</w:t>
                  </w:r>
                </w:p>
              </w:tc>
              <w:tc>
                <w:tcPr>
                  <w:tcW w:w="817" w:type="pct"/>
                  <w:tcBorders>
                    <w:tl2br w:val="nil"/>
                    <w:tr2bl w:val="nil"/>
                  </w:tcBorders>
                  <w:vAlign w:val="center"/>
                </w:tcPr>
                <w:p w14:paraId="7FB9CB7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0.57</w:t>
                  </w:r>
                </w:p>
              </w:tc>
              <w:tc>
                <w:tcPr>
                  <w:tcW w:w="795" w:type="pct"/>
                  <w:tcBorders>
                    <w:tl2br w:val="nil"/>
                    <w:tr2bl w:val="nil"/>
                  </w:tcBorders>
                  <w:vAlign w:val="center"/>
                </w:tcPr>
                <w:p w14:paraId="6CC9F42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0.57</w:t>
                  </w:r>
                </w:p>
              </w:tc>
              <w:tc>
                <w:tcPr>
                  <w:tcW w:w="743" w:type="pct"/>
                  <w:tcBorders>
                    <w:tl2br w:val="nil"/>
                    <w:tr2bl w:val="nil"/>
                  </w:tcBorders>
                  <w:vAlign w:val="center"/>
                </w:tcPr>
                <w:p w14:paraId="4A50C6E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0.11</w:t>
                  </w:r>
                </w:p>
              </w:tc>
              <w:tc>
                <w:tcPr>
                  <w:tcW w:w="724" w:type="pct"/>
                  <w:tcBorders>
                    <w:tl2br w:val="nil"/>
                    <w:tr2bl w:val="nil"/>
                  </w:tcBorders>
                  <w:vAlign w:val="center"/>
                </w:tcPr>
                <w:p w14:paraId="2305464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0.46</w:t>
                  </w:r>
                </w:p>
              </w:tc>
              <w:tc>
                <w:tcPr>
                  <w:tcW w:w="963" w:type="pct"/>
                  <w:tcBorders>
                    <w:tl2br w:val="nil"/>
                    <w:tr2bl w:val="nil"/>
                  </w:tcBorders>
                  <w:vAlign w:val="center"/>
                </w:tcPr>
                <w:p w14:paraId="3053E639">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0.46</w:t>
                  </w:r>
                </w:p>
              </w:tc>
            </w:tr>
            <w:tr w14:paraId="5D7A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0772BF5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洗车平台</w:t>
                  </w:r>
                </w:p>
              </w:tc>
              <w:tc>
                <w:tcPr>
                  <w:tcW w:w="817" w:type="pct"/>
                  <w:tcBorders>
                    <w:tl2br w:val="nil"/>
                    <w:tr2bl w:val="nil"/>
                  </w:tcBorders>
                  <w:vAlign w:val="center"/>
                </w:tcPr>
                <w:p w14:paraId="09CB636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2</w:t>
                  </w:r>
                </w:p>
              </w:tc>
              <w:tc>
                <w:tcPr>
                  <w:tcW w:w="795" w:type="pct"/>
                  <w:tcBorders>
                    <w:tl2br w:val="nil"/>
                    <w:tr2bl w:val="nil"/>
                  </w:tcBorders>
                  <w:vAlign w:val="center"/>
                </w:tcPr>
                <w:p w14:paraId="568AD65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w:t>
                  </w:r>
                </w:p>
              </w:tc>
              <w:tc>
                <w:tcPr>
                  <w:tcW w:w="743" w:type="pct"/>
                  <w:tcBorders>
                    <w:tl2br w:val="nil"/>
                    <w:tr2bl w:val="nil"/>
                  </w:tcBorders>
                  <w:vAlign w:val="center"/>
                </w:tcPr>
                <w:p w14:paraId="602FF52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2</w:t>
                  </w:r>
                </w:p>
              </w:tc>
              <w:tc>
                <w:tcPr>
                  <w:tcW w:w="724" w:type="pct"/>
                  <w:tcBorders>
                    <w:tl2br w:val="nil"/>
                    <w:tr2bl w:val="nil"/>
                  </w:tcBorders>
                  <w:vAlign w:val="center"/>
                </w:tcPr>
                <w:p w14:paraId="4903EA7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0</w:t>
                  </w:r>
                </w:p>
              </w:tc>
              <w:tc>
                <w:tcPr>
                  <w:tcW w:w="963" w:type="pct"/>
                  <w:tcBorders>
                    <w:tl2br w:val="nil"/>
                    <w:tr2bl w:val="nil"/>
                  </w:tcBorders>
                  <w:vAlign w:val="center"/>
                </w:tcPr>
                <w:p w14:paraId="7C23829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r>
            <w:tr w14:paraId="77CB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5C824C2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生物除臭塔</w:t>
                  </w:r>
                </w:p>
              </w:tc>
              <w:tc>
                <w:tcPr>
                  <w:tcW w:w="817" w:type="pct"/>
                  <w:tcBorders>
                    <w:tl2br w:val="nil"/>
                    <w:tr2bl w:val="nil"/>
                  </w:tcBorders>
                  <w:vAlign w:val="center"/>
                </w:tcPr>
                <w:p w14:paraId="01F37A3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0.1</w:t>
                  </w:r>
                </w:p>
              </w:tc>
              <w:tc>
                <w:tcPr>
                  <w:tcW w:w="795" w:type="pct"/>
                  <w:tcBorders>
                    <w:tl2br w:val="nil"/>
                    <w:tr2bl w:val="nil"/>
                  </w:tcBorders>
                  <w:vAlign w:val="center"/>
                </w:tcPr>
                <w:p w14:paraId="0F4DF8F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0.1</w:t>
                  </w:r>
                </w:p>
              </w:tc>
              <w:tc>
                <w:tcPr>
                  <w:tcW w:w="743" w:type="pct"/>
                  <w:tcBorders>
                    <w:tl2br w:val="nil"/>
                    <w:tr2bl w:val="nil"/>
                  </w:tcBorders>
                  <w:vAlign w:val="center"/>
                </w:tcPr>
                <w:p w14:paraId="41CBCD2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0.1</w:t>
                  </w:r>
                </w:p>
              </w:tc>
              <w:tc>
                <w:tcPr>
                  <w:tcW w:w="724" w:type="pct"/>
                  <w:tcBorders>
                    <w:tl2br w:val="nil"/>
                    <w:tr2bl w:val="nil"/>
                  </w:tcBorders>
                  <w:vAlign w:val="center"/>
                </w:tcPr>
                <w:p w14:paraId="31A42DF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w:t>
                  </w:r>
                </w:p>
              </w:tc>
              <w:tc>
                <w:tcPr>
                  <w:tcW w:w="963" w:type="pct"/>
                  <w:tcBorders>
                    <w:tl2br w:val="nil"/>
                    <w:tr2bl w:val="nil"/>
                  </w:tcBorders>
                  <w:vAlign w:val="center"/>
                </w:tcPr>
                <w:p w14:paraId="12C8DF1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0</w:t>
                  </w:r>
                </w:p>
              </w:tc>
            </w:tr>
            <w:tr w14:paraId="64FB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7A186FD9">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制砖过程</w:t>
                  </w:r>
                </w:p>
              </w:tc>
              <w:tc>
                <w:tcPr>
                  <w:tcW w:w="817" w:type="pct"/>
                  <w:tcBorders>
                    <w:tl2br w:val="nil"/>
                    <w:tr2bl w:val="nil"/>
                  </w:tcBorders>
                  <w:vAlign w:val="center"/>
                </w:tcPr>
                <w:p w14:paraId="65BF0DA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21.25</w:t>
                  </w:r>
                </w:p>
              </w:tc>
              <w:tc>
                <w:tcPr>
                  <w:tcW w:w="795" w:type="pct"/>
                  <w:tcBorders>
                    <w:tl2br w:val="nil"/>
                    <w:tr2bl w:val="nil"/>
                  </w:tcBorders>
                  <w:vAlign w:val="center"/>
                </w:tcPr>
                <w:p w14:paraId="594BD92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21.25</w:t>
                  </w:r>
                </w:p>
              </w:tc>
              <w:tc>
                <w:tcPr>
                  <w:tcW w:w="743" w:type="pct"/>
                  <w:tcBorders>
                    <w:tl2br w:val="nil"/>
                    <w:tr2bl w:val="nil"/>
                  </w:tcBorders>
                  <w:vAlign w:val="center"/>
                </w:tcPr>
                <w:p w14:paraId="561DDC5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21.25</w:t>
                  </w:r>
                </w:p>
              </w:tc>
              <w:tc>
                <w:tcPr>
                  <w:tcW w:w="724" w:type="pct"/>
                  <w:tcBorders>
                    <w:tl2br w:val="nil"/>
                    <w:tr2bl w:val="nil"/>
                  </w:tcBorders>
                  <w:vAlign w:val="center"/>
                </w:tcPr>
                <w:p w14:paraId="4845348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963" w:type="pct"/>
                  <w:tcBorders>
                    <w:tl2br w:val="nil"/>
                    <w:tr2bl w:val="nil"/>
                  </w:tcBorders>
                  <w:vAlign w:val="center"/>
                </w:tcPr>
                <w:p w14:paraId="373A761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r>
            <w:tr w14:paraId="0A55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4F3290D5">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物料喷淋</w:t>
                  </w:r>
                </w:p>
              </w:tc>
              <w:tc>
                <w:tcPr>
                  <w:tcW w:w="817" w:type="pct"/>
                  <w:tcBorders>
                    <w:tl2br w:val="nil"/>
                    <w:tr2bl w:val="nil"/>
                  </w:tcBorders>
                  <w:vAlign w:val="center"/>
                </w:tcPr>
                <w:p w14:paraId="28ED845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9.38</w:t>
                  </w:r>
                </w:p>
              </w:tc>
              <w:tc>
                <w:tcPr>
                  <w:tcW w:w="795" w:type="pct"/>
                  <w:tcBorders>
                    <w:tl2br w:val="nil"/>
                    <w:tr2bl w:val="nil"/>
                  </w:tcBorders>
                  <w:vAlign w:val="center"/>
                </w:tcPr>
                <w:p w14:paraId="5A479BD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743" w:type="pct"/>
                  <w:tcBorders>
                    <w:tl2br w:val="nil"/>
                    <w:tr2bl w:val="nil"/>
                  </w:tcBorders>
                  <w:vAlign w:val="center"/>
                </w:tcPr>
                <w:p w14:paraId="74B1424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9.38</w:t>
                  </w:r>
                </w:p>
              </w:tc>
              <w:tc>
                <w:tcPr>
                  <w:tcW w:w="724" w:type="pct"/>
                  <w:tcBorders>
                    <w:tl2br w:val="nil"/>
                    <w:tr2bl w:val="nil"/>
                  </w:tcBorders>
                  <w:vAlign w:val="center"/>
                </w:tcPr>
                <w:p w14:paraId="4A84619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963" w:type="pct"/>
                  <w:tcBorders>
                    <w:tl2br w:val="nil"/>
                    <w:tr2bl w:val="nil"/>
                  </w:tcBorders>
                  <w:vAlign w:val="center"/>
                </w:tcPr>
                <w:p w14:paraId="7A6693E6">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r>
            <w:tr w14:paraId="0797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7C804AD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渗滤液</w:t>
                  </w:r>
                </w:p>
              </w:tc>
              <w:tc>
                <w:tcPr>
                  <w:tcW w:w="817" w:type="pct"/>
                  <w:tcBorders>
                    <w:tl2br w:val="nil"/>
                    <w:tr2bl w:val="nil"/>
                  </w:tcBorders>
                  <w:vAlign w:val="center"/>
                </w:tcPr>
                <w:p w14:paraId="5D0792D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795" w:type="pct"/>
                  <w:tcBorders>
                    <w:tl2br w:val="nil"/>
                    <w:tr2bl w:val="nil"/>
                  </w:tcBorders>
                  <w:vAlign w:val="center"/>
                </w:tcPr>
                <w:p w14:paraId="4E8EC0B2">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743" w:type="pct"/>
                  <w:tcBorders>
                    <w:tl2br w:val="nil"/>
                    <w:tr2bl w:val="nil"/>
                  </w:tcBorders>
                  <w:vAlign w:val="center"/>
                </w:tcPr>
                <w:p w14:paraId="15A5254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724" w:type="pct"/>
                  <w:tcBorders>
                    <w:tl2br w:val="nil"/>
                    <w:tr2bl w:val="nil"/>
                  </w:tcBorders>
                  <w:vAlign w:val="center"/>
                </w:tcPr>
                <w:p w14:paraId="1A59CFF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28.92</w:t>
                  </w:r>
                </w:p>
              </w:tc>
              <w:tc>
                <w:tcPr>
                  <w:tcW w:w="963" w:type="pct"/>
                  <w:tcBorders>
                    <w:tl2br w:val="nil"/>
                    <w:tr2bl w:val="nil"/>
                  </w:tcBorders>
                  <w:vAlign w:val="center"/>
                </w:tcPr>
                <w:p w14:paraId="3E241C9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28.92</w:t>
                  </w:r>
                </w:p>
              </w:tc>
            </w:tr>
            <w:tr w14:paraId="2D4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66D59B0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highlight w:val="none"/>
                      <w:lang w:val="en-US" w:eastAsia="zh-CN"/>
                    </w:rPr>
                    <w:t>车间、厂区地面冲洗</w:t>
                  </w:r>
                </w:p>
              </w:tc>
              <w:tc>
                <w:tcPr>
                  <w:tcW w:w="817" w:type="pct"/>
                  <w:tcBorders>
                    <w:tl2br w:val="nil"/>
                    <w:tr2bl w:val="nil"/>
                  </w:tcBorders>
                  <w:vAlign w:val="center"/>
                </w:tcPr>
                <w:p w14:paraId="71599312">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20</w:t>
                  </w:r>
                </w:p>
              </w:tc>
              <w:tc>
                <w:tcPr>
                  <w:tcW w:w="795" w:type="pct"/>
                  <w:tcBorders>
                    <w:tl2br w:val="nil"/>
                    <w:tr2bl w:val="nil"/>
                  </w:tcBorders>
                  <w:vAlign w:val="center"/>
                </w:tcPr>
                <w:p w14:paraId="64C5A89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743" w:type="pct"/>
                  <w:tcBorders>
                    <w:tl2br w:val="nil"/>
                    <w:tr2bl w:val="nil"/>
                  </w:tcBorders>
                  <w:vAlign w:val="center"/>
                </w:tcPr>
                <w:p w14:paraId="79BC874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20</w:t>
                  </w:r>
                </w:p>
              </w:tc>
              <w:tc>
                <w:tcPr>
                  <w:tcW w:w="724" w:type="pct"/>
                  <w:tcBorders>
                    <w:tl2br w:val="nil"/>
                    <w:tr2bl w:val="nil"/>
                  </w:tcBorders>
                  <w:vAlign w:val="center"/>
                </w:tcPr>
                <w:p w14:paraId="0A9200D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963" w:type="pct"/>
                  <w:tcBorders>
                    <w:tl2br w:val="nil"/>
                    <w:tr2bl w:val="nil"/>
                  </w:tcBorders>
                  <w:vAlign w:val="center"/>
                </w:tcPr>
                <w:p w14:paraId="29C68B9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r>
            <w:tr w14:paraId="7B1D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6" w:type="pct"/>
                  <w:tcBorders>
                    <w:tl2br w:val="nil"/>
                    <w:tr2bl w:val="nil"/>
                  </w:tcBorders>
                  <w:vAlign w:val="center"/>
                </w:tcPr>
                <w:p w14:paraId="2B85CF10">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尿素溶液配制</w:t>
                  </w:r>
                </w:p>
              </w:tc>
              <w:tc>
                <w:tcPr>
                  <w:tcW w:w="817" w:type="pct"/>
                  <w:tcBorders>
                    <w:tl2br w:val="nil"/>
                    <w:tr2bl w:val="nil"/>
                  </w:tcBorders>
                  <w:vAlign w:val="center"/>
                </w:tcPr>
                <w:p w14:paraId="3FA85463">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0.2</w:t>
                  </w:r>
                </w:p>
              </w:tc>
              <w:tc>
                <w:tcPr>
                  <w:tcW w:w="795" w:type="pct"/>
                  <w:tcBorders>
                    <w:tl2br w:val="nil"/>
                    <w:tr2bl w:val="nil"/>
                  </w:tcBorders>
                  <w:vAlign w:val="center"/>
                </w:tcPr>
                <w:p w14:paraId="3306851C">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0.2</w:t>
                  </w:r>
                </w:p>
              </w:tc>
              <w:tc>
                <w:tcPr>
                  <w:tcW w:w="743" w:type="pct"/>
                  <w:tcBorders>
                    <w:tl2br w:val="nil"/>
                    <w:tr2bl w:val="nil"/>
                  </w:tcBorders>
                  <w:vAlign w:val="center"/>
                </w:tcPr>
                <w:p w14:paraId="41BA9D54">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0.2</w:t>
                  </w:r>
                </w:p>
              </w:tc>
              <w:tc>
                <w:tcPr>
                  <w:tcW w:w="724" w:type="pct"/>
                  <w:tcBorders>
                    <w:tl2br w:val="nil"/>
                    <w:tr2bl w:val="nil"/>
                  </w:tcBorders>
                  <w:vAlign w:val="center"/>
                </w:tcPr>
                <w:p w14:paraId="5E841321">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c>
                <w:tcPr>
                  <w:tcW w:w="963" w:type="pct"/>
                  <w:tcBorders>
                    <w:tl2br w:val="nil"/>
                    <w:tr2bl w:val="nil"/>
                  </w:tcBorders>
                  <w:vAlign w:val="center"/>
                </w:tcPr>
                <w:p w14:paraId="42E7EA7E">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0</w:t>
                  </w:r>
                </w:p>
              </w:tc>
            </w:tr>
          </w:tbl>
          <w:p w14:paraId="6754923A">
            <w:pPr>
              <w:keepNext w:val="0"/>
              <w:keepLines w:val="0"/>
              <w:suppressLineNumbers w:val="0"/>
              <w:spacing w:before="0" w:beforeAutospacing="0" w:after="0" w:afterAutospacing="0"/>
              <w:ind w:left="0" w:right="0"/>
              <w:jc w:val="center"/>
              <w:rPr>
                <w:rFonts w:hint="default" w:ascii="Times New Roman" w:hAnsi="Times New Roman" w:cs="Times New Roman"/>
                <w:szCs w:val="21"/>
              </w:rPr>
            </w:pPr>
            <w:r>
              <w:rPr>
                <w:rFonts w:hint="default" w:ascii="Times New Roman" w:hAnsi="Times New Roman" w:cs="Times New Roman"/>
                <w:szCs w:val="21"/>
              </w:rPr>
              <w:object>
                <v:shape id="_x0000_i1025" o:spt="75" type="#_x0000_t75" style="height:358.45pt;width:327.5pt;" o:ole="t" filled="f" o:preferrelative="t" stroked="f" coordsize="21600,21600">
                  <v:path/>
                  <v:fill on="f" focussize="0,0"/>
                  <v:stroke on="f"/>
                  <v:imagedata r:id="rId12" o:title=""/>
                  <o:lock v:ext="edit" aspectratio="f"/>
                  <w10:wrap type="none"/>
                  <w10:anchorlock/>
                </v:shape>
                <o:OLEObject Type="Embed" ProgID="Visio.Drawing.11" ShapeID="_x0000_i1025" DrawAspect="Content" ObjectID="_1468075725" r:id="rId11">
                  <o:LockedField>false</o:LockedField>
                </o:OLEObject>
              </w:object>
            </w:r>
          </w:p>
          <w:p w14:paraId="710047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2" w:firstLineChars="200"/>
              <w:jc w:val="center"/>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图</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2-1 </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 xml:space="preserve"> 项目水平衡图</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m</w:t>
            </w:r>
            <w:r>
              <w:rPr>
                <w:rFonts w:hint="default" w:ascii="Times New Roman" w:hAnsi="Times New Roman" w:eastAsia="宋体" w:cs="Times New Roman"/>
                <w:b/>
                <w:bCs/>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/d</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w:t>
            </w:r>
          </w:p>
          <w:p w14:paraId="35476F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供电：项目用电由当地电网提供，用电</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300</w:t>
            </w:r>
            <w:r>
              <w:rPr>
                <w:rFonts w:hint="default" w:ascii="Times New Roman" w:hAnsi="Times New Roman" w:eastAsia="宋体" w:cs="Times New Roman"/>
                <w:color w:val="000000" w:themeColor="text1"/>
                <w:sz w:val="24"/>
                <w:szCs w:val="24"/>
                <w:highlight w:val="none"/>
                <w14:textFill>
                  <w14:solidFill>
                    <w14:schemeClr w14:val="tx1"/>
                  </w14:solidFill>
                </w14:textFill>
              </w:rPr>
              <w:t>万</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kW·h</w:t>
            </w:r>
            <w:r>
              <w:rPr>
                <w:rFonts w:hint="default" w:ascii="Times New Roman" w:hAnsi="Times New Roman" w:eastAsia="宋体" w:cs="Times New Roman"/>
                <w:color w:val="000000" w:themeColor="text1"/>
                <w:sz w:val="24"/>
                <w:szCs w:val="24"/>
                <w:highlight w:val="none"/>
                <w14:textFill>
                  <w14:solidFill>
                    <w14:schemeClr w14:val="tx1"/>
                  </w14:solidFill>
                </w14:textFill>
              </w:rPr>
              <w:t>，可满足项目用电需求。</w:t>
            </w:r>
          </w:p>
          <w:p w14:paraId="105116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(3)供热：本项目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生产车间不需采暖，人员办公室采用空调取暖</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生产过程中一般固废烘干采用替代燃烧颗粒燃烧所用的热量。</w:t>
            </w:r>
          </w:p>
          <w:p w14:paraId="31C70E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highlight w:val="green"/>
                <w:lang w:val="en-US" w:eastAsia="zh-CN"/>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根据资料可知，一吨水蒸发吸热量为539914kcal，烘干过程蒸发的水分共计4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250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则每小时烘干水分所需热量为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539914kcal</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250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t/7200h=318.70万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kcal</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本项目生产的替代燃料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燃烧机功率为330万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kcal</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，可以满足烘干过程热量需求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r>
    </w:tbl>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604"/>
      </w:tblGrid>
      <w:tr w14:paraId="2A48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6" w:hRule="atLeast"/>
        </w:trPr>
        <w:tc>
          <w:tcPr>
            <w:tcW w:w="451" w:type="dxa"/>
            <w:shd w:val="clear" w:color="auto" w:fill="auto"/>
            <w:vAlign w:val="center"/>
          </w:tcPr>
          <w:p w14:paraId="4EC08B83">
            <w:pPr>
              <w:pStyle w:val="26"/>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green"/>
                <w:lang w:val="en-US" w:eastAsia="zh-CN" w:bidi="ar-SA"/>
                <w14:textFill>
                  <w14:solidFill>
                    <w14:schemeClr w14:val="tx1"/>
                  </w14:solidFill>
                </w14:textFill>
              </w:rPr>
            </w:pPr>
            <w:r>
              <w:rPr>
                <w:rFonts w:hint="default" w:ascii="Times New Roman" w:hAnsi="Times New Roman" w:cs="Times New Roman"/>
                <w:color w:val="000000" w:themeColor="text1"/>
                <w:spacing w:val="0"/>
                <w:sz w:val="24"/>
                <w:szCs w:val="24"/>
                <w:highlight w:val="none"/>
                <w14:textFill>
                  <w14:solidFill>
                    <w14:schemeClr w14:val="tx1"/>
                  </w14:solidFill>
                </w14:textFill>
              </w:rPr>
              <w:t>工艺流程和产排污环节</w:t>
            </w:r>
          </w:p>
        </w:tc>
        <w:tc>
          <w:tcPr>
            <w:tcW w:w="8609" w:type="dxa"/>
            <w:shd w:val="clear" w:color="auto" w:fill="auto"/>
            <w:vAlign w:val="top"/>
          </w:tcPr>
          <w:p w14:paraId="131981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Times New Roman" w:hAnsi="Times New Roman" w:cs="Times New Roman"/>
                <w:color w:val="000000" w:themeColor="text1"/>
                <w:spacing w:val="0"/>
                <w:sz w:val="24"/>
                <w:highlight w:val="none"/>
                <w14:textFill>
                  <w14:solidFill>
                    <w14:schemeClr w14:val="tx1"/>
                  </w14:solidFill>
                </w14:textFill>
              </w:rPr>
            </w:pPr>
            <w:r>
              <w:rPr>
                <w:rFonts w:hint="default" w:ascii="Times New Roman" w:hAnsi="Times New Roman" w:cs="Times New Roman"/>
                <w:color w:val="000000" w:themeColor="text1"/>
                <w:spacing w:val="0"/>
                <w:sz w:val="24"/>
                <w:highlight w:val="none"/>
                <w14:textFill>
                  <w14:solidFill>
                    <w14:schemeClr w14:val="tx1"/>
                  </w14:solidFill>
                </w14:textFill>
              </w:rPr>
              <w:t>工艺流程简述</w:t>
            </w:r>
            <w:r>
              <w:rPr>
                <w:rFonts w:hint="default" w:ascii="Times New Roman" w:hAnsi="Times New Roman" w:cs="Times New Roman"/>
                <w:color w:val="000000" w:themeColor="text1"/>
                <w:spacing w:val="0"/>
                <w:sz w:val="24"/>
                <w:highlight w:val="none"/>
                <w:lang w:eastAsia="zh-CN"/>
                <w14:textFill>
                  <w14:solidFill>
                    <w14:schemeClr w14:val="tx1"/>
                  </w14:solidFill>
                </w14:textFill>
              </w:rPr>
              <w:t>（</w:t>
            </w:r>
            <w:r>
              <w:rPr>
                <w:rFonts w:hint="default" w:ascii="Times New Roman" w:hAnsi="Times New Roman" w:cs="Times New Roman"/>
                <w:color w:val="000000" w:themeColor="text1"/>
                <w:spacing w:val="0"/>
                <w:sz w:val="24"/>
                <w:highlight w:val="none"/>
                <w14:textFill>
                  <w14:solidFill>
                    <w14:schemeClr w14:val="tx1"/>
                  </w14:solidFill>
                </w14:textFill>
              </w:rPr>
              <w:t>图示</w:t>
            </w:r>
            <w:r>
              <w:rPr>
                <w:rFonts w:hint="default" w:ascii="Times New Roman" w:hAnsi="Times New Roman" w:cs="Times New Roman"/>
                <w:color w:val="000000" w:themeColor="text1"/>
                <w:spacing w:val="0"/>
                <w:sz w:val="24"/>
                <w:highlight w:val="none"/>
                <w:lang w:eastAsia="zh-CN"/>
                <w14:textFill>
                  <w14:solidFill>
                    <w14:schemeClr w14:val="tx1"/>
                  </w14:solidFill>
                </w14:textFill>
              </w:rPr>
              <w:t>）</w:t>
            </w:r>
            <w:r>
              <w:rPr>
                <w:rFonts w:hint="default" w:ascii="Times New Roman" w:hAnsi="Times New Roman" w:cs="Times New Roman"/>
                <w:color w:val="000000" w:themeColor="text1"/>
                <w:spacing w:val="0"/>
                <w:sz w:val="24"/>
                <w:highlight w:val="none"/>
                <w14:textFill>
                  <w14:solidFill>
                    <w14:schemeClr w14:val="tx1"/>
                  </w14:solidFill>
                </w14:textFill>
              </w:rPr>
              <w:t>：</w:t>
            </w:r>
          </w:p>
          <w:p w14:paraId="74EEC70E">
            <w:pPr>
              <w:keepNext w:val="0"/>
              <w:keepLines w:val="0"/>
              <w:pageBreakBefore w:val="0"/>
              <w:suppressLineNumbers w:val="0"/>
              <w:wordWrap/>
              <w:autoSpaceDE w:val="0"/>
              <w:autoSpaceDN w:val="0"/>
              <w:bidi w:val="0"/>
              <w:adjustRightInd w:val="0"/>
              <w:snapToGrid w:val="0"/>
              <w:spacing w:before="0" w:beforeAutospacing="0" w:after="0" w:afterAutospacing="0" w:line="360" w:lineRule="auto"/>
              <w:ind w:left="0" w:right="0"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本项目建设1条固废烘干生产线，1条固废制砖生产线，1条替代燃烧颗粒生产线，1条营养土发酵生产线，项目生产链条图如下图所示。</w:t>
            </w:r>
          </w:p>
          <w:p w14:paraId="6F400C57">
            <w:pPr>
              <w:keepNext w:val="0"/>
              <w:keepLines w:val="0"/>
              <w:pageBreakBefore w:val="0"/>
              <w:suppressLineNumbers w:val="0"/>
              <w:wordWrap/>
              <w:autoSpaceDE w:val="0"/>
              <w:autoSpaceDN w:val="0"/>
              <w:bidi w:val="0"/>
              <w:adjustRightInd w:val="0"/>
              <w:snapToGrid w:val="0"/>
              <w:spacing w:before="0" w:beforeAutospacing="0" w:after="0" w:afterAutospacing="0" w:line="360" w:lineRule="auto"/>
              <w:ind w:left="0" w:right="0" w:firstLine="482" w:firstLineChars="200"/>
              <w:jc w:val="center"/>
              <w:rPr>
                <w:rFonts w:hint="default" w:ascii="Times New Roman" w:hAnsi="Times New Roman" w:cs="Times New Roman" w:eastAsiaTheme="minorEastAsia"/>
                <w:b/>
                <w:bCs/>
                <w:sz w:val="24"/>
                <w:lang w:eastAsia="zh-CN"/>
              </w:rPr>
            </w:pPr>
            <w:r>
              <w:rPr>
                <w:rFonts w:hint="default" w:ascii="Times New Roman" w:hAnsi="Times New Roman" w:cs="Times New Roman" w:eastAsiaTheme="minorEastAsia"/>
                <w:b/>
                <w:bCs/>
                <w:sz w:val="24"/>
                <w:lang w:eastAsia="zh-CN"/>
              </w:rPr>
              <w:object>
                <v:shape id="_x0000_i1026" o:spt="75" type="#_x0000_t75" style="height:503.2pt;width:378.65pt;" o:ole="t" filled="f" o:preferrelative="t" stroked="f" coordsize="21600,21600">
                  <v:path/>
                  <v:fill on="f" focussize="0,0"/>
                  <v:stroke on="f"/>
                  <v:imagedata r:id="rId14" o:title=""/>
                  <o:lock v:ext="edit" aspectratio="f"/>
                  <w10:wrap type="none"/>
                  <w10:anchorlock/>
                </v:shape>
                <o:OLEObject Type="Embed" ProgID="Visio.Drawing.11" ShapeID="_x0000_i1026" DrawAspect="Content" ObjectID="_1468075726" r:id="rId13">
                  <o:LockedField>false</o:LockedField>
                </o:OLEObject>
              </w:object>
            </w:r>
          </w:p>
          <w:p w14:paraId="47648A50">
            <w:pPr>
              <w:keepNext w:val="0"/>
              <w:keepLines w:val="0"/>
              <w:pageBreakBefore w:val="0"/>
              <w:suppressLineNumbers w:val="0"/>
              <w:wordWrap/>
              <w:autoSpaceDE w:val="0"/>
              <w:autoSpaceDN w:val="0"/>
              <w:bidi w:val="0"/>
              <w:adjustRightInd w:val="0"/>
              <w:snapToGrid w:val="0"/>
              <w:spacing w:before="0" w:beforeAutospacing="0" w:after="0" w:afterAutospacing="0" w:line="360" w:lineRule="auto"/>
              <w:ind w:left="0" w:right="0" w:firstLine="482" w:firstLineChars="200"/>
              <w:jc w:val="center"/>
              <w:rPr>
                <w:rFonts w:hint="default" w:ascii="Times New Roman" w:hAnsi="Times New Roman" w:eastAsia="宋体" w:cs="Times New Roman"/>
                <w:color w:val="auto"/>
                <w:kern w:val="0"/>
                <w:sz w:val="24"/>
                <w:szCs w:val="24"/>
                <w:highlight w:val="green"/>
                <w:lang w:val="en-US"/>
              </w:rPr>
            </w:pPr>
            <w:r>
              <w:rPr>
                <w:rFonts w:hint="default" w:ascii="Times New Roman" w:hAnsi="Times New Roman" w:eastAsia="宋体" w:cs="Times New Roman"/>
                <w:b/>
                <w:bCs/>
                <w:color w:val="auto"/>
                <w:sz w:val="24"/>
                <w:lang w:val="en-US" w:eastAsia="zh-CN"/>
              </w:rPr>
              <w:t>图</w:t>
            </w:r>
            <w:r>
              <w:rPr>
                <w:rFonts w:hint="default" w:ascii="Times New Roman" w:hAnsi="Times New Roman" w:cs="Times New Roman"/>
                <w:b/>
                <w:bCs/>
                <w:color w:val="auto"/>
                <w:sz w:val="24"/>
                <w:lang w:val="en-US" w:eastAsia="zh-CN"/>
              </w:rPr>
              <w:t xml:space="preserve">2-2  </w:t>
            </w:r>
            <w:r>
              <w:rPr>
                <w:rFonts w:hint="default" w:ascii="Times New Roman" w:hAnsi="Times New Roman" w:eastAsia="宋体" w:cs="Times New Roman"/>
                <w:b/>
                <w:bCs/>
                <w:color w:val="auto"/>
                <w:sz w:val="24"/>
                <w:lang w:val="en-US" w:eastAsia="zh-CN"/>
              </w:rPr>
              <w:t>本项目产品链条图</w:t>
            </w:r>
          </w:p>
          <w:p w14:paraId="2C9C37CB">
            <w:pPr>
              <w:keepNext w:val="0"/>
              <w:keepLines w:val="0"/>
              <w:pageBreakBefore w:val="0"/>
              <w:suppressLineNumbers w:val="0"/>
              <w:wordWrap/>
              <w:autoSpaceDE w:val="0"/>
              <w:autoSpaceDN w:val="0"/>
              <w:bidi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0"/>
                <w:sz w:val="24"/>
                <w:szCs w:val="24"/>
                <w:highlight w:val="green"/>
              </w:rPr>
            </w:pPr>
          </w:p>
          <w:p w14:paraId="3A1EDD7B">
            <w:pPr>
              <w:keepNext w:val="0"/>
              <w:keepLines w:val="0"/>
              <w:pageBreakBefore w:val="0"/>
              <w:suppressLineNumbers w:val="0"/>
              <w:wordWrap/>
              <w:autoSpaceDE w:val="0"/>
              <w:autoSpaceDN w:val="0"/>
              <w:bidi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本项目具体生产工艺如下：</w:t>
            </w:r>
          </w:p>
          <w:p w14:paraId="04754E3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val="en-US" w:eastAsia="zh-CN"/>
              </w:rPr>
              <w:t>一、</w:t>
            </w:r>
            <w:r>
              <w:rPr>
                <w:rFonts w:hint="default" w:ascii="Times New Roman" w:hAnsi="Times New Roman" w:eastAsia="宋体" w:cs="Times New Roman"/>
                <w:b/>
                <w:bCs/>
                <w:color w:val="auto"/>
                <w:sz w:val="24"/>
                <w:lang w:val="en-US" w:eastAsia="zh-CN"/>
              </w:rPr>
              <w:t>营养土工艺流程如下：</w:t>
            </w:r>
          </w:p>
          <w:p w14:paraId="1F1DC002">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①原辅材料进场</w:t>
            </w:r>
          </w:p>
          <w:p w14:paraId="1B45BD3C">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本项目采用食品残渣、作物秸秆、林业废物、畜禽粪污、城镇污水污泥、清淤疏浚污泥、糖渣、中药渣等原料通过封闭式自卸车运输进场，卸料至湿料原料区分区分类暂存，其中</w:t>
            </w:r>
            <w:r>
              <w:rPr>
                <w:rFonts w:hint="default" w:ascii="Times New Roman" w:hAnsi="Times New Roman" w:eastAsia="宋体" w:cs="Times New Roman"/>
                <w:color w:val="auto"/>
                <w:sz w:val="24"/>
                <w:highlight w:val="none"/>
                <w:lang w:val="en-US" w:eastAsia="zh-CN"/>
              </w:rPr>
              <w:t>食品残渣、畜禽粪污、城镇污水污泥、清淤疏浚污泥、糖渣、中药渣</w:t>
            </w:r>
            <w:r>
              <w:rPr>
                <w:rFonts w:hint="default" w:ascii="Times New Roman" w:hAnsi="Times New Roman" w:eastAsia="宋体" w:cs="Times New Roman"/>
                <w:color w:val="auto"/>
                <w:sz w:val="24"/>
                <w:lang w:val="en-US" w:eastAsia="zh-CN"/>
              </w:rPr>
              <w:t>物料的含水率较高，约为</w:t>
            </w:r>
            <w:r>
              <w:rPr>
                <w:rFonts w:hint="eastAsia" w:cs="Times New Roman"/>
                <w:color w:val="auto"/>
                <w:sz w:val="24"/>
                <w:lang w:val="en-US" w:eastAsia="zh-CN"/>
              </w:rPr>
              <w:t>60%—70%</w:t>
            </w:r>
            <w:r>
              <w:rPr>
                <w:rFonts w:hint="default" w:ascii="Times New Roman" w:hAnsi="Times New Roman" w:eastAsia="宋体" w:cs="Times New Roman"/>
                <w:color w:val="auto"/>
                <w:sz w:val="24"/>
                <w:lang w:val="en-US" w:eastAsia="zh-CN"/>
              </w:rPr>
              <w:t>，作物秸秆、林业废物含水率约为</w:t>
            </w:r>
            <w:r>
              <w:rPr>
                <w:rFonts w:hint="default" w:ascii="Times New Roman" w:hAnsi="Times New Roman" w:cs="Times New Roman"/>
                <w:color w:val="auto"/>
                <w:sz w:val="24"/>
                <w:lang w:val="en-US" w:eastAsia="zh-CN"/>
              </w:rPr>
              <w:t>4</w:t>
            </w:r>
            <w:r>
              <w:rPr>
                <w:rFonts w:hint="default" w:ascii="Times New Roman" w:hAnsi="Times New Roman" w:eastAsia="宋体" w:cs="Times New Roman"/>
                <w:color w:val="auto"/>
                <w:sz w:val="24"/>
                <w:lang w:val="en-US" w:eastAsia="zh-CN"/>
              </w:rPr>
              <w:t>0%。其中工业污泥、城镇污水污泥、清淤疏浚污泥、畜禽粪污、酒糟堆放过程会产生氨、硫化氢，因此，湿料原料区设置为全封闭可收集的仓库，采用除臭剂处理，并在库顶安装负压抽风装置，湿料原料库排放的污泥恶臭气体采用生物除臭塔+活性炭吸附处理工艺处理达标后排放。</w:t>
            </w:r>
          </w:p>
          <w:p w14:paraId="6A2350D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产污节点：湿物料存储产生的恶臭。</w:t>
            </w:r>
          </w:p>
          <w:p w14:paraId="4459A783">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②搅拌</w:t>
            </w:r>
          </w:p>
          <w:p w14:paraId="4897B66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以上物料在全封闭发酵车间内加入自然发酵菌搅拌。</w:t>
            </w:r>
          </w:p>
          <w:p w14:paraId="49410E5A">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产污节点：搅拌过程产生的废气，设备运行产生的噪声。</w:t>
            </w:r>
          </w:p>
          <w:p w14:paraId="2F0AF02B">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③发酵</w:t>
            </w:r>
          </w:p>
          <w:p w14:paraId="1FD09587">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将各种原料按照配比搅拌后由布料机输送到发酵池（发酵池位于全封闭发酵车间内），填充进发酵池内，发酵池池底设有鼓风管道，经过7天的发酵期后，产出高质量营养土。</w:t>
            </w:r>
            <w:r>
              <w:rPr>
                <w:rFonts w:hint="default" w:ascii="Times New Roman" w:hAnsi="Times New Roman" w:cs="Times New Roman"/>
                <w:color w:val="auto"/>
                <w:sz w:val="24"/>
              </w:rPr>
              <w:t>项目原料中都有一定的含水率，无需添加生产用水，项目使用好氧发酵工艺，在好氧发酵初期</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堆肥初期1-3d</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有少量的渗滤液产生，后期则随着水量减少不再有渗滤液析出。该项目</w:t>
            </w:r>
            <w:r>
              <w:rPr>
                <w:rFonts w:hint="default" w:ascii="Times New Roman" w:hAnsi="Times New Roman" w:cs="Times New Roman"/>
                <w:color w:val="auto"/>
                <w:sz w:val="24"/>
                <w:lang w:eastAsia="zh-CN"/>
              </w:rPr>
              <w:t>好氧发酵初期产生的少量渗滤液</w:t>
            </w:r>
            <w:r>
              <w:rPr>
                <w:rFonts w:hint="default" w:ascii="Times New Roman" w:hAnsi="Times New Roman" w:cs="Times New Roman"/>
                <w:color w:val="auto"/>
                <w:sz w:val="24"/>
                <w:lang w:val="en-US" w:eastAsia="zh-CN"/>
              </w:rPr>
              <w:t>经发酵池内周围的边沟收集后排至厂区内污水处理站处理。</w:t>
            </w:r>
            <w:r>
              <w:rPr>
                <w:rFonts w:hint="default" w:ascii="Times New Roman" w:hAnsi="Times New Roman" w:eastAsia="宋体" w:cs="Times New Roman"/>
                <w:color w:val="auto"/>
                <w:sz w:val="24"/>
                <w:lang w:val="en-US" w:eastAsia="zh-CN"/>
              </w:rPr>
              <w:t>项目使用好氧发酵工艺，已发酵完成的营养土基本</w:t>
            </w:r>
            <w:r>
              <w:rPr>
                <w:rFonts w:hint="default" w:ascii="Times New Roman" w:hAnsi="Times New Roman" w:cs="Times New Roman"/>
                <w:color w:val="auto"/>
                <w:sz w:val="24"/>
                <w:lang w:val="en-US" w:eastAsia="zh-CN"/>
              </w:rPr>
              <w:t>没有</w:t>
            </w:r>
            <w:r>
              <w:rPr>
                <w:rFonts w:hint="default" w:ascii="Times New Roman" w:hAnsi="Times New Roman" w:eastAsia="宋体" w:cs="Times New Roman"/>
                <w:color w:val="auto"/>
                <w:sz w:val="24"/>
                <w:lang w:val="en-US" w:eastAsia="zh-CN"/>
              </w:rPr>
              <w:t>味道，成品营养土含水率约40%。产生的成品营养土部分经铲车在封闭发酵大棚现场装至封闭运输车辆，送至购买方，剩余部分进一步进行烘干、作为原料生产替代燃烧颗粒。</w:t>
            </w:r>
          </w:p>
          <w:p w14:paraId="6EC33607">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发酵工艺简介：好氧堆肥是在有氧条件下，好氧微生物通过自身的分解代谢和合成代谢过程，将一部分有机物降解成简单的无机物，从中获得微生物新陈代谢所需要的能量，同时将一部分的有机物转化合成的细胞物质，使微生物生长繁殖，产生更多的生物体过程。堆肥过程是一个生化过程，堆肥是一个具有气、液、固三相的复杂多相体，堆料在堆肥过程中对空气的需求是不断变化的。好氧堆肥原理</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微生物群落在营养、水分和通风条件合适的情况下，将原料中的有机物分解转化为二氧化碳、水、无机物和生物体细胞物质，同时释放能量，并将固体废物改良成稳定的腐殖质。</w:t>
            </w:r>
          </w:p>
          <w:p w14:paraId="34B6399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cs="Times New Roman"/>
                <w:b/>
                <w:bCs/>
                <w:color w:val="auto"/>
                <w:sz w:val="24"/>
                <w:lang w:val="en-US" w:eastAsia="zh-CN"/>
              </w:rPr>
            </w:pPr>
            <w:r>
              <w:rPr>
                <w:rFonts w:hint="default" w:ascii="Times New Roman" w:hAnsi="Times New Roman" w:eastAsia="宋体" w:cs="Times New Roman"/>
                <w:color w:val="auto"/>
                <w:sz w:val="24"/>
                <w:lang w:val="en-US" w:eastAsia="zh-CN"/>
              </w:rPr>
              <w:t>发酵过程使用生物除臭剂抑制恶臭气体产生。生物除臭剂利用微生物代谢和酶催化，将恶臭气体分解为无害物质；‌微生物吃掉臭气‌：有益菌把硫化氢、氨气等当作营养源吞噬降解；‌酶催化反应‌：菌体分泌的酶加速有机物分解，转化为水、二氧化碳等；‌抑制坏菌生长‌：优势菌群繁殖，抑制腐败菌，从源头减少臭气产生。</w:t>
            </w:r>
            <w:r>
              <w:rPr>
                <w:rFonts w:hint="default" w:ascii="Times New Roman" w:hAnsi="Times New Roman" w:cs="Times New Roman"/>
                <w:b/>
                <w:bCs/>
                <w:color w:val="auto"/>
                <w:sz w:val="24"/>
                <w:lang w:val="en-US" w:eastAsia="zh-CN"/>
              </w:rPr>
              <w:t>‌‌</w:t>
            </w:r>
          </w:p>
          <w:p w14:paraId="40A33EB4">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产污节点：发酵产生的恶臭、渗滤液。</w:t>
            </w:r>
          </w:p>
          <w:p w14:paraId="5226F5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object>
                <v:shape id="_x0000_i1027" o:spt="75" type="#_x0000_t75" style="height:74.25pt;width:351pt;" o:ole="t" filled="f" o:preferrelative="t" stroked="f" coordsize="21600,21600">
                  <v:path/>
                  <v:fill on="f" focussize="0,0"/>
                  <v:stroke on="f"/>
                  <v:imagedata r:id="rId16" o:title=""/>
                  <o:lock v:ext="edit" aspectratio="f"/>
                  <w10:wrap type="none"/>
                  <w10:anchorlock/>
                </v:shape>
                <o:OLEObject Type="Embed" ProgID="Visio.Drawing.11" ShapeID="_x0000_i1027" DrawAspect="Content" ObjectID="_1468075727" r:id="rId15">
                  <o:LockedField>false</o:LockedField>
                </o:OLEObject>
              </w:object>
            </w:r>
          </w:p>
          <w:p w14:paraId="61E657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图</w:t>
            </w:r>
            <w:r>
              <w:rPr>
                <w:rFonts w:hint="default" w:ascii="Times New Roman" w:hAnsi="Times New Roman" w:cs="Times New Roman"/>
                <w:b/>
                <w:bCs/>
                <w:color w:val="auto"/>
                <w:sz w:val="24"/>
                <w:lang w:val="en-US" w:eastAsia="zh-CN"/>
              </w:rPr>
              <w:t>2-3</w:t>
            </w:r>
            <w:r>
              <w:rPr>
                <w:rFonts w:hint="default" w:ascii="Times New Roman" w:hAnsi="Times New Roman" w:eastAsia="宋体" w:cs="Times New Roman"/>
                <w:b/>
                <w:bCs/>
                <w:color w:val="auto"/>
                <w:sz w:val="24"/>
                <w:lang w:val="en-US" w:eastAsia="zh-CN"/>
              </w:rPr>
              <w:t>本项目营养土工艺流程</w:t>
            </w:r>
          </w:p>
          <w:p w14:paraId="20D4CB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二、固废烘干生产线工艺流程</w:t>
            </w:r>
          </w:p>
          <w:p w14:paraId="6600E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项目采用搅拌式滚筒干燥机对发酵后的营养土、作物秸秆、林业废物、提铜渣浆、脱硫石膏等进行烘干。搅拌式滚筒干燥机的烘干热源为燃烧本项目自产的替代燃烧颗粒，</w:t>
            </w:r>
            <w:r>
              <w:rPr>
                <w:rFonts w:hint="default" w:ascii="Times New Roman" w:hAnsi="Times New Roman" w:cs="Times New Roman"/>
                <w:sz w:val="24"/>
                <w:lang w:val="en-US" w:eastAsia="zh-CN"/>
              </w:rPr>
              <w:t>利用燃烧机所产生的</w:t>
            </w:r>
            <w:r>
              <w:rPr>
                <w:rFonts w:hint="default" w:ascii="Times New Roman" w:hAnsi="Times New Roman" w:eastAsia="宋体" w:cs="Times New Roman"/>
                <w:color w:val="auto"/>
                <w:sz w:val="24"/>
                <w:lang w:val="en-US" w:eastAsia="zh-CN"/>
              </w:rPr>
              <w:t>燃烧烟气与被烘干的物料间接接触。</w:t>
            </w:r>
          </w:p>
          <w:p w14:paraId="34DAC5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需要烘干的物料经螺旋传送泵送至搅拌式滚筒干燥机，搅拌式滚筒干燥机是一种内加热传导型的干燥机械，筒内安装列管，套管等表面热交换器，利用金属壁传热。在干燥过程中，热量由滚筒的内壁传到其外壁，穿过附在滚筒外壁面上被干燥的物料，把物料上的水分蒸发，是一种连续式干燥的生产机械。滚筒内设有多个挡板，使物料在烘干的同时不断前进，直至搅拌式滚筒干燥机出口。搅拌式滚筒干燥机设置温度为180-300℃，烘干后的物料进入下一步工序。</w:t>
            </w:r>
          </w:p>
          <w:p w14:paraId="4C650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产污节点：烘干过程</w:t>
            </w:r>
            <w:r>
              <w:rPr>
                <w:rFonts w:hint="eastAsia" w:cs="Times New Roman"/>
                <w:b/>
                <w:bCs/>
                <w:color w:val="auto"/>
                <w:sz w:val="24"/>
                <w:lang w:val="en-US" w:eastAsia="zh-CN"/>
              </w:rPr>
              <w:t>产生的</w:t>
            </w:r>
            <w:r>
              <w:rPr>
                <w:rFonts w:hint="default" w:ascii="Times New Roman" w:hAnsi="Times New Roman" w:cs="Times New Roman"/>
                <w:b/>
                <w:bCs/>
                <w:color w:val="auto"/>
                <w:sz w:val="24"/>
                <w:lang w:val="en-US" w:eastAsia="zh-CN"/>
              </w:rPr>
              <w:t>废气、恶臭，替代燃料颗粒燃烧的烟气，设备运行产生的噪声，设备冲洗水。</w:t>
            </w:r>
          </w:p>
          <w:p w14:paraId="7BE3FD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val="en-US" w:eastAsia="zh-CN"/>
              </w:rPr>
              <w:t>三、</w:t>
            </w:r>
            <w:r>
              <w:rPr>
                <w:rFonts w:hint="default" w:ascii="Times New Roman" w:hAnsi="Times New Roman" w:eastAsia="宋体" w:cs="Times New Roman"/>
                <w:b/>
                <w:bCs/>
                <w:color w:val="auto"/>
                <w:sz w:val="24"/>
                <w:lang w:val="en-US" w:eastAsia="zh-CN"/>
              </w:rPr>
              <w:t>替代燃烧颗粒工艺流程</w:t>
            </w:r>
            <w:r>
              <w:rPr>
                <w:rFonts w:hint="default" w:ascii="Times New Roman" w:hAnsi="Times New Roman" w:cs="Times New Roman"/>
                <w:b/>
                <w:bCs/>
                <w:color w:val="auto"/>
                <w:sz w:val="24"/>
                <w:lang w:val="en-US" w:eastAsia="zh-CN"/>
              </w:rPr>
              <w:t>：</w:t>
            </w:r>
          </w:p>
          <w:p w14:paraId="5DB5FF7F">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烘干后的</w:t>
            </w:r>
            <w:r>
              <w:rPr>
                <w:rFonts w:hint="default" w:ascii="Times New Roman" w:hAnsi="Times New Roman" w:cs="Times New Roman"/>
                <w:color w:val="auto"/>
                <w:sz w:val="24"/>
                <w:lang w:val="en-US" w:eastAsia="zh-CN"/>
              </w:rPr>
              <w:t>营养土</w:t>
            </w:r>
            <w:r>
              <w:rPr>
                <w:rFonts w:hint="default" w:ascii="Times New Roman" w:hAnsi="Times New Roman" w:eastAsia="宋体" w:cs="Times New Roman"/>
                <w:color w:val="auto"/>
                <w:sz w:val="24"/>
                <w:lang w:val="en-US" w:eastAsia="zh-CN"/>
              </w:rPr>
              <w:t>由皮带送至搅拌机，烘干后的作物秸秆、林业废物、提铜渣浆由皮带送至撕碎机。</w:t>
            </w:r>
          </w:p>
          <w:p w14:paraId="2520017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①</w:t>
            </w:r>
            <w:r>
              <w:rPr>
                <w:rFonts w:hint="default" w:ascii="Times New Roman" w:hAnsi="Times New Roman" w:eastAsia="宋体" w:cs="Times New Roman"/>
                <w:color w:val="auto"/>
                <w:sz w:val="24"/>
                <w:lang w:val="en-US" w:eastAsia="zh-CN"/>
              </w:rPr>
              <w:t>撕碎</w:t>
            </w:r>
          </w:p>
          <w:p w14:paraId="78B04A93">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可再生类废物（废纸、废纺织品、废木材、废纤维及复合材料、其他再生类废物）、其他工业固体废物（废除尘布袋、废包装物）、可回收物（废纸、废纺织物）、其他垃圾（园林垃圾）、作物秸秆、林业废物原料均在上游企业挑拣过，无需进行人工挑拣，原辅料采用吨袋包装，使用包机将袋运送至生产线的密闭输送机上，由输送机运至撕碎机投料口，进入撕碎机进行次撕碎，将大件物料撕碎成小块</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最大尺寸不超过5cm</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的物料。</w:t>
            </w:r>
          </w:p>
          <w:p w14:paraId="613E98A1">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产污节点：撕碎过程产生的废气，设备运行产生的噪声。</w:t>
            </w:r>
          </w:p>
          <w:p w14:paraId="42AF76E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②</w:t>
            </w:r>
            <w:r>
              <w:rPr>
                <w:rFonts w:hint="default" w:ascii="Times New Roman" w:hAnsi="Times New Roman" w:eastAsia="宋体" w:cs="Times New Roman"/>
                <w:color w:val="auto"/>
                <w:sz w:val="24"/>
                <w:lang w:val="en-US" w:eastAsia="zh-CN"/>
              </w:rPr>
              <w:t>粉碎</w:t>
            </w:r>
          </w:p>
          <w:p w14:paraId="5191194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初步撕碎后的物料（最大尺寸不超过5cm），通过传送带传送至粉碎机上料口，进行进一步粉碎，粉碎后的物料最大尺寸不超过3mm。</w:t>
            </w:r>
          </w:p>
          <w:p w14:paraId="1F34CA85">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产污节点：撕碎过程废气，设备运行产生的噪声。</w:t>
            </w:r>
          </w:p>
          <w:p w14:paraId="7013C60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③</w:t>
            </w:r>
            <w:r>
              <w:rPr>
                <w:rFonts w:hint="default" w:ascii="Times New Roman" w:hAnsi="Times New Roman" w:eastAsia="宋体" w:cs="Times New Roman"/>
                <w:color w:val="auto"/>
                <w:sz w:val="24"/>
                <w:lang w:val="en-US" w:eastAsia="zh-CN"/>
              </w:rPr>
              <w:t>搅拌</w:t>
            </w:r>
          </w:p>
          <w:p w14:paraId="4B222F6F">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粉碎机与搅拌机由皮带连接，粉碎后的小块物料通过生产线中密闭输送机进入搅拌机内进行充分混合，原料配比（粉碎物料：发酵后的替代燃料颗粒原料为1</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1）。发酵后的替代燃料颗粒原料通过封闭皮带进入搅拌机内。</w:t>
            </w:r>
          </w:p>
          <w:p w14:paraId="174DDD61">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产污节点：搅拌过程废气，设备运行产生的噪声。</w:t>
            </w:r>
          </w:p>
          <w:p w14:paraId="34603896">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④造粒</w:t>
            </w:r>
          </w:p>
          <w:p w14:paraId="79B45987">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将搅拌后的物料输送进入造粒机，造粒机通过电加热方式升温至60℃，保持温度烘干10min，物料中大部分水分蒸发，随后通过造粒机内主轴转动，带动压辊转动，使物料挤压成型，得到尺寸为8×8×30mm的产品，成型的燃烧颗粒暂存成品区，后续作为替代燃料销售。此工序无化学反应，均为物理压实。成型后的燃料颗粒即为成品，放入成品区待售。</w:t>
            </w:r>
          </w:p>
          <w:p w14:paraId="717A2951">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产污节点：造粒过程废气，设备运行产生的噪声。</w:t>
            </w:r>
          </w:p>
          <w:p w14:paraId="74C8A173">
            <w:pPr>
              <w:keepNext w:val="0"/>
              <w:keepLines w:val="0"/>
              <w:suppressLineNumbers w:val="0"/>
              <w:spacing w:before="0" w:beforeAutospacing="0" w:after="0" w:afterAutospacing="0" w:line="240" w:lineRule="auto"/>
              <w:ind w:left="0" w:right="0"/>
              <w:jc w:val="both"/>
              <w:rPr>
                <w:rFonts w:hint="default" w:ascii="Times New Roman" w:hAnsi="Times New Roman" w:cs="Times New Roman" w:eastAsiaTheme="minorEastAsia"/>
                <w:b/>
                <w:bCs/>
                <w:sz w:val="24"/>
                <w:lang w:eastAsia="zh-CN"/>
              </w:rPr>
            </w:pPr>
            <w:r>
              <w:rPr>
                <w:rFonts w:hint="default" w:ascii="Times New Roman" w:hAnsi="Times New Roman" w:cs="Times New Roman" w:eastAsiaTheme="minorEastAsia"/>
                <w:b/>
                <w:bCs/>
                <w:sz w:val="24"/>
                <w:lang w:eastAsia="zh-CN"/>
              </w:rPr>
              <w:object>
                <v:shape id="_x0000_i1028" o:spt="75" type="#_x0000_t75" style="height:408.55pt;width:391pt;" o:ole="t" filled="f" o:preferrelative="t" stroked="f" coordsize="21600,21600">
                  <v:path/>
                  <v:fill on="f" focussize="0,0"/>
                  <v:stroke on="f"/>
                  <v:imagedata r:id="rId18" o:title=""/>
                  <o:lock v:ext="edit" aspectratio="f"/>
                  <w10:wrap type="none"/>
                  <w10:anchorlock/>
                </v:shape>
                <o:OLEObject Type="Embed" ProgID="Visio.Drawing.11" ShapeID="_x0000_i1028" DrawAspect="Content" ObjectID="_1468075728" r:id="rId17">
                  <o:LockedField>false</o:LockedField>
                </o:OLEObject>
              </w:object>
            </w:r>
          </w:p>
          <w:p w14:paraId="6EFFD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图</w:t>
            </w:r>
            <w:r>
              <w:rPr>
                <w:rFonts w:hint="default" w:ascii="Times New Roman" w:hAnsi="Times New Roman" w:cs="Times New Roman"/>
                <w:b/>
                <w:bCs/>
                <w:color w:val="auto"/>
                <w:sz w:val="24"/>
                <w:lang w:val="en-US" w:eastAsia="zh-CN"/>
              </w:rPr>
              <w:t>2-4</w:t>
            </w:r>
            <w:r>
              <w:rPr>
                <w:rFonts w:hint="default" w:ascii="Times New Roman" w:hAnsi="Times New Roman" w:eastAsia="宋体" w:cs="Times New Roman"/>
                <w:b/>
                <w:bCs/>
                <w:color w:val="auto"/>
                <w:sz w:val="24"/>
                <w:lang w:val="en-US" w:eastAsia="zh-CN"/>
              </w:rPr>
              <w:t>本项目替代燃烧颗粒工艺流程</w:t>
            </w:r>
          </w:p>
          <w:p w14:paraId="4906776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val="en-US" w:eastAsia="zh-CN"/>
              </w:rPr>
              <w:t>四、</w:t>
            </w:r>
            <w:r>
              <w:rPr>
                <w:rFonts w:hint="default" w:ascii="Times New Roman" w:hAnsi="Times New Roman" w:eastAsia="宋体" w:cs="Times New Roman"/>
                <w:b/>
                <w:bCs/>
                <w:color w:val="auto"/>
                <w:sz w:val="24"/>
                <w:lang w:val="en-US" w:eastAsia="zh-CN"/>
              </w:rPr>
              <w:t>免烧砖工艺流程如下：</w:t>
            </w:r>
          </w:p>
          <w:p w14:paraId="78ADC2F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①原料进厂：首先将</w:t>
            </w:r>
            <w:r>
              <w:rPr>
                <w:rFonts w:hint="default" w:ascii="Times New Roman" w:hAnsi="Times New Roman" w:eastAsia="宋体" w:cs="Times New Roman"/>
                <w:color w:val="auto"/>
                <w:sz w:val="24"/>
                <w:lang w:val="zh-CN" w:eastAsia="zh-CN"/>
              </w:rPr>
              <w:t>脱硫石膏、钢渣、</w:t>
            </w:r>
            <w:r>
              <w:rPr>
                <w:rFonts w:hint="default" w:ascii="Times New Roman" w:hAnsi="Times New Roman" w:eastAsia="宋体" w:cs="Times New Roman"/>
                <w:color w:val="auto"/>
                <w:sz w:val="24"/>
                <w:lang w:val="en-US" w:eastAsia="zh-CN"/>
              </w:rPr>
              <w:t>尾矿、</w:t>
            </w:r>
            <w:r>
              <w:rPr>
                <w:rFonts w:hint="default" w:ascii="Times New Roman" w:hAnsi="Times New Roman" w:eastAsia="宋体" w:cs="Times New Roman"/>
                <w:color w:val="auto"/>
                <w:sz w:val="24"/>
                <w:lang w:val="zh-CN" w:eastAsia="zh-CN"/>
              </w:rPr>
              <w:t>粉煤灰、炉渣</w:t>
            </w:r>
            <w:r>
              <w:rPr>
                <w:rFonts w:hint="default" w:ascii="Times New Roman" w:hAnsi="Times New Roman" w:eastAsia="宋体" w:cs="Times New Roman"/>
                <w:color w:val="auto"/>
                <w:sz w:val="24"/>
                <w:lang w:val="en-US" w:eastAsia="zh-CN"/>
              </w:rPr>
              <w:t>等汽车运输至各自原料库，</w:t>
            </w:r>
            <w:r>
              <w:rPr>
                <w:rFonts w:hint="default" w:ascii="Times New Roman" w:hAnsi="Times New Roman" w:eastAsia="宋体" w:cs="Times New Roman"/>
                <w:color w:val="auto"/>
                <w:sz w:val="24"/>
                <w:lang w:val="zh-CN" w:eastAsia="zh-CN"/>
              </w:rPr>
              <w:t>脱硫石膏、钢渣、</w:t>
            </w:r>
            <w:r>
              <w:rPr>
                <w:rFonts w:hint="default" w:ascii="Times New Roman" w:hAnsi="Times New Roman" w:eastAsia="宋体" w:cs="Times New Roman"/>
                <w:color w:val="auto"/>
                <w:sz w:val="24"/>
                <w:lang w:val="en-US" w:eastAsia="zh-CN"/>
              </w:rPr>
              <w:t>尾矿</w:t>
            </w:r>
            <w:r>
              <w:rPr>
                <w:rFonts w:hint="default" w:ascii="Times New Roman" w:hAnsi="Times New Roman" w:eastAsia="宋体" w:cs="Times New Roman"/>
                <w:color w:val="auto"/>
                <w:sz w:val="24"/>
                <w:lang w:val="zh-CN" w:eastAsia="zh-CN"/>
              </w:rPr>
              <w:t>、粉煤灰、炉渣</w:t>
            </w:r>
            <w:r>
              <w:rPr>
                <w:rFonts w:hint="default" w:ascii="Times New Roman" w:hAnsi="Times New Roman" w:eastAsia="宋体" w:cs="Times New Roman"/>
                <w:color w:val="auto"/>
                <w:sz w:val="24"/>
                <w:lang w:val="en-US" w:eastAsia="zh-CN"/>
              </w:rPr>
              <w:t>含水率</w:t>
            </w:r>
            <w:r>
              <w:rPr>
                <w:rFonts w:hint="eastAsia" w:cs="Times New Roman"/>
                <w:color w:val="auto"/>
                <w:sz w:val="24"/>
                <w:lang w:val="en-US" w:eastAsia="zh-CN"/>
              </w:rPr>
              <w:t>10%—20%</w:t>
            </w:r>
            <w:r>
              <w:rPr>
                <w:rFonts w:hint="default" w:ascii="Times New Roman" w:hAnsi="Times New Roman" w:eastAsia="宋体" w:cs="Times New Roman"/>
                <w:color w:val="auto"/>
                <w:sz w:val="24"/>
                <w:lang w:val="en-US" w:eastAsia="zh-CN"/>
              </w:rPr>
              <w:t>左右，分区分类存储于干料原料区。</w:t>
            </w:r>
          </w:p>
          <w:p w14:paraId="1D46FA5F">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②原料入库：</w:t>
            </w:r>
            <w:r>
              <w:rPr>
                <w:rFonts w:hint="default" w:ascii="Times New Roman" w:hAnsi="Times New Roman" w:eastAsia="宋体" w:cs="Times New Roman"/>
                <w:color w:val="auto"/>
                <w:sz w:val="24"/>
                <w:lang w:val="zh-CN" w:eastAsia="zh-CN"/>
              </w:rPr>
              <w:t>脱硫石膏、</w:t>
            </w:r>
            <w:r>
              <w:rPr>
                <w:rFonts w:hint="default" w:ascii="Times New Roman" w:hAnsi="Times New Roman" w:eastAsia="宋体" w:cs="Times New Roman"/>
                <w:color w:val="auto"/>
                <w:sz w:val="24"/>
                <w:lang w:val="en-US" w:eastAsia="zh-CN"/>
              </w:rPr>
              <w:t>脱硫剂、</w:t>
            </w:r>
            <w:r>
              <w:rPr>
                <w:rFonts w:hint="default" w:ascii="Times New Roman" w:hAnsi="Times New Roman" w:eastAsia="宋体" w:cs="Times New Roman"/>
                <w:color w:val="auto"/>
                <w:sz w:val="24"/>
                <w:lang w:val="zh-CN" w:eastAsia="zh-CN"/>
              </w:rPr>
              <w:t>钢渣、</w:t>
            </w:r>
            <w:r>
              <w:rPr>
                <w:rFonts w:hint="default" w:ascii="Times New Roman" w:hAnsi="Times New Roman" w:eastAsia="宋体" w:cs="Times New Roman"/>
                <w:color w:val="auto"/>
                <w:sz w:val="24"/>
                <w:lang w:val="en-US" w:eastAsia="zh-CN"/>
              </w:rPr>
              <w:t>尾矿</w:t>
            </w:r>
            <w:r>
              <w:rPr>
                <w:rFonts w:hint="default" w:ascii="Times New Roman" w:hAnsi="Times New Roman" w:eastAsia="宋体" w:cs="Times New Roman"/>
                <w:color w:val="auto"/>
                <w:sz w:val="24"/>
                <w:lang w:val="zh-CN" w:eastAsia="zh-CN"/>
              </w:rPr>
              <w:t>、炉渣</w:t>
            </w:r>
            <w:r>
              <w:rPr>
                <w:rFonts w:hint="default" w:ascii="Times New Roman" w:hAnsi="Times New Roman" w:eastAsia="宋体" w:cs="Times New Roman"/>
                <w:color w:val="auto"/>
                <w:sz w:val="24"/>
                <w:lang w:val="en-US" w:eastAsia="zh-CN"/>
              </w:rPr>
              <w:t>由全封闭自卸车分类运输至干料原料区。水泥</w:t>
            </w:r>
            <w:r>
              <w:rPr>
                <w:rFonts w:hint="default" w:ascii="Times New Roman" w:hAnsi="Times New Roman" w:cs="Times New Roman"/>
                <w:color w:val="auto"/>
                <w:sz w:val="24"/>
                <w:lang w:val="en-US" w:eastAsia="zh-CN"/>
              </w:rPr>
              <w:t>和粉煤灰</w:t>
            </w:r>
            <w:r>
              <w:rPr>
                <w:rFonts w:hint="default" w:ascii="Times New Roman" w:hAnsi="Times New Roman" w:eastAsia="宋体" w:cs="Times New Roman"/>
                <w:color w:val="auto"/>
                <w:sz w:val="24"/>
                <w:lang w:val="en-US" w:eastAsia="zh-CN"/>
              </w:rPr>
              <w:t>由罐车气力输送至筒仓中储存。</w:t>
            </w:r>
          </w:p>
          <w:p w14:paraId="1E1C157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产污节点：干物料卸料产生的废气、水泥和粉煤灰筒仓废气。</w:t>
            </w:r>
          </w:p>
          <w:p w14:paraId="18C2F797">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③打碎：烘干后脱硫石膏由皮带送至打碎机。由铲车将物料送至上料斗，物料由料斗落入打碎机，由打碎机将原料打碎，避免大块物料进入搅拌机。</w:t>
            </w:r>
          </w:p>
          <w:p w14:paraId="029F845A">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产污节点：打碎过程废气，设备运行产生的噪声。</w:t>
            </w:r>
          </w:p>
          <w:p w14:paraId="4EC99102">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④搅拌：打碎机与搅拌机由皮带连接，以上物料通过封闭皮带进入搅拌机内，水泥、粉煤灰通过封闭皮带进入搅拌机内，利用搅拌机将原料进行充分混合。</w:t>
            </w:r>
          </w:p>
          <w:p w14:paraId="70C9C8DF">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产污节点：搅拌过程废气，设备运行产生的噪声。</w:t>
            </w:r>
          </w:p>
          <w:p w14:paraId="1E9C5F7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⑤挤压成型：搅拌均匀后，通过封闭管道落入封闭料斗内，随后由料斗底部出料，经封闭皮带送至给料机内，由给料机直接送入挤压成型机挤压成型。</w:t>
            </w:r>
          </w:p>
          <w:p w14:paraId="2BC4926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产污节点：挤压过程噪声。</w:t>
            </w:r>
          </w:p>
          <w:p w14:paraId="1132F722">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⑥养护</w:t>
            </w:r>
          </w:p>
          <w:p w14:paraId="1A5D122E">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挤压成型后产品在成品堆场自然养护成型，成型后外售。</w:t>
            </w:r>
          </w:p>
          <w:p w14:paraId="237D73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object>
                <v:shape id="_x0000_i1029" o:spt="75" type="#_x0000_t75" style="height:313.55pt;width:358.8pt;" o:ole="t" filled="f" o:preferrelative="t" stroked="f" coordsize="21600,21600">
                  <v:path/>
                  <v:fill on="f" focussize="0,0"/>
                  <v:stroke on="f"/>
                  <v:imagedata r:id="rId20" o:title=""/>
                  <o:lock v:ext="edit" aspectratio="f"/>
                  <w10:wrap type="none"/>
                  <w10:anchorlock/>
                </v:shape>
                <o:OLEObject Type="Embed" ProgID="Visio.Drawing.11" ShapeID="_x0000_i1029" DrawAspect="Content" ObjectID="_1468075729" r:id="rId19">
                  <o:LockedField>false</o:LockedField>
                </o:OLEObject>
              </w:object>
            </w:r>
          </w:p>
          <w:p w14:paraId="24EB8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图</w:t>
            </w:r>
            <w:r>
              <w:rPr>
                <w:rFonts w:hint="default" w:ascii="Times New Roman" w:hAnsi="Times New Roman" w:cs="Times New Roman"/>
                <w:b/>
                <w:bCs/>
                <w:color w:val="auto"/>
                <w:sz w:val="24"/>
                <w:lang w:val="en-US" w:eastAsia="zh-CN"/>
              </w:rPr>
              <w:t>2-5</w:t>
            </w:r>
            <w:r>
              <w:rPr>
                <w:rFonts w:hint="default" w:ascii="Times New Roman" w:hAnsi="Times New Roman" w:eastAsia="宋体" w:cs="Times New Roman"/>
                <w:b/>
                <w:bCs/>
                <w:color w:val="auto"/>
                <w:sz w:val="24"/>
                <w:lang w:val="en-US" w:eastAsia="zh-CN"/>
              </w:rPr>
              <w:t>本项目免烧砖工艺流程</w:t>
            </w:r>
          </w:p>
          <w:p w14:paraId="23F85374">
            <w:pPr>
              <w:keepNext w:val="0"/>
              <w:keepLines w:val="0"/>
              <w:pageBreakBefore w:val="0"/>
              <w:widowControl w:val="0"/>
              <w:suppressLineNumbers w:val="0"/>
              <w:tabs>
                <w:tab w:val="left" w:pos="991"/>
              </w:tabs>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辅助工程：项目设置实验室用于化验原料一般固废以及产品性能，主要化验氯离子、硫含量等相关指标，涉及的药剂包括少量硝酸、硫酸等无机化合物，实验室位于办公楼内，设置通风橱用于通风，实验室产生的废气污染物量较小，本次评价忽略不计。</w:t>
            </w:r>
          </w:p>
          <w:p w14:paraId="466ADE01">
            <w:pPr>
              <w:keepNext w:val="0"/>
              <w:keepLines w:val="0"/>
              <w:pageBreakBefore w:val="0"/>
              <w:widowControl w:val="0"/>
              <w:suppressLineNumbers w:val="0"/>
              <w:tabs>
                <w:tab w:val="left" w:pos="991"/>
              </w:tabs>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color w:val="auto"/>
                <w:sz w:val="24"/>
                <w:lang w:val="en-GB"/>
              </w:rPr>
            </w:pPr>
            <w:r>
              <w:rPr>
                <w:rFonts w:hint="default" w:ascii="Times New Roman" w:hAnsi="Times New Roman" w:cs="Times New Roman"/>
                <w:b/>
                <w:bCs/>
                <w:color w:val="auto"/>
                <w:sz w:val="24"/>
                <w:lang w:val="en-US" w:eastAsia="zh-CN"/>
              </w:rPr>
              <w:t>辅助工程产污节点：实验室产生的废试剂、废试剂瓶，污水处理站产生的废气、污泥，洗车平台废水、沉淀池的底泥，设备维护产生的废润滑油、废液压油、废油桶，原料发酵菌来料产生的废包装物，废气处理产生的废活性炭、废催化剂。</w:t>
            </w:r>
          </w:p>
          <w:p w14:paraId="6AB92826">
            <w:pPr>
              <w:keepNext w:val="0"/>
              <w:keepLines w:val="0"/>
              <w:pageBreakBefore w:val="0"/>
              <w:widowControl w:val="0"/>
              <w:suppressLineNumbers w:val="0"/>
              <w:tabs>
                <w:tab w:val="left" w:pos="991"/>
              </w:tabs>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lang w:val="en-GB"/>
              </w:rPr>
            </w:pPr>
            <w:r>
              <w:rPr>
                <w:rFonts w:hint="default" w:ascii="Times New Roman" w:hAnsi="Times New Roman" w:cs="Times New Roman"/>
                <w:color w:val="auto"/>
                <w:sz w:val="24"/>
                <w:lang w:val="en-GB"/>
              </w:rPr>
              <w:t>主要污染工序及污染因子见表2-</w:t>
            </w:r>
            <w:r>
              <w:rPr>
                <w:rFonts w:hint="default" w:ascii="Times New Roman" w:hAnsi="Times New Roman" w:cs="Times New Roman"/>
                <w:color w:val="auto"/>
                <w:sz w:val="24"/>
                <w:lang w:val="en-US" w:eastAsia="zh-CN"/>
              </w:rPr>
              <w:t>29</w:t>
            </w:r>
            <w:r>
              <w:rPr>
                <w:rFonts w:hint="default" w:ascii="Times New Roman" w:hAnsi="Times New Roman" w:cs="Times New Roman"/>
                <w:color w:val="auto"/>
                <w:sz w:val="24"/>
                <w:lang w:val="en-GB"/>
              </w:rPr>
              <w:t>。</w:t>
            </w:r>
          </w:p>
          <w:p w14:paraId="2939CDE4">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GB" w:eastAsia="zh-CN" w:bidi="ar-SA"/>
              </w:rPr>
              <w:t>表</w:t>
            </w:r>
            <w:r>
              <w:rPr>
                <w:rFonts w:hint="default" w:ascii="Times New Roman" w:hAnsi="Times New Roman" w:eastAsia="宋体" w:cs="Times New Roman"/>
                <w:b/>
                <w:bCs/>
                <w:color w:val="auto"/>
                <w:kern w:val="2"/>
                <w:sz w:val="24"/>
                <w:szCs w:val="24"/>
                <w:lang w:val="en-US" w:eastAsia="zh-CN" w:bidi="ar-SA"/>
              </w:rPr>
              <w:t>2-</w:t>
            </w:r>
            <w:r>
              <w:rPr>
                <w:rFonts w:hint="default" w:ascii="Times New Roman" w:hAnsi="Times New Roman" w:cs="Times New Roman"/>
                <w:b/>
                <w:bCs/>
                <w:color w:val="auto"/>
                <w:kern w:val="2"/>
                <w:sz w:val="24"/>
                <w:szCs w:val="24"/>
                <w:lang w:val="en-US" w:eastAsia="zh-CN" w:bidi="ar-SA"/>
              </w:rPr>
              <w:t>29本</w:t>
            </w:r>
            <w:r>
              <w:rPr>
                <w:rFonts w:hint="default" w:ascii="Times New Roman" w:hAnsi="Times New Roman" w:eastAsia="宋体" w:cs="Times New Roman"/>
                <w:b/>
                <w:bCs/>
                <w:color w:val="auto"/>
                <w:kern w:val="2"/>
                <w:sz w:val="24"/>
                <w:szCs w:val="24"/>
                <w:lang w:val="en-US" w:eastAsia="zh-CN" w:bidi="ar-SA"/>
              </w:rPr>
              <w:t>项目主要污染工序及污染因子一览表</w:t>
            </w:r>
          </w:p>
          <w:tbl>
            <w:tblPr>
              <w:tblStyle w:val="30"/>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774"/>
              <w:gridCol w:w="938"/>
              <w:gridCol w:w="1482"/>
              <w:gridCol w:w="4161"/>
            </w:tblGrid>
            <w:tr w14:paraId="0528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5" w:type="dxa"/>
                  <w:tcBorders>
                    <w:tl2br w:val="nil"/>
                    <w:tr2bl w:val="nil"/>
                  </w:tcBorders>
                  <w:vAlign w:val="center"/>
                </w:tcPr>
                <w:p w14:paraId="44F6A44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污染因素</w:t>
                  </w:r>
                </w:p>
              </w:tc>
              <w:tc>
                <w:tcPr>
                  <w:tcW w:w="1632" w:type="dxa"/>
                  <w:gridSpan w:val="2"/>
                  <w:tcBorders>
                    <w:tl2br w:val="nil"/>
                    <w:tr2bl w:val="nil"/>
                  </w:tcBorders>
                  <w:vAlign w:val="center"/>
                </w:tcPr>
                <w:p w14:paraId="15F5FAB5">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污染工序</w:t>
                  </w:r>
                </w:p>
              </w:tc>
              <w:tc>
                <w:tcPr>
                  <w:tcW w:w="1413" w:type="dxa"/>
                  <w:tcBorders>
                    <w:tl2br w:val="nil"/>
                    <w:tr2bl w:val="nil"/>
                  </w:tcBorders>
                  <w:vAlign w:val="center"/>
                </w:tcPr>
                <w:p w14:paraId="569154C5">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污染物</w:t>
                  </w:r>
                </w:p>
              </w:tc>
              <w:tc>
                <w:tcPr>
                  <w:tcW w:w="3968" w:type="dxa"/>
                  <w:tcBorders>
                    <w:tl2br w:val="nil"/>
                    <w:tr2bl w:val="nil"/>
                  </w:tcBorders>
                  <w:vAlign w:val="center"/>
                </w:tcPr>
                <w:p w14:paraId="00D7C6B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处理措施</w:t>
                  </w:r>
                </w:p>
              </w:tc>
            </w:tr>
            <w:tr w14:paraId="7D79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25" w:type="dxa"/>
                  <w:vMerge w:val="restart"/>
                  <w:tcBorders>
                    <w:tl2br w:val="nil"/>
                    <w:tr2bl w:val="nil"/>
                  </w:tcBorders>
                  <w:vAlign w:val="center"/>
                </w:tcPr>
                <w:p w14:paraId="7BA76BC9">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废气</w:t>
                  </w:r>
                </w:p>
              </w:tc>
              <w:tc>
                <w:tcPr>
                  <w:tcW w:w="1632" w:type="dxa"/>
                  <w:gridSpan w:val="2"/>
                  <w:tcBorders>
                    <w:tl2br w:val="nil"/>
                    <w:tr2bl w:val="nil"/>
                  </w:tcBorders>
                  <w:vAlign w:val="center"/>
                </w:tcPr>
                <w:p w14:paraId="68361A92">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原料储存</w:t>
                  </w:r>
                </w:p>
              </w:tc>
              <w:tc>
                <w:tcPr>
                  <w:tcW w:w="1413" w:type="dxa"/>
                  <w:tcBorders>
                    <w:tl2br w:val="nil"/>
                    <w:tr2bl w:val="nil"/>
                  </w:tcBorders>
                  <w:vAlign w:val="center"/>
                </w:tcPr>
                <w:p w14:paraId="36AAF8D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NH</w:t>
                  </w:r>
                  <w:r>
                    <w:rPr>
                      <w:rFonts w:hint="default" w:ascii="Times New Roman" w:hAnsi="Times New Roman" w:eastAsia="宋体" w:cs="Times New Roman"/>
                      <w:color w:val="auto"/>
                      <w:kern w:val="2"/>
                      <w:sz w:val="18"/>
                      <w:szCs w:val="18"/>
                      <w:vertAlign w:val="subscript"/>
                      <w:lang w:eastAsia="zh-CN"/>
                    </w:rPr>
                    <w:t>3</w:t>
                  </w:r>
                  <w:r>
                    <w:rPr>
                      <w:rFonts w:hint="default" w:ascii="Times New Roman" w:hAnsi="Times New Roman" w:eastAsia="宋体" w:cs="Times New Roman"/>
                      <w:color w:val="auto"/>
                      <w:kern w:val="2"/>
                      <w:sz w:val="18"/>
                      <w:szCs w:val="18"/>
                      <w:lang w:eastAsia="zh-CN"/>
                    </w:rPr>
                    <w:t>、H</w:t>
                  </w:r>
                  <w:r>
                    <w:rPr>
                      <w:rFonts w:hint="default" w:ascii="Times New Roman" w:hAnsi="Times New Roman" w:eastAsia="宋体" w:cs="Times New Roman"/>
                      <w:color w:val="auto"/>
                      <w:kern w:val="2"/>
                      <w:sz w:val="18"/>
                      <w:szCs w:val="18"/>
                      <w:vertAlign w:val="subscript"/>
                      <w:lang w:eastAsia="zh-CN"/>
                    </w:rPr>
                    <w:t>2</w:t>
                  </w:r>
                  <w:r>
                    <w:rPr>
                      <w:rFonts w:hint="default" w:ascii="Times New Roman" w:hAnsi="Times New Roman" w:eastAsia="宋体" w:cs="Times New Roman"/>
                      <w:color w:val="auto"/>
                      <w:kern w:val="2"/>
                      <w:sz w:val="18"/>
                      <w:szCs w:val="18"/>
                      <w:lang w:eastAsia="zh-CN"/>
                    </w:rPr>
                    <w:t>S、臭气浓度</w:t>
                  </w:r>
                </w:p>
              </w:tc>
              <w:tc>
                <w:tcPr>
                  <w:tcW w:w="3968" w:type="dxa"/>
                  <w:vMerge w:val="restart"/>
                  <w:tcBorders>
                    <w:tl2br w:val="nil"/>
                    <w:tr2bl w:val="nil"/>
                  </w:tcBorders>
                  <w:vAlign w:val="center"/>
                </w:tcPr>
                <w:p w14:paraId="1E13E74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b w:val="0"/>
                      <w:bCs w:val="0"/>
                      <w:color w:val="auto"/>
                      <w:kern w:val="2"/>
                      <w:sz w:val="18"/>
                      <w:szCs w:val="18"/>
                      <w:lang w:val="en-US" w:eastAsia="zh-CN"/>
                    </w:rPr>
                    <w:t>湿</w:t>
                  </w:r>
                  <w:r>
                    <w:rPr>
                      <w:rFonts w:hint="default" w:ascii="Times New Roman" w:hAnsi="Times New Roman" w:eastAsia="宋体" w:cs="Times New Roman"/>
                      <w:b w:val="0"/>
                      <w:bCs w:val="0"/>
                      <w:color w:val="auto"/>
                      <w:kern w:val="2"/>
                      <w:sz w:val="18"/>
                      <w:szCs w:val="18"/>
                      <w:lang w:eastAsia="zh-CN"/>
                    </w:rPr>
                    <w:t>原料</w:t>
                  </w:r>
                  <w:r>
                    <w:rPr>
                      <w:rFonts w:hint="default" w:ascii="Times New Roman" w:hAnsi="Times New Roman" w:eastAsia="宋体" w:cs="Times New Roman"/>
                      <w:b w:val="0"/>
                      <w:bCs w:val="0"/>
                      <w:color w:val="auto"/>
                      <w:kern w:val="2"/>
                      <w:sz w:val="18"/>
                      <w:szCs w:val="18"/>
                      <w:lang w:val="en-US" w:eastAsia="zh-CN"/>
                    </w:rPr>
                    <w:t>物料存储产生恶臭，湿</w:t>
                  </w:r>
                  <w:r>
                    <w:rPr>
                      <w:rFonts w:hint="default" w:ascii="Times New Roman" w:hAnsi="Times New Roman" w:eastAsia="宋体" w:cs="Times New Roman"/>
                      <w:b w:val="0"/>
                      <w:bCs w:val="0"/>
                      <w:color w:val="auto"/>
                      <w:kern w:val="2"/>
                      <w:sz w:val="18"/>
                      <w:szCs w:val="18"/>
                      <w:lang w:eastAsia="zh-CN"/>
                    </w:rPr>
                    <w:t>原料库全封闭</w:t>
                  </w:r>
                  <w:r>
                    <w:rPr>
                      <w:rFonts w:hint="default" w:ascii="Times New Roman" w:hAnsi="Times New Roman" w:cs="Times New Roman"/>
                      <w:b w:val="0"/>
                      <w:bCs w:val="0"/>
                      <w:color w:val="auto"/>
                      <w:kern w:val="2"/>
                      <w:sz w:val="18"/>
                      <w:szCs w:val="18"/>
                      <w:lang w:eastAsia="zh-CN"/>
                    </w:rPr>
                    <w:t>，</w:t>
                  </w:r>
                  <w:r>
                    <w:rPr>
                      <w:rFonts w:hint="default" w:ascii="Times New Roman" w:hAnsi="Times New Roman" w:cs="Times New Roman"/>
                      <w:b w:val="0"/>
                      <w:bCs w:val="0"/>
                      <w:color w:val="auto"/>
                      <w:kern w:val="2"/>
                      <w:sz w:val="18"/>
                      <w:szCs w:val="18"/>
                      <w:lang w:val="en-US" w:eastAsia="zh-CN"/>
                    </w:rPr>
                    <w:t>车间墙壁设置吸风口</w:t>
                  </w:r>
                  <w:r>
                    <w:rPr>
                      <w:rFonts w:hint="default" w:ascii="Times New Roman" w:hAnsi="Times New Roman" w:eastAsia="宋体" w:cs="Times New Roman"/>
                      <w:b w:val="0"/>
                      <w:bCs w:val="0"/>
                      <w:color w:val="auto"/>
                      <w:kern w:val="2"/>
                      <w:sz w:val="18"/>
                      <w:szCs w:val="18"/>
                      <w:lang w:eastAsia="zh-CN"/>
                    </w:rPr>
                    <w:t>；发酵</w:t>
                  </w:r>
                  <w:r>
                    <w:rPr>
                      <w:rFonts w:hint="default" w:ascii="Times New Roman" w:hAnsi="Times New Roman" w:eastAsia="宋体" w:cs="Times New Roman"/>
                      <w:b w:val="0"/>
                      <w:bCs w:val="0"/>
                      <w:color w:val="auto"/>
                      <w:kern w:val="2"/>
                      <w:sz w:val="18"/>
                      <w:szCs w:val="18"/>
                      <w:lang w:val="en-US" w:eastAsia="zh-CN"/>
                    </w:rPr>
                    <w:t>过程产生恶臭，发酵车间</w:t>
                  </w:r>
                  <w:r>
                    <w:rPr>
                      <w:rFonts w:hint="default" w:ascii="Times New Roman" w:hAnsi="Times New Roman" w:eastAsia="宋体" w:cs="Times New Roman"/>
                      <w:b w:val="0"/>
                      <w:bCs w:val="0"/>
                      <w:color w:val="auto"/>
                      <w:kern w:val="2"/>
                      <w:sz w:val="18"/>
                      <w:szCs w:val="18"/>
                      <w:lang w:eastAsia="zh-CN"/>
                    </w:rPr>
                    <w:t>全封闭</w:t>
                  </w:r>
                  <w:r>
                    <w:rPr>
                      <w:rFonts w:hint="default" w:ascii="Times New Roman" w:hAnsi="Times New Roman" w:cs="Times New Roman"/>
                      <w:b w:val="0"/>
                      <w:bCs w:val="0"/>
                      <w:color w:val="auto"/>
                      <w:kern w:val="2"/>
                      <w:sz w:val="18"/>
                      <w:szCs w:val="18"/>
                      <w:lang w:eastAsia="zh-CN"/>
                    </w:rPr>
                    <w:t>，</w:t>
                  </w:r>
                  <w:r>
                    <w:rPr>
                      <w:rFonts w:hint="default" w:ascii="Times New Roman" w:hAnsi="Times New Roman" w:cs="Times New Roman"/>
                      <w:b w:val="0"/>
                      <w:bCs w:val="0"/>
                      <w:color w:val="auto"/>
                      <w:kern w:val="2"/>
                      <w:sz w:val="18"/>
                      <w:szCs w:val="18"/>
                      <w:lang w:val="en-US" w:eastAsia="zh-CN"/>
                    </w:rPr>
                    <w:t>车间墙壁设置吸风口</w:t>
                  </w:r>
                  <w:r>
                    <w:rPr>
                      <w:rFonts w:hint="default" w:ascii="Times New Roman" w:hAnsi="Times New Roman" w:eastAsia="宋体" w:cs="Times New Roman"/>
                      <w:b w:val="0"/>
                      <w:bCs w:val="0"/>
                      <w:color w:val="auto"/>
                      <w:kern w:val="2"/>
                      <w:sz w:val="18"/>
                      <w:szCs w:val="18"/>
                      <w:lang w:eastAsia="zh-CN"/>
                    </w:rPr>
                    <w:t>；</w:t>
                  </w:r>
                  <w:r>
                    <w:rPr>
                      <w:rFonts w:hint="default" w:ascii="Times New Roman" w:hAnsi="Times New Roman" w:eastAsia="宋体" w:cs="Times New Roman"/>
                      <w:b w:val="0"/>
                      <w:bCs w:val="0"/>
                      <w:color w:val="auto"/>
                      <w:kern w:val="2"/>
                      <w:sz w:val="18"/>
                      <w:szCs w:val="18"/>
                      <w:lang w:val="en-US" w:eastAsia="zh-CN"/>
                    </w:rPr>
                    <w:t>污水处理站运行时产生恶臭，污水处理站各池体加盖封闭处理，设置集气管道</w:t>
                  </w:r>
                  <w:r>
                    <w:rPr>
                      <w:rFonts w:hint="default" w:ascii="Times New Roman" w:hAnsi="Times New Roman" w:cs="Times New Roman"/>
                      <w:color w:val="auto"/>
                      <w:kern w:val="2"/>
                      <w:sz w:val="18"/>
                      <w:szCs w:val="18"/>
                      <w:lang w:val="en-US" w:eastAsia="zh-CN"/>
                    </w:rPr>
                    <w:t>，以上工序</w:t>
                  </w:r>
                  <w:r>
                    <w:rPr>
                      <w:rFonts w:hint="default" w:ascii="Times New Roman" w:hAnsi="Times New Roman" w:eastAsia="宋体" w:cs="Times New Roman"/>
                      <w:color w:val="auto"/>
                      <w:kern w:val="2"/>
                      <w:sz w:val="18"/>
                      <w:szCs w:val="18"/>
                      <w:lang w:eastAsia="zh-CN"/>
                    </w:rPr>
                    <w:t>收集的</w:t>
                  </w:r>
                  <w:r>
                    <w:rPr>
                      <w:rFonts w:hint="default" w:ascii="Times New Roman" w:hAnsi="Times New Roman" w:cs="Times New Roman"/>
                      <w:color w:val="auto"/>
                      <w:kern w:val="2"/>
                      <w:sz w:val="18"/>
                      <w:szCs w:val="18"/>
                      <w:lang w:val="en-US" w:eastAsia="zh-CN"/>
                    </w:rPr>
                    <w:t>恶臭</w:t>
                  </w:r>
                  <w:r>
                    <w:rPr>
                      <w:rFonts w:hint="default" w:ascii="Times New Roman" w:hAnsi="Times New Roman" w:eastAsia="宋体" w:cs="Times New Roman"/>
                      <w:color w:val="auto"/>
                      <w:kern w:val="2"/>
                      <w:sz w:val="18"/>
                      <w:szCs w:val="18"/>
                      <w:lang w:eastAsia="zh-CN"/>
                    </w:rPr>
                    <w:t>由风量为</w:t>
                  </w:r>
                  <w:r>
                    <w:rPr>
                      <w:rFonts w:hint="default" w:ascii="Times New Roman" w:hAnsi="Times New Roman" w:cs="Times New Roman"/>
                      <w:color w:val="auto"/>
                      <w:kern w:val="2"/>
                      <w:sz w:val="18"/>
                      <w:szCs w:val="18"/>
                      <w:lang w:val="en-US" w:eastAsia="zh-CN"/>
                    </w:rPr>
                    <w:t>40000</w:t>
                  </w:r>
                  <w:r>
                    <w:rPr>
                      <w:rFonts w:hint="default" w:ascii="Times New Roman" w:hAnsi="Times New Roman" w:eastAsia="宋体" w:cs="Times New Roman"/>
                      <w:color w:val="auto"/>
                      <w:kern w:val="2"/>
                      <w:sz w:val="18"/>
                      <w:szCs w:val="18"/>
                      <w:lang w:eastAsia="zh-CN"/>
                    </w:rPr>
                    <w:t>m</w:t>
                  </w:r>
                  <w:r>
                    <w:rPr>
                      <w:rFonts w:hint="default" w:ascii="Times New Roman" w:hAnsi="Times New Roman" w:eastAsia="宋体" w:cs="Times New Roman"/>
                      <w:color w:val="auto"/>
                      <w:kern w:val="2"/>
                      <w:sz w:val="18"/>
                      <w:szCs w:val="18"/>
                      <w:vertAlign w:val="superscript"/>
                      <w:lang w:eastAsia="zh-CN"/>
                    </w:rPr>
                    <w:t>3</w:t>
                  </w:r>
                  <w:r>
                    <w:rPr>
                      <w:rFonts w:hint="default" w:ascii="Times New Roman" w:hAnsi="Times New Roman" w:eastAsia="宋体" w:cs="Times New Roman"/>
                      <w:color w:val="auto"/>
                      <w:kern w:val="2"/>
                      <w:sz w:val="18"/>
                      <w:szCs w:val="18"/>
                      <w:lang w:eastAsia="zh-CN"/>
                    </w:rPr>
                    <w:t>/h的风机引入一套“生物除臭塔+活性炭吸附”装置进行处理，处理后废气经15m高排气筒DA001排放；</w:t>
                  </w:r>
                </w:p>
              </w:tc>
            </w:tr>
            <w:tr w14:paraId="7B73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25" w:type="dxa"/>
                  <w:vMerge w:val="continue"/>
                  <w:tcBorders>
                    <w:tl2br w:val="nil"/>
                    <w:tr2bl w:val="nil"/>
                  </w:tcBorders>
                  <w:vAlign w:val="center"/>
                </w:tcPr>
                <w:p w14:paraId="0F94310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7E03D895">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发酵</w:t>
                  </w:r>
                </w:p>
              </w:tc>
              <w:tc>
                <w:tcPr>
                  <w:tcW w:w="1413" w:type="dxa"/>
                  <w:tcBorders>
                    <w:tl2br w:val="nil"/>
                    <w:tr2bl w:val="nil"/>
                  </w:tcBorders>
                  <w:vAlign w:val="center"/>
                </w:tcPr>
                <w:p w14:paraId="75B9078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NH</w:t>
                  </w:r>
                  <w:r>
                    <w:rPr>
                      <w:rFonts w:hint="default" w:ascii="Times New Roman" w:hAnsi="Times New Roman" w:eastAsia="宋体" w:cs="Times New Roman"/>
                      <w:color w:val="auto"/>
                      <w:kern w:val="2"/>
                      <w:sz w:val="18"/>
                      <w:szCs w:val="18"/>
                      <w:vertAlign w:val="subscript"/>
                      <w:lang w:eastAsia="zh-CN"/>
                    </w:rPr>
                    <w:t>3</w:t>
                  </w:r>
                  <w:r>
                    <w:rPr>
                      <w:rFonts w:hint="default" w:ascii="Times New Roman" w:hAnsi="Times New Roman" w:eastAsia="宋体" w:cs="Times New Roman"/>
                      <w:color w:val="auto"/>
                      <w:kern w:val="2"/>
                      <w:sz w:val="18"/>
                      <w:szCs w:val="18"/>
                      <w:lang w:eastAsia="zh-CN"/>
                    </w:rPr>
                    <w:t>、H</w:t>
                  </w:r>
                  <w:r>
                    <w:rPr>
                      <w:rFonts w:hint="default" w:ascii="Times New Roman" w:hAnsi="Times New Roman" w:eastAsia="宋体" w:cs="Times New Roman"/>
                      <w:color w:val="auto"/>
                      <w:kern w:val="2"/>
                      <w:sz w:val="18"/>
                      <w:szCs w:val="18"/>
                      <w:vertAlign w:val="subscript"/>
                      <w:lang w:eastAsia="zh-CN"/>
                    </w:rPr>
                    <w:t>2</w:t>
                  </w:r>
                  <w:r>
                    <w:rPr>
                      <w:rFonts w:hint="default" w:ascii="Times New Roman" w:hAnsi="Times New Roman" w:eastAsia="宋体" w:cs="Times New Roman"/>
                      <w:color w:val="auto"/>
                      <w:kern w:val="2"/>
                      <w:sz w:val="18"/>
                      <w:szCs w:val="18"/>
                      <w:lang w:eastAsia="zh-CN"/>
                    </w:rPr>
                    <w:t>S、臭气浓度</w:t>
                  </w:r>
                </w:p>
              </w:tc>
              <w:tc>
                <w:tcPr>
                  <w:tcW w:w="3968" w:type="dxa"/>
                  <w:vMerge w:val="continue"/>
                  <w:tcBorders>
                    <w:tl2br w:val="nil"/>
                    <w:tr2bl w:val="nil"/>
                  </w:tcBorders>
                  <w:vAlign w:val="center"/>
                </w:tcPr>
                <w:p w14:paraId="3E944FE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3961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25" w:type="dxa"/>
                  <w:vMerge w:val="continue"/>
                  <w:tcBorders>
                    <w:tl2br w:val="nil"/>
                    <w:tr2bl w:val="nil"/>
                  </w:tcBorders>
                  <w:vAlign w:val="center"/>
                </w:tcPr>
                <w:p w14:paraId="662FAAC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292E634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污水处理站</w:t>
                  </w:r>
                </w:p>
              </w:tc>
              <w:tc>
                <w:tcPr>
                  <w:tcW w:w="1413" w:type="dxa"/>
                  <w:tcBorders>
                    <w:tl2br w:val="nil"/>
                    <w:tr2bl w:val="nil"/>
                  </w:tcBorders>
                  <w:vAlign w:val="center"/>
                </w:tcPr>
                <w:p w14:paraId="3BE9B92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NH</w:t>
                  </w:r>
                  <w:r>
                    <w:rPr>
                      <w:rFonts w:hint="default" w:ascii="Times New Roman" w:hAnsi="Times New Roman" w:eastAsia="宋体" w:cs="Times New Roman"/>
                      <w:color w:val="auto"/>
                      <w:kern w:val="2"/>
                      <w:sz w:val="18"/>
                      <w:szCs w:val="18"/>
                      <w:vertAlign w:val="subscript"/>
                      <w:lang w:eastAsia="zh-CN"/>
                    </w:rPr>
                    <w:t>3</w:t>
                  </w:r>
                  <w:r>
                    <w:rPr>
                      <w:rFonts w:hint="default" w:ascii="Times New Roman" w:hAnsi="Times New Roman" w:eastAsia="宋体" w:cs="Times New Roman"/>
                      <w:color w:val="auto"/>
                      <w:kern w:val="2"/>
                      <w:sz w:val="18"/>
                      <w:szCs w:val="18"/>
                      <w:lang w:eastAsia="zh-CN"/>
                    </w:rPr>
                    <w:t>、H</w:t>
                  </w:r>
                  <w:r>
                    <w:rPr>
                      <w:rFonts w:hint="default" w:ascii="Times New Roman" w:hAnsi="Times New Roman" w:eastAsia="宋体" w:cs="Times New Roman"/>
                      <w:color w:val="auto"/>
                      <w:kern w:val="2"/>
                      <w:sz w:val="18"/>
                      <w:szCs w:val="18"/>
                      <w:vertAlign w:val="subscript"/>
                      <w:lang w:eastAsia="zh-CN"/>
                    </w:rPr>
                    <w:t>2</w:t>
                  </w:r>
                  <w:r>
                    <w:rPr>
                      <w:rFonts w:hint="default" w:ascii="Times New Roman" w:hAnsi="Times New Roman" w:eastAsia="宋体" w:cs="Times New Roman"/>
                      <w:color w:val="auto"/>
                      <w:kern w:val="2"/>
                      <w:sz w:val="18"/>
                      <w:szCs w:val="18"/>
                      <w:lang w:eastAsia="zh-CN"/>
                    </w:rPr>
                    <w:t>S、臭气浓度</w:t>
                  </w:r>
                </w:p>
              </w:tc>
              <w:tc>
                <w:tcPr>
                  <w:tcW w:w="3968" w:type="dxa"/>
                  <w:vMerge w:val="continue"/>
                  <w:tcBorders>
                    <w:tl2br w:val="nil"/>
                    <w:tr2bl w:val="nil"/>
                  </w:tcBorders>
                  <w:vAlign w:val="center"/>
                </w:tcPr>
                <w:p w14:paraId="7A84AB4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2071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25" w:type="dxa"/>
                  <w:vMerge w:val="continue"/>
                  <w:tcBorders>
                    <w:tl2br w:val="nil"/>
                    <w:tr2bl w:val="nil"/>
                  </w:tcBorders>
                  <w:vAlign w:val="center"/>
                </w:tcPr>
                <w:p w14:paraId="2DE1370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3DB5A002">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替代燃料燃烧废气</w:t>
                  </w:r>
                </w:p>
              </w:tc>
              <w:tc>
                <w:tcPr>
                  <w:tcW w:w="1413" w:type="dxa"/>
                  <w:tcBorders>
                    <w:tl2br w:val="nil"/>
                    <w:tr2bl w:val="nil"/>
                  </w:tcBorders>
                  <w:vAlign w:val="center"/>
                </w:tcPr>
                <w:p w14:paraId="3FAF704E">
                  <w:pPr>
                    <w:pStyle w:val="72"/>
                    <w:keepNext w:val="0"/>
                    <w:keepLines w:val="0"/>
                    <w:widowControl/>
                    <w:suppressLineNumbers w:val="0"/>
                    <w:spacing w:before="0" w:beforeAutospacing="0" w:after="0" w:afterAutospacing="0"/>
                    <w:ind w:left="0" w:right="0"/>
                    <w:rPr>
                      <w:rFonts w:hint="default" w:ascii="Times New Roman" w:hAnsi="Times New Roman" w:cs="Times New Roman"/>
                      <w:kern w:val="2"/>
                      <w:sz w:val="18"/>
                      <w:szCs w:val="18"/>
                      <w:lang w:val="en-US" w:eastAsia="zh-CN"/>
                    </w:rPr>
                  </w:pPr>
                  <w:r>
                    <w:rPr>
                      <w:rFonts w:hint="default" w:ascii="Times New Roman" w:hAnsi="Times New Roman" w:cs="Times New Roman"/>
                      <w:color w:val="auto"/>
                      <w:kern w:val="2"/>
                      <w:sz w:val="18"/>
                      <w:szCs w:val="18"/>
                      <w:lang w:val="en-US" w:eastAsia="zh-CN"/>
                    </w:rPr>
                    <w:t>颗粒物、二氧化硫、氮氧化物、氨、汞烟气黑度</w:t>
                  </w:r>
                </w:p>
              </w:tc>
              <w:tc>
                <w:tcPr>
                  <w:tcW w:w="3968" w:type="dxa"/>
                  <w:tcBorders>
                    <w:tl2br w:val="nil"/>
                    <w:tr2bl w:val="nil"/>
                  </w:tcBorders>
                  <w:vAlign w:val="center"/>
                </w:tcPr>
                <w:p w14:paraId="35B483D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b w:val="0"/>
                      <w:bCs w:val="0"/>
                      <w:color w:val="auto"/>
                      <w:kern w:val="2"/>
                      <w:sz w:val="18"/>
                      <w:szCs w:val="18"/>
                      <w:lang w:val="en-US" w:eastAsia="zh-CN"/>
                    </w:rPr>
                    <w:t>滚筒烘干机燃烧废气引入“</w:t>
                  </w:r>
                  <w:r>
                    <w:rPr>
                      <w:rFonts w:hint="default" w:ascii="Times New Roman" w:hAnsi="Times New Roman" w:cs="Times New Roman"/>
                      <w:b w:val="0"/>
                      <w:bCs w:val="0"/>
                      <w:color w:val="auto"/>
                      <w:kern w:val="2"/>
                      <w:sz w:val="18"/>
                      <w:szCs w:val="18"/>
                      <w:highlight w:val="none"/>
                      <w:lang w:val="en-US" w:eastAsia="zh-CN"/>
                    </w:rPr>
                    <w:t>SCR脱硝+干法脱硫+脉冲布袋</w:t>
                  </w:r>
                  <w:r>
                    <w:rPr>
                      <w:rFonts w:hint="default" w:ascii="Times New Roman" w:hAnsi="Times New Roman" w:cs="Times New Roman"/>
                      <w:b w:val="0"/>
                      <w:bCs w:val="0"/>
                      <w:color w:val="auto"/>
                      <w:kern w:val="2"/>
                      <w:sz w:val="18"/>
                      <w:szCs w:val="18"/>
                      <w:highlight w:val="none"/>
                      <w:lang w:eastAsia="zh-CN"/>
                    </w:rPr>
                    <w:t>除尘器</w:t>
                  </w:r>
                  <w:r>
                    <w:rPr>
                      <w:rFonts w:hint="default" w:ascii="Times New Roman" w:hAnsi="Times New Roman" w:cs="Times New Roman"/>
                      <w:b w:val="0"/>
                      <w:bCs w:val="0"/>
                      <w:color w:val="auto"/>
                      <w:kern w:val="2"/>
                      <w:sz w:val="18"/>
                      <w:szCs w:val="18"/>
                      <w:lang w:val="en-US" w:eastAsia="zh-CN"/>
                    </w:rPr>
                    <w:t>”装置处理后</w:t>
                  </w:r>
                  <w:r>
                    <w:rPr>
                      <w:rFonts w:hint="default" w:ascii="Times New Roman" w:hAnsi="Times New Roman" w:eastAsia="宋体" w:cs="Times New Roman"/>
                      <w:b w:val="0"/>
                      <w:bCs w:val="0"/>
                      <w:color w:val="auto"/>
                      <w:kern w:val="2"/>
                      <w:sz w:val="18"/>
                      <w:szCs w:val="18"/>
                      <w:lang w:eastAsia="zh-CN"/>
                    </w:rPr>
                    <w:t>经</w:t>
                  </w:r>
                  <w:r>
                    <w:rPr>
                      <w:rFonts w:hint="default" w:ascii="Times New Roman" w:hAnsi="Times New Roman" w:cs="Times New Roman"/>
                      <w:b w:val="0"/>
                      <w:bCs w:val="0"/>
                      <w:color w:val="auto"/>
                      <w:kern w:val="2"/>
                      <w:sz w:val="18"/>
                      <w:szCs w:val="18"/>
                      <w:highlight w:val="none"/>
                      <w:lang w:eastAsia="zh-CN"/>
                    </w:rPr>
                    <w:t>2</w:t>
                  </w:r>
                  <w:r>
                    <w:rPr>
                      <w:rFonts w:hint="default" w:ascii="Times New Roman" w:hAnsi="Times New Roman" w:eastAsia="宋体" w:cs="Times New Roman"/>
                      <w:b w:val="0"/>
                      <w:bCs w:val="0"/>
                      <w:color w:val="auto"/>
                      <w:kern w:val="2"/>
                      <w:sz w:val="18"/>
                      <w:szCs w:val="18"/>
                      <w:highlight w:val="none"/>
                      <w:lang w:eastAsia="zh-CN"/>
                    </w:rPr>
                    <w:t>5m高排气筒</w:t>
                  </w:r>
                  <w:r>
                    <w:rPr>
                      <w:rFonts w:hint="default" w:ascii="Times New Roman" w:hAnsi="Times New Roman" w:eastAsia="宋体" w:cs="Times New Roman"/>
                      <w:b w:val="0"/>
                      <w:bCs w:val="0"/>
                      <w:color w:val="auto"/>
                      <w:kern w:val="2"/>
                      <w:sz w:val="18"/>
                      <w:szCs w:val="18"/>
                      <w:lang w:eastAsia="zh-CN"/>
                    </w:rPr>
                    <w:t>DA00</w:t>
                  </w:r>
                  <w:r>
                    <w:rPr>
                      <w:rFonts w:hint="default" w:ascii="Times New Roman" w:hAnsi="Times New Roman" w:cs="Times New Roman"/>
                      <w:b w:val="0"/>
                      <w:bCs w:val="0"/>
                      <w:color w:val="auto"/>
                      <w:kern w:val="2"/>
                      <w:sz w:val="18"/>
                      <w:szCs w:val="18"/>
                      <w:lang w:val="en-US" w:eastAsia="zh-CN"/>
                    </w:rPr>
                    <w:t>3</w:t>
                  </w:r>
                  <w:r>
                    <w:rPr>
                      <w:rFonts w:hint="default" w:ascii="Times New Roman" w:hAnsi="Times New Roman" w:eastAsia="宋体" w:cs="Times New Roman"/>
                      <w:b w:val="0"/>
                      <w:bCs w:val="0"/>
                      <w:color w:val="auto"/>
                      <w:kern w:val="2"/>
                      <w:sz w:val="18"/>
                      <w:szCs w:val="18"/>
                      <w:lang w:eastAsia="zh-CN"/>
                    </w:rPr>
                    <w:t>排放；</w:t>
                  </w:r>
                </w:p>
              </w:tc>
            </w:tr>
            <w:tr w14:paraId="1112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vMerge w:val="continue"/>
                  <w:tcBorders>
                    <w:tl2br w:val="nil"/>
                    <w:tr2bl w:val="nil"/>
                  </w:tcBorders>
                  <w:vAlign w:val="center"/>
                </w:tcPr>
                <w:p w14:paraId="47D94D3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5EF6C557">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烘干</w:t>
                  </w:r>
                </w:p>
              </w:tc>
              <w:tc>
                <w:tcPr>
                  <w:tcW w:w="1413" w:type="dxa"/>
                  <w:tcBorders>
                    <w:tl2br w:val="nil"/>
                    <w:tr2bl w:val="nil"/>
                  </w:tcBorders>
                  <w:vAlign w:val="center"/>
                </w:tcPr>
                <w:p w14:paraId="7B1426C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颗粒物、臭气浓度</w:t>
                  </w:r>
                </w:p>
              </w:tc>
              <w:tc>
                <w:tcPr>
                  <w:tcW w:w="3968" w:type="dxa"/>
                  <w:vMerge w:val="restart"/>
                  <w:tcBorders>
                    <w:tl2br w:val="nil"/>
                    <w:tr2bl w:val="nil"/>
                  </w:tcBorders>
                  <w:vAlign w:val="center"/>
                </w:tcPr>
                <w:p w14:paraId="11F9FBB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烘干废气、</w:t>
                  </w:r>
                  <w:r>
                    <w:rPr>
                      <w:rFonts w:hint="default" w:ascii="Times New Roman" w:hAnsi="Times New Roman" w:eastAsia="宋体" w:cs="Times New Roman"/>
                      <w:color w:val="auto"/>
                      <w:kern w:val="2"/>
                      <w:sz w:val="18"/>
                      <w:szCs w:val="18"/>
                      <w:lang w:val="en-US" w:eastAsia="zh-CN"/>
                    </w:rPr>
                    <w:t>燃烧颗粒生产线撕碎、造粒废气</w:t>
                  </w:r>
                  <w:r>
                    <w:rPr>
                      <w:rFonts w:hint="default" w:ascii="Times New Roman" w:hAnsi="Times New Roman" w:eastAsia="宋体" w:cs="Times New Roman"/>
                      <w:color w:val="auto"/>
                      <w:kern w:val="2"/>
                      <w:sz w:val="18"/>
                      <w:szCs w:val="18"/>
                      <w:lang w:eastAsia="zh-CN"/>
                    </w:rPr>
                    <w:t>均引入</w:t>
                  </w:r>
                  <w:r>
                    <w:rPr>
                      <w:rFonts w:hint="default" w:ascii="Times New Roman" w:hAnsi="Times New Roman" w:eastAsia="宋体" w:cs="Times New Roman"/>
                      <w:color w:val="auto"/>
                      <w:kern w:val="2"/>
                      <w:sz w:val="18"/>
                      <w:szCs w:val="18"/>
                      <w:lang w:val="en-US" w:eastAsia="zh-CN"/>
                    </w:rPr>
                    <w:t>低温等离子+</w:t>
                  </w:r>
                  <w:r>
                    <w:rPr>
                      <w:rFonts w:hint="default" w:ascii="Times New Roman" w:hAnsi="Times New Roman" w:cs="Times New Roman"/>
                      <w:color w:val="auto"/>
                      <w:kern w:val="2"/>
                      <w:sz w:val="18"/>
                      <w:szCs w:val="18"/>
                      <w:lang w:eastAsia="zh-CN"/>
                    </w:rPr>
                    <w:t>塑烧板除尘器</w:t>
                  </w:r>
                  <w:r>
                    <w:rPr>
                      <w:rFonts w:hint="default" w:ascii="Times New Roman" w:hAnsi="Times New Roman" w:eastAsia="宋体" w:cs="Times New Roman"/>
                      <w:color w:val="auto"/>
                      <w:kern w:val="2"/>
                      <w:sz w:val="18"/>
                      <w:szCs w:val="18"/>
                      <w:lang w:eastAsia="zh-CN"/>
                    </w:rPr>
                    <w:t>处理，处理后经排气筒DA002排放。</w:t>
                  </w:r>
                </w:p>
              </w:tc>
            </w:tr>
            <w:tr w14:paraId="4CA3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vMerge w:val="continue"/>
                  <w:tcBorders>
                    <w:tl2br w:val="nil"/>
                    <w:tr2bl w:val="nil"/>
                  </w:tcBorders>
                  <w:vAlign w:val="center"/>
                </w:tcPr>
                <w:p w14:paraId="6AE9C09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39871D7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cs="Times New Roman"/>
                      <w:color w:val="auto"/>
                      <w:kern w:val="2"/>
                      <w:sz w:val="18"/>
                      <w:szCs w:val="18"/>
                      <w:lang w:val="en-US" w:eastAsia="zh-CN"/>
                    </w:rPr>
                    <w:t>替代</w:t>
                  </w:r>
                  <w:r>
                    <w:rPr>
                      <w:rFonts w:hint="default" w:ascii="Times New Roman" w:hAnsi="Times New Roman" w:eastAsia="宋体" w:cs="Times New Roman"/>
                      <w:color w:val="auto"/>
                      <w:kern w:val="2"/>
                      <w:sz w:val="18"/>
                      <w:szCs w:val="18"/>
                      <w:lang w:val="en-US" w:eastAsia="zh-CN"/>
                    </w:rPr>
                    <w:t>燃烧颗粒生产线撕碎、造粒</w:t>
                  </w:r>
                </w:p>
              </w:tc>
              <w:tc>
                <w:tcPr>
                  <w:tcW w:w="1413" w:type="dxa"/>
                  <w:tcBorders>
                    <w:tl2br w:val="nil"/>
                    <w:tr2bl w:val="nil"/>
                  </w:tcBorders>
                  <w:vAlign w:val="center"/>
                </w:tcPr>
                <w:p w14:paraId="7179806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颗粒物</w:t>
                  </w:r>
                </w:p>
              </w:tc>
              <w:tc>
                <w:tcPr>
                  <w:tcW w:w="3968" w:type="dxa"/>
                  <w:vMerge w:val="continue"/>
                  <w:tcBorders>
                    <w:tl2br w:val="nil"/>
                    <w:tr2bl w:val="nil"/>
                  </w:tcBorders>
                  <w:vAlign w:val="center"/>
                </w:tcPr>
                <w:p w14:paraId="1507CD3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7C3F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vMerge w:val="continue"/>
                  <w:tcBorders>
                    <w:tl2br w:val="nil"/>
                    <w:tr2bl w:val="nil"/>
                  </w:tcBorders>
                  <w:vAlign w:val="center"/>
                </w:tcPr>
                <w:p w14:paraId="72BC44D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165F4B15">
                  <w:pPr>
                    <w:pStyle w:val="72"/>
                    <w:keepNext w:val="0"/>
                    <w:keepLines w:val="0"/>
                    <w:widowControl/>
                    <w:suppressLineNumbers w:val="0"/>
                    <w:spacing w:before="0" w:beforeAutospacing="0" w:after="0" w:afterAutospacing="0"/>
                    <w:ind w:left="0" w:right="0"/>
                    <w:rPr>
                      <w:rFonts w:hint="default" w:ascii="Times New Roman" w:hAnsi="Times New Roman"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制砖生产线</w:t>
                  </w:r>
                </w:p>
              </w:tc>
              <w:tc>
                <w:tcPr>
                  <w:tcW w:w="1413" w:type="dxa"/>
                  <w:tcBorders>
                    <w:tl2br w:val="nil"/>
                    <w:tr2bl w:val="nil"/>
                  </w:tcBorders>
                  <w:vAlign w:val="center"/>
                </w:tcPr>
                <w:p w14:paraId="6C0E12E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颗粒物</w:t>
                  </w:r>
                </w:p>
              </w:tc>
              <w:tc>
                <w:tcPr>
                  <w:tcW w:w="3968" w:type="dxa"/>
                  <w:tcBorders>
                    <w:tl2br w:val="nil"/>
                    <w:tr2bl w:val="nil"/>
                  </w:tcBorders>
                  <w:vAlign w:val="center"/>
                </w:tcPr>
                <w:p w14:paraId="5D6BC06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b w:val="0"/>
                      <w:bCs w:val="0"/>
                      <w:color w:val="auto"/>
                      <w:kern w:val="2"/>
                      <w:sz w:val="18"/>
                      <w:szCs w:val="18"/>
                      <w:lang w:val="en-US" w:eastAsia="zh-CN"/>
                    </w:rPr>
                    <w:t>免烧砖工序破碎、搅拌、水泥仓、粉煤灰仓废气均引入“</w:t>
                  </w:r>
                  <w:r>
                    <w:rPr>
                      <w:rFonts w:hint="default" w:ascii="Times New Roman" w:hAnsi="Times New Roman" w:cs="Times New Roman"/>
                      <w:b w:val="0"/>
                      <w:bCs w:val="0"/>
                      <w:color w:val="auto"/>
                      <w:kern w:val="2"/>
                      <w:sz w:val="18"/>
                      <w:szCs w:val="18"/>
                      <w:lang w:val="en-US" w:eastAsia="zh-CN"/>
                    </w:rPr>
                    <w:t>脉冲式布袋除尘器</w:t>
                  </w:r>
                  <w:r>
                    <w:rPr>
                      <w:rFonts w:hint="default" w:ascii="Times New Roman" w:hAnsi="Times New Roman" w:eastAsia="宋体" w:cs="Times New Roman"/>
                      <w:b w:val="0"/>
                      <w:bCs w:val="0"/>
                      <w:color w:val="auto"/>
                      <w:kern w:val="2"/>
                      <w:sz w:val="18"/>
                      <w:szCs w:val="18"/>
                      <w:lang w:val="en-US" w:eastAsia="zh-CN"/>
                    </w:rPr>
                    <w:t>”装置处理，处理后经同一排气筒DA00</w:t>
                  </w:r>
                  <w:r>
                    <w:rPr>
                      <w:rFonts w:hint="default" w:ascii="Times New Roman" w:hAnsi="Times New Roman" w:cs="Times New Roman"/>
                      <w:b w:val="0"/>
                      <w:bCs w:val="0"/>
                      <w:color w:val="auto"/>
                      <w:kern w:val="2"/>
                      <w:sz w:val="18"/>
                      <w:szCs w:val="18"/>
                      <w:lang w:val="en-US" w:eastAsia="zh-CN"/>
                    </w:rPr>
                    <w:t>4</w:t>
                  </w:r>
                  <w:r>
                    <w:rPr>
                      <w:rFonts w:hint="default" w:ascii="Times New Roman" w:hAnsi="Times New Roman" w:eastAsia="宋体" w:cs="Times New Roman"/>
                      <w:b w:val="0"/>
                      <w:bCs w:val="0"/>
                      <w:color w:val="auto"/>
                      <w:kern w:val="2"/>
                      <w:sz w:val="18"/>
                      <w:szCs w:val="18"/>
                      <w:lang w:val="en-US" w:eastAsia="zh-CN"/>
                    </w:rPr>
                    <w:t>排放，总废气量为</w:t>
                  </w:r>
                  <w:r>
                    <w:rPr>
                      <w:rFonts w:hint="default" w:ascii="Times New Roman" w:hAnsi="Times New Roman" w:cs="Times New Roman"/>
                      <w:b w:val="0"/>
                      <w:bCs w:val="0"/>
                      <w:color w:val="auto"/>
                      <w:kern w:val="2"/>
                      <w:sz w:val="18"/>
                      <w:szCs w:val="18"/>
                      <w:highlight w:val="none"/>
                      <w:lang w:val="en-US" w:eastAsia="zh-CN"/>
                    </w:rPr>
                    <w:t>16000</w:t>
                  </w:r>
                  <w:r>
                    <w:rPr>
                      <w:rFonts w:hint="default" w:ascii="Times New Roman" w:hAnsi="Times New Roman" w:eastAsia="宋体" w:cs="Times New Roman"/>
                      <w:b w:val="0"/>
                      <w:bCs w:val="0"/>
                      <w:color w:val="auto"/>
                      <w:kern w:val="2"/>
                      <w:sz w:val="18"/>
                      <w:szCs w:val="18"/>
                      <w:highlight w:val="none"/>
                      <w:lang w:val="en-US" w:eastAsia="zh-CN"/>
                    </w:rPr>
                    <w:t>m</w:t>
                  </w:r>
                  <w:r>
                    <w:rPr>
                      <w:rFonts w:hint="default" w:ascii="Times New Roman" w:hAnsi="Times New Roman" w:eastAsia="宋体" w:cs="Times New Roman"/>
                      <w:b w:val="0"/>
                      <w:bCs w:val="0"/>
                      <w:color w:val="auto"/>
                      <w:kern w:val="2"/>
                      <w:sz w:val="18"/>
                      <w:szCs w:val="18"/>
                      <w:highlight w:val="none"/>
                      <w:vertAlign w:val="superscript"/>
                      <w:lang w:val="en-US" w:eastAsia="zh-CN"/>
                    </w:rPr>
                    <w:t>3</w:t>
                  </w:r>
                  <w:r>
                    <w:rPr>
                      <w:rFonts w:hint="default" w:ascii="Times New Roman" w:hAnsi="Times New Roman" w:eastAsia="宋体" w:cs="Times New Roman"/>
                      <w:b w:val="0"/>
                      <w:bCs w:val="0"/>
                      <w:color w:val="auto"/>
                      <w:kern w:val="2"/>
                      <w:sz w:val="18"/>
                      <w:szCs w:val="18"/>
                      <w:highlight w:val="none"/>
                      <w:lang w:val="en-US" w:eastAsia="zh-CN"/>
                    </w:rPr>
                    <w:t>/h</w:t>
                  </w:r>
                  <w:r>
                    <w:rPr>
                      <w:rFonts w:hint="default" w:ascii="Times New Roman" w:hAnsi="Times New Roman" w:eastAsia="宋体" w:cs="Times New Roman"/>
                      <w:b w:val="0"/>
                      <w:bCs w:val="0"/>
                      <w:color w:val="auto"/>
                      <w:kern w:val="2"/>
                      <w:sz w:val="18"/>
                      <w:szCs w:val="18"/>
                      <w:lang w:val="en-US" w:eastAsia="zh-CN"/>
                    </w:rPr>
                    <w:t>。</w:t>
                  </w:r>
                </w:p>
              </w:tc>
            </w:tr>
            <w:tr w14:paraId="1F0E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25" w:type="dxa"/>
                  <w:vMerge w:val="restart"/>
                  <w:tcBorders>
                    <w:tl2br w:val="nil"/>
                    <w:tr2bl w:val="nil"/>
                  </w:tcBorders>
                  <w:vAlign w:val="center"/>
                </w:tcPr>
                <w:p w14:paraId="49009F79">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废水</w:t>
                  </w:r>
                </w:p>
              </w:tc>
              <w:tc>
                <w:tcPr>
                  <w:tcW w:w="1632" w:type="dxa"/>
                  <w:gridSpan w:val="2"/>
                  <w:tcBorders>
                    <w:tl2br w:val="nil"/>
                    <w:tr2bl w:val="nil"/>
                  </w:tcBorders>
                  <w:vAlign w:val="center"/>
                </w:tcPr>
                <w:p w14:paraId="11305096">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生活污水</w:t>
                  </w:r>
                </w:p>
              </w:tc>
              <w:tc>
                <w:tcPr>
                  <w:tcW w:w="1413" w:type="dxa"/>
                  <w:tcBorders>
                    <w:tl2br w:val="nil"/>
                    <w:tr2bl w:val="nil"/>
                  </w:tcBorders>
                  <w:vAlign w:val="center"/>
                </w:tcPr>
                <w:p w14:paraId="1C2A2E09">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COD、BOD5、SS、氨氮</w:t>
                  </w:r>
                </w:p>
              </w:tc>
              <w:tc>
                <w:tcPr>
                  <w:tcW w:w="3968" w:type="dxa"/>
                  <w:tcBorders>
                    <w:tl2br w:val="nil"/>
                    <w:tr2bl w:val="nil"/>
                  </w:tcBorders>
                  <w:vAlign w:val="center"/>
                </w:tcPr>
                <w:p w14:paraId="57706C3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生活污水排入</w:t>
                  </w:r>
                  <w:r>
                    <w:rPr>
                      <w:rFonts w:hint="default" w:ascii="Times New Roman" w:hAnsi="Times New Roman" w:cs="Times New Roman"/>
                      <w:color w:val="auto"/>
                      <w:kern w:val="2"/>
                      <w:sz w:val="18"/>
                      <w:szCs w:val="18"/>
                      <w:lang w:val="en-US" w:eastAsia="zh-CN"/>
                    </w:rPr>
                    <w:t>市政污水管网</w:t>
                  </w:r>
                </w:p>
              </w:tc>
            </w:tr>
            <w:tr w14:paraId="0DA6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25" w:type="dxa"/>
                  <w:vMerge w:val="continue"/>
                  <w:tcBorders>
                    <w:tl2br w:val="nil"/>
                    <w:tr2bl w:val="nil"/>
                  </w:tcBorders>
                  <w:vAlign w:val="center"/>
                </w:tcPr>
                <w:p w14:paraId="78AFC00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040D224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设备冲洗水</w:t>
                  </w:r>
                </w:p>
              </w:tc>
              <w:tc>
                <w:tcPr>
                  <w:tcW w:w="1413" w:type="dxa"/>
                  <w:vMerge w:val="restart"/>
                  <w:tcBorders>
                    <w:tl2br w:val="nil"/>
                    <w:tr2bl w:val="nil"/>
                  </w:tcBorders>
                  <w:shd w:val="clear" w:color="auto" w:fill="auto"/>
                  <w:vAlign w:val="center"/>
                </w:tcPr>
                <w:p w14:paraId="13F7DC7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pH、COD、BOD5、SS、氨氮</w:t>
                  </w:r>
                </w:p>
              </w:tc>
              <w:tc>
                <w:tcPr>
                  <w:tcW w:w="3968" w:type="dxa"/>
                  <w:vMerge w:val="restart"/>
                  <w:tcBorders>
                    <w:tl2br w:val="nil"/>
                    <w:tr2bl w:val="nil"/>
                  </w:tcBorders>
                  <w:shd w:val="clear" w:color="auto" w:fill="auto"/>
                  <w:vAlign w:val="center"/>
                </w:tcPr>
                <w:p w14:paraId="07C481A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eastAsia="zh-CN"/>
                    </w:rPr>
                    <w:t>设备冲洗水</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渗滤液</w:t>
                  </w:r>
                  <w:r>
                    <w:rPr>
                      <w:rFonts w:hint="default" w:ascii="Times New Roman" w:hAnsi="Times New Roman" w:eastAsia="宋体" w:cs="Times New Roman"/>
                      <w:color w:val="auto"/>
                      <w:kern w:val="2"/>
                      <w:sz w:val="18"/>
                      <w:szCs w:val="18"/>
                      <w:lang w:eastAsia="zh-CN"/>
                    </w:rPr>
                    <w:t>混合</w:t>
                  </w:r>
                  <w:r>
                    <w:rPr>
                      <w:rFonts w:hint="default" w:ascii="Times New Roman" w:hAnsi="Times New Roman" w:cs="Times New Roman"/>
                      <w:color w:val="auto"/>
                      <w:kern w:val="2"/>
                      <w:sz w:val="18"/>
                      <w:szCs w:val="18"/>
                      <w:lang w:val="en-US" w:eastAsia="zh-CN"/>
                    </w:rPr>
                    <w:t>后</w:t>
                  </w:r>
                  <w:r>
                    <w:rPr>
                      <w:rFonts w:hint="default" w:ascii="Times New Roman" w:hAnsi="Times New Roman" w:eastAsia="宋体" w:cs="Times New Roman"/>
                      <w:color w:val="auto"/>
                      <w:kern w:val="2"/>
                      <w:sz w:val="18"/>
                      <w:szCs w:val="18"/>
                      <w:lang w:eastAsia="zh-CN"/>
                    </w:rPr>
                    <w:t>经厂内污水处理站进行处理，处理后回用于车间地面冲洗。</w:t>
                  </w:r>
                </w:p>
              </w:tc>
            </w:tr>
            <w:tr w14:paraId="32E2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25" w:type="dxa"/>
                  <w:vMerge w:val="continue"/>
                  <w:tcBorders>
                    <w:tl2br w:val="nil"/>
                    <w:tr2bl w:val="nil"/>
                  </w:tcBorders>
                  <w:vAlign w:val="center"/>
                </w:tcPr>
                <w:p w14:paraId="42C4DF67">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6AEFE16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发酵过程渗滤液</w:t>
                  </w:r>
                </w:p>
              </w:tc>
              <w:tc>
                <w:tcPr>
                  <w:tcW w:w="1413" w:type="dxa"/>
                  <w:vMerge w:val="continue"/>
                  <w:tcBorders>
                    <w:tl2br w:val="nil"/>
                    <w:tr2bl w:val="nil"/>
                  </w:tcBorders>
                  <w:vAlign w:val="center"/>
                </w:tcPr>
                <w:p w14:paraId="11C79A2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3968" w:type="dxa"/>
                  <w:vMerge w:val="continue"/>
                  <w:tcBorders>
                    <w:tl2br w:val="nil"/>
                    <w:tr2bl w:val="nil"/>
                  </w:tcBorders>
                  <w:vAlign w:val="center"/>
                </w:tcPr>
                <w:p w14:paraId="4976714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48CF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vMerge w:val="continue"/>
                  <w:tcBorders>
                    <w:tl2br w:val="nil"/>
                    <w:tr2bl w:val="nil"/>
                  </w:tcBorders>
                  <w:vAlign w:val="center"/>
                </w:tcPr>
                <w:p w14:paraId="1DA34A9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632" w:type="dxa"/>
                  <w:gridSpan w:val="2"/>
                  <w:tcBorders>
                    <w:tl2br w:val="nil"/>
                    <w:tr2bl w:val="nil"/>
                  </w:tcBorders>
                  <w:vAlign w:val="center"/>
                </w:tcPr>
                <w:p w14:paraId="4EC6A83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洗车平台废水</w:t>
                  </w:r>
                </w:p>
              </w:tc>
              <w:tc>
                <w:tcPr>
                  <w:tcW w:w="1413" w:type="dxa"/>
                  <w:tcBorders>
                    <w:tl2br w:val="nil"/>
                    <w:tr2bl w:val="nil"/>
                  </w:tcBorders>
                  <w:vAlign w:val="center"/>
                </w:tcPr>
                <w:p w14:paraId="535BBB7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COD、BOD5、SS、氨氮</w:t>
                  </w:r>
                </w:p>
              </w:tc>
              <w:tc>
                <w:tcPr>
                  <w:tcW w:w="3968" w:type="dxa"/>
                  <w:tcBorders>
                    <w:tl2br w:val="nil"/>
                    <w:tr2bl w:val="nil"/>
                  </w:tcBorders>
                  <w:vAlign w:val="center"/>
                </w:tcPr>
                <w:p w14:paraId="67B90AA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循环使用，不外排</w:t>
                  </w:r>
                </w:p>
              </w:tc>
            </w:tr>
            <w:tr w14:paraId="215F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25" w:type="dxa"/>
                  <w:tcBorders>
                    <w:tl2br w:val="nil"/>
                    <w:tr2bl w:val="nil"/>
                  </w:tcBorders>
                  <w:vAlign w:val="center"/>
                </w:tcPr>
                <w:p w14:paraId="45CDF00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噪声</w:t>
                  </w:r>
                </w:p>
              </w:tc>
              <w:tc>
                <w:tcPr>
                  <w:tcW w:w="1632" w:type="dxa"/>
                  <w:gridSpan w:val="2"/>
                  <w:tcBorders>
                    <w:tl2br w:val="nil"/>
                    <w:tr2bl w:val="nil"/>
                  </w:tcBorders>
                  <w:vAlign w:val="center"/>
                </w:tcPr>
                <w:p w14:paraId="2F3AB32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生产设备</w:t>
                  </w:r>
                </w:p>
              </w:tc>
              <w:tc>
                <w:tcPr>
                  <w:tcW w:w="1413" w:type="dxa"/>
                  <w:tcBorders>
                    <w:tl2br w:val="nil"/>
                    <w:tr2bl w:val="nil"/>
                  </w:tcBorders>
                  <w:vAlign w:val="center"/>
                </w:tcPr>
                <w:p w14:paraId="745088F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噪声</w:t>
                  </w:r>
                </w:p>
              </w:tc>
              <w:tc>
                <w:tcPr>
                  <w:tcW w:w="3968" w:type="dxa"/>
                  <w:tcBorders>
                    <w:tl2br w:val="nil"/>
                    <w:tr2bl w:val="nil"/>
                  </w:tcBorders>
                  <w:vAlign w:val="center"/>
                </w:tcPr>
                <w:p w14:paraId="6B93598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本项目车间为单层彩钢结构，选用低噪声设备，将产噪设备布置于封闭车间内，加装基础减振，风机设软连接。</w:t>
                  </w:r>
                </w:p>
              </w:tc>
            </w:tr>
            <w:tr w14:paraId="3537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5" w:type="dxa"/>
                  <w:vMerge w:val="restart"/>
                  <w:tcBorders>
                    <w:tl2br w:val="nil"/>
                    <w:tr2bl w:val="nil"/>
                  </w:tcBorders>
                  <w:vAlign w:val="center"/>
                </w:tcPr>
                <w:p w14:paraId="08655FA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固废</w:t>
                  </w:r>
                </w:p>
              </w:tc>
              <w:tc>
                <w:tcPr>
                  <w:tcW w:w="738" w:type="dxa"/>
                  <w:vMerge w:val="restart"/>
                  <w:tcBorders>
                    <w:tl2br w:val="nil"/>
                    <w:tr2bl w:val="nil"/>
                  </w:tcBorders>
                  <w:vAlign w:val="center"/>
                </w:tcPr>
                <w:p w14:paraId="0716DB8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一般固废</w:t>
                  </w:r>
                </w:p>
              </w:tc>
              <w:tc>
                <w:tcPr>
                  <w:tcW w:w="894" w:type="dxa"/>
                  <w:vMerge w:val="restart"/>
                  <w:tcBorders>
                    <w:tl2br w:val="nil"/>
                    <w:tr2bl w:val="nil"/>
                  </w:tcBorders>
                  <w:vAlign w:val="center"/>
                </w:tcPr>
                <w:p w14:paraId="7185571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废气处理</w:t>
                  </w:r>
                </w:p>
              </w:tc>
              <w:tc>
                <w:tcPr>
                  <w:tcW w:w="1413" w:type="dxa"/>
                  <w:tcBorders>
                    <w:tl2br w:val="nil"/>
                    <w:tr2bl w:val="nil"/>
                  </w:tcBorders>
                  <w:vAlign w:val="center"/>
                </w:tcPr>
                <w:p w14:paraId="05C806B6">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除尘灰</w:t>
                  </w:r>
                </w:p>
              </w:tc>
              <w:tc>
                <w:tcPr>
                  <w:tcW w:w="3968" w:type="dxa"/>
                  <w:vMerge w:val="restart"/>
                  <w:tcBorders>
                    <w:tl2br w:val="nil"/>
                    <w:tr2bl w:val="nil"/>
                  </w:tcBorders>
                  <w:vAlign w:val="center"/>
                </w:tcPr>
                <w:p w14:paraId="5292270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集中收集后，回用于生产</w:t>
                  </w:r>
                </w:p>
              </w:tc>
            </w:tr>
            <w:tr w14:paraId="3370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5" w:type="dxa"/>
                  <w:vMerge w:val="continue"/>
                  <w:tcBorders>
                    <w:tl2br w:val="nil"/>
                    <w:tr2bl w:val="nil"/>
                  </w:tcBorders>
                  <w:vAlign w:val="center"/>
                </w:tcPr>
                <w:p w14:paraId="3257B12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39AF3DB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continue"/>
                  <w:tcBorders>
                    <w:tl2br w:val="nil"/>
                    <w:tr2bl w:val="nil"/>
                  </w:tcBorders>
                  <w:vAlign w:val="center"/>
                </w:tcPr>
                <w:p w14:paraId="5CCDBEA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413" w:type="dxa"/>
                  <w:tcBorders>
                    <w:tl2br w:val="nil"/>
                    <w:tr2bl w:val="nil"/>
                  </w:tcBorders>
                  <w:vAlign w:val="center"/>
                </w:tcPr>
                <w:p w14:paraId="3A0A8E3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废布袋</w:t>
                  </w:r>
                </w:p>
              </w:tc>
              <w:tc>
                <w:tcPr>
                  <w:tcW w:w="3968" w:type="dxa"/>
                  <w:vMerge w:val="continue"/>
                  <w:tcBorders>
                    <w:tl2br w:val="nil"/>
                    <w:tr2bl w:val="nil"/>
                  </w:tcBorders>
                  <w:vAlign w:val="center"/>
                </w:tcPr>
                <w:p w14:paraId="1429D82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040A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5" w:type="dxa"/>
                  <w:vMerge w:val="continue"/>
                  <w:tcBorders>
                    <w:tl2br w:val="nil"/>
                    <w:tr2bl w:val="nil"/>
                  </w:tcBorders>
                  <w:vAlign w:val="center"/>
                </w:tcPr>
                <w:p w14:paraId="5857FFD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259EF1E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tcBorders>
                    <w:tl2br w:val="nil"/>
                    <w:tr2bl w:val="nil"/>
                  </w:tcBorders>
                  <w:vAlign w:val="center"/>
                </w:tcPr>
                <w:p w14:paraId="0F304F7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eastAsia" w:cs="Times New Roman"/>
                      <w:color w:val="auto"/>
                      <w:kern w:val="2"/>
                      <w:sz w:val="18"/>
                      <w:szCs w:val="18"/>
                      <w:lang w:val="en-US" w:eastAsia="zh-CN"/>
                    </w:rPr>
                    <w:t>原料入厂</w:t>
                  </w:r>
                </w:p>
              </w:tc>
              <w:tc>
                <w:tcPr>
                  <w:tcW w:w="1413" w:type="dxa"/>
                  <w:tcBorders>
                    <w:tl2br w:val="nil"/>
                    <w:tr2bl w:val="nil"/>
                  </w:tcBorders>
                  <w:vAlign w:val="center"/>
                </w:tcPr>
                <w:p w14:paraId="10FACC2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废包装物</w:t>
                  </w:r>
                </w:p>
              </w:tc>
              <w:tc>
                <w:tcPr>
                  <w:tcW w:w="3968" w:type="dxa"/>
                  <w:vMerge w:val="continue"/>
                  <w:tcBorders>
                    <w:tl2br w:val="nil"/>
                    <w:tr2bl w:val="nil"/>
                  </w:tcBorders>
                  <w:vAlign w:val="center"/>
                </w:tcPr>
                <w:p w14:paraId="29A3A10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42AF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5" w:type="dxa"/>
                  <w:vMerge w:val="continue"/>
                  <w:tcBorders>
                    <w:tl2br w:val="nil"/>
                    <w:tr2bl w:val="nil"/>
                  </w:tcBorders>
                  <w:vAlign w:val="center"/>
                </w:tcPr>
                <w:p w14:paraId="4C27C41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40D636A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tcBorders>
                    <w:tl2br w:val="nil"/>
                    <w:tr2bl w:val="nil"/>
                  </w:tcBorders>
                  <w:vAlign w:val="center"/>
                </w:tcPr>
                <w:p w14:paraId="16ED4A21">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洗车平台</w:t>
                  </w:r>
                </w:p>
              </w:tc>
              <w:tc>
                <w:tcPr>
                  <w:tcW w:w="1413" w:type="dxa"/>
                  <w:tcBorders>
                    <w:tl2br w:val="nil"/>
                    <w:tr2bl w:val="nil"/>
                  </w:tcBorders>
                  <w:vAlign w:val="center"/>
                </w:tcPr>
                <w:p w14:paraId="3A02FE79">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底泥</w:t>
                  </w:r>
                </w:p>
              </w:tc>
              <w:tc>
                <w:tcPr>
                  <w:tcW w:w="3968" w:type="dxa"/>
                  <w:vMerge w:val="continue"/>
                  <w:tcBorders>
                    <w:tl2br w:val="nil"/>
                    <w:tr2bl w:val="nil"/>
                  </w:tcBorders>
                  <w:vAlign w:val="center"/>
                </w:tcPr>
                <w:p w14:paraId="04D4E9AE">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5DE7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25" w:type="dxa"/>
                  <w:vMerge w:val="continue"/>
                  <w:tcBorders>
                    <w:tl2br w:val="nil"/>
                    <w:tr2bl w:val="nil"/>
                  </w:tcBorders>
                  <w:vAlign w:val="center"/>
                </w:tcPr>
                <w:p w14:paraId="77659B1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restart"/>
                  <w:tcBorders>
                    <w:tl2br w:val="nil"/>
                    <w:tr2bl w:val="nil"/>
                  </w:tcBorders>
                  <w:vAlign w:val="center"/>
                </w:tcPr>
                <w:p w14:paraId="6A02379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危险废物</w:t>
                  </w:r>
                </w:p>
              </w:tc>
              <w:tc>
                <w:tcPr>
                  <w:tcW w:w="894" w:type="dxa"/>
                  <w:vMerge w:val="restart"/>
                  <w:tcBorders>
                    <w:tl2br w:val="nil"/>
                    <w:tr2bl w:val="nil"/>
                  </w:tcBorders>
                  <w:vAlign w:val="center"/>
                </w:tcPr>
                <w:p w14:paraId="762F5B8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设备维护</w:t>
                  </w:r>
                </w:p>
              </w:tc>
              <w:tc>
                <w:tcPr>
                  <w:tcW w:w="1413" w:type="dxa"/>
                  <w:tcBorders>
                    <w:tl2br w:val="nil"/>
                    <w:tr2bl w:val="nil"/>
                  </w:tcBorders>
                  <w:vAlign w:val="center"/>
                </w:tcPr>
                <w:p w14:paraId="4E258B3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废润滑油</w:t>
                  </w:r>
                </w:p>
              </w:tc>
              <w:tc>
                <w:tcPr>
                  <w:tcW w:w="3968" w:type="dxa"/>
                  <w:vMerge w:val="restart"/>
                  <w:tcBorders>
                    <w:tl2br w:val="nil"/>
                    <w:tr2bl w:val="nil"/>
                  </w:tcBorders>
                  <w:vAlign w:val="center"/>
                </w:tcPr>
                <w:p w14:paraId="26896027">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暂存于危废间，定期交有资质单位处理</w:t>
                  </w:r>
                </w:p>
              </w:tc>
            </w:tr>
            <w:tr w14:paraId="2F19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3605A78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670D9CA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continue"/>
                  <w:tcBorders>
                    <w:tl2br w:val="nil"/>
                    <w:tr2bl w:val="nil"/>
                  </w:tcBorders>
                  <w:vAlign w:val="center"/>
                </w:tcPr>
                <w:p w14:paraId="162FF94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413" w:type="dxa"/>
                  <w:tcBorders>
                    <w:tl2br w:val="nil"/>
                    <w:tr2bl w:val="nil"/>
                  </w:tcBorders>
                  <w:vAlign w:val="center"/>
                </w:tcPr>
                <w:p w14:paraId="20258DA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废液压油</w:t>
                  </w:r>
                </w:p>
              </w:tc>
              <w:tc>
                <w:tcPr>
                  <w:tcW w:w="3968" w:type="dxa"/>
                  <w:vMerge w:val="continue"/>
                  <w:tcBorders>
                    <w:tl2br w:val="nil"/>
                    <w:tr2bl w:val="nil"/>
                  </w:tcBorders>
                  <w:vAlign w:val="center"/>
                </w:tcPr>
                <w:p w14:paraId="32F08F0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241B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1E519AF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5509542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continue"/>
                  <w:tcBorders>
                    <w:tl2br w:val="nil"/>
                    <w:tr2bl w:val="nil"/>
                  </w:tcBorders>
                  <w:vAlign w:val="center"/>
                </w:tcPr>
                <w:p w14:paraId="43C0A51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413" w:type="dxa"/>
                  <w:tcBorders>
                    <w:tl2br w:val="nil"/>
                    <w:tr2bl w:val="nil"/>
                  </w:tcBorders>
                  <w:vAlign w:val="center"/>
                </w:tcPr>
                <w:p w14:paraId="69C66212">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废油桶</w:t>
                  </w:r>
                </w:p>
              </w:tc>
              <w:tc>
                <w:tcPr>
                  <w:tcW w:w="3968" w:type="dxa"/>
                  <w:vMerge w:val="continue"/>
                  <w:tcBorders>
                    <w:tl2br w:val="nil"/>
                    <w:tr2bl w:val="nil"/>
                  </w:tcBorders>
                  <w:vAlign w:val="center"/>
                </w:tcPr>
                <w:p w14:paraId="0B4D735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5190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7219B43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41F358E7">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restart"/>
                  <w:tcBorders>
                    <w:tl2br w:val="nil"/>
                    <w:tr2bl w:val="nil"/>
                  </w:tcBorders>
                  <w:vAlign w:val="center"/>
                </w:tcPr>
                <w:p w14:paraId="79C2246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污水处理站</w:t>
                  </w:r>
                </w:p>
              </w:tc>
              <w:tc>
                <w:tcPr>
                  <w:tcW w:w="1413" w:type="dxa"/>
                  <w:tcBorders>
                    <w:tl2br w:val="nil"/>
                    <w:tr2bl w:val="nil"/>
                  </w:tcBorders>
                  <w:vAlign w:val="center"/>
                </w:tcPr>
                <w:p w14:paraId="2D2FF44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废过滤膜</w:t>
                  </w:r>
                </w:p>
              </w:tc>
              <w:tc>
                <w:tcPr>
                  <w:tcW w:w="3968" w:type="dxa"/>
                  <w:vMerge w:val="continue"/>
                  <w:tcBorders>
                    <w:tl2br w:val="nil"/>
                    <w:tr2bl w:val="nil"/>
                  </w:tcBorders>
                  <w:vAlign w:val="center"/>
                </w:tcPr>
                <w:p w14:paraId="127E013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5D0C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0D72E57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572FDBA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continue"/>
                  <w:tcBorders>
                    <w:tl2br w:val="nil"/>
                    <w:tr2bl w:val="nil"/>
                  </w:tcBorders>
                  <w:vAlign w:val="center"/>
                </w:tcPr>
                <w:p w14:paraId="159CDE7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413" w:type="dxa"/>
                  <w:tcBorders>
                    <w:tl2br w:val="nil"/>
                    <w:tr2bl w:val="nil"/>
                  </w:tcBorders>
                  <w:vAlign w:val="center"/>
                </w:tcPr>
                <w:p w14:paraId="5F4C757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污泥</w:t>
                  </w:r>
                </w:p>
              </w:tc>
              <w:tc>
                <w:tcPr>
                  <w:tcW w:w="3968" w:type="dxa"/>
                  <w:vMerge w:val="continue"/>
                  <w:tcBorders>
                    <w:tl2br w:val="nil"/>
                    <w:tr2bl w:val="nil"/>
                  </w:tcBorders>
                  <w:vAlign w:val="center"/>
                </w:tcPr>
                <w:p w14:paraId="08063E0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7F9D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4D778E3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01DCFA1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restart"/>
                  <w:tcBorders>
                    <w:tl2br w:val="nil"/>
                    <w:tr2bl w:val="nil"/>
                  </w:tcBorders>
                  <w:vAlign w:val="center"/>
                </w:tcPr>
                <w:p w14:paraId="7D670AF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实验室</w:t>
                  </w:r>
                </w:p>
              </w:tc>
              <w:tc>
                <w:tcPr>
                  <w:tcW w:w="1413" w:type="dxa"/>
                  <w:tcBorders>
                    <w:tl2br w:val="nil"/>
                    <w:tr2bl w:val="nil"/>
                  </w:tcBorders>
                  <w:vAlign w:val="center"/>
                </w:tcPr>
                <w:p w14:paraId="49D1835F">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废试剂</w:t>
                  </w:r>
                </w:p>
              </w:tc>
              <w:tc>
                <w:tcPr>
                  <w:tcW w:w="3968" w:type="dxa"/>
                  <w:vMerge w:val="continue"/>
                  <w:tcBorders>
                    <w:tl2br w:val="nil"/>
                    <w:tr2bl w:val="nil"/>
                  </w:tcBorders>
                  <w:vAlign w:val="center"/>
                </w:tcPr>
                <w:p w14:paraId="4DA1FD1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3B25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2E91300A">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4D75CF0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vMerge w:val="continue"/>
                  <w:tcBorders>
                    <w:tl2br w:val="nil"/>
                    <w:tr2bl w:val="nil"/>
                  </w:tcBorders>
                  <w:vAlign w:val="center"/>
                </w:tcPr>
                <w:p w14:paraId="2C68E5CB">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1413" w:type="dxa"/>
                  <w:tcBorders>
                    <w:tl2br w:val="nil"/>
                    <w:tr2bl w:val="nil"/>
                  </w:tcBorders>
                  <w:vAlign w:val="center"/>
                </w:tcPr>
                <w:p w14:paraId="6FA82E04">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cs="Times New Roman"/>
                      <w:color w:val="auto"/>
                      <w:kern w:val="2"/>
                      <w:sz w:val="18"/>
                      <w:szCs w:val="18"/>
                      <w:lang w:val="en-US" w:eastAsia="zh-CN"/>
                    </w:rPr>
                    <w:t>废试剂瓶</w:t>
                  </w:r>
                </w:p>
              </w:tc>
              <w:tc>
                <w:tcPr>
                  <w:tcW w:w="3968" w:type="dxa"/>
                  <w:vMerge w:val="continue"/>
                  <w:tcBorders>
                    <w:tl2br w:val="nil"/>
                    <w:tr2bl w:val="nil"/>
                  </w:tcBorders>
                  <w:vAlign w:val="center"/>
                </w:tcPr>
                <w:p w14:paraId="51B6749D">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r w14:paraId="4974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continue"/>
                  <w:tcBorders>
                    <w:tl2br w:val="nil"/>
                    <w:tr2bl w:val="nil"/>
                  </w:tcBorders>
                  <w:vAlign w:val="center"/>
                </w:tcPr>
                <w:p w14:paraId="36659528">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738" w:type="dxa"/>
                  <w:vMerge w:val="continue"/>
                  <w:tcBorders>
                    <w:tl2br w:val="nil"/>
                    <w:tr2bl w:val="nil"/>
                  </w:tcBorders>
                  <w:vAlign w:val="center"/>
                </w:tcPr>
                <w:p w14:paraId="1B4BAD66">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c>
                <w:tcPr>
                  <w:tcW w:w="894" w:type="dxa"/>
                  <w:tcBorders>
                    <w:tl2br w:val="nil"/>
                    <w:tr2bl w:val="nil"/>
                  </w:tcBorders>
                  <w:vAlign w:val="center"/>
                </w:tcPr>
                <w:p w14:paraId="60D368BC">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废气治理设施</w:t>
                  </w:r>
                </w:p>
              </w:tc>
              <w:tc>
                <w:tcPr>
                  <w:tcW w:w="1413" w:type="dxa"/>
                  <w:tcBorders>
                    <w:tl2br w:val="nil"/>
                    <w:tr2bl w:val="nil"/>
                  </w:tcBorders>
                  <w:vAlign w:val="center"/>
                </w:tcPr>
                <w:p w14:paraId="05BC48F0">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eastAsia="zh-CN"/>
                    </w:rPr>
                    <w:t>废活性炭</w:t>
                  </w:r>
                  <w:r>
                    <w:rPr>
                      <w:rFonts w:hint="default" w:ascii="Times New Roman" w:hAnsi="Times New Roman" w:cs="Times New Roman"/>
                      <w:color w:val="auto"/>
                      <w:kern w:val="2"/>
                      <w:sz w:val="18"/>
                      <w:szCs w:val="18"/>
                      <w:lang w:eastAsia="zh-CN"/>
                    </w:rPr>
                    <w:t>、</w:t>
                  </w:r>
                  <w:r>
                    <w:rPr>
                      <w:rFonts w:hint="default" w:ascii="Times New Roman" w:hAnsi="Times New Roman" w:cs="Times New Roman"/>
                      <w:color w:val="auto"/>
                      <w:kern w:val="2"/>
                      <w:sz w:val="18"/>
                      <w:szCs w:val="18"/>
                      <w:lang w:val="en-US" w:eastAsia="zh-CN"/>
                    </w:rPr>
                    <w:t>废催化剂</w:t>
                  </w:r>
                </w:p>
              </w:tc>
              <w:tc>
                <w:tcPr>
                  <w:tcW w:w="3968" w:type="dxa"/>
                  <w:vMerge w:val="continue"/>
                  <w:tcBorders>
                    <w:tl2br w:val="nil"/>
                    <w:tr2bl w:val="nil"/>
                  </w:tcBorders>
                  <w:vAlign w:val="center"/>
                </w:tcPr>
                <w:p w14:paraId="701B62C3">
                  <w:pPr>
                    <w:pStyle w:val="72"/>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18"/>
                      <w:szCs w:val="18"/>
                      <w:lang w:eastAsia="zh-CN"/>
                    </w:rPr>
                  </w:pPr>
                </w:p>
              </w:tc>
            </w:tr>
          </w:tbl>
          <w:p w14:paraId="1A9D2750">
            <w:pPr>
              <w:pStyle w:val="99"/>
              <w:keepNext w:val="0"/>
              <w:keepLines w:val="0"/>
              <w:pageBreakBefore w:val="0"/>
              <w:numPr>
                <w:ilvl w:val="0"/>
                <w:numId w:val="0"/>
              </w:numPr>
              <w:suppressLineNumbers w:val="0"/>
              <w:tabs>
                <w:tab w:val="clear" w:pos="0"/>
              </w:tabs>
              <w:wordWrap/>
              <w:bidi w:val="0"/>
              <w:adjustRightInd w:val="0"/>
              <w:snapToGrid w:val="0"/>
              <w:spacing w:before="0" w:beforeAutospacing="0" w:after="0" w:afterAutospacing="0"/>
              <w:ind w:left="0" w:leftChars="0" w:right="0" w:rightChars="0" w:firstLine="0" w:firstLineChars="0"/>
              <w:rPr>
                <w:rFonts w:hint="default" w:ascii="Times New Roman" w:hAnsi="Times New Roman" w:cs="Times New Roman"/>
                <w:color w:val="000000" w:themeColor="text1"/>
                <w:spacing w:val="0"/>
                <w:highlight w:val="green"/>
                <w:lang w:val="en-US" w:eastAsia="zh-CN"/>
                <w14:textFill>
                  <w14:solidFill>
                    <w14:schemeClr w14:val="tx1"/>
                  </w14:solidFill>
                </w14:textFill>
              </w:rPr>
            </w:pPr>
          </w:p>
          <w:p w14:paraId="73E59D81">
            <w:pPr>
              <w:keepNext w:val="0"/>
              <w:keepLines w:val="0"/>
              <w:pageBreakBefore w:val="0"/>
              <w:suppressLineNumbers w:val="0"/>
              <w:wordWrap/>
              <w:bidi w:val="0"/>
              <w:adjustRightInd w:val="0"/>
              <w:snapToGrid w:val="0"/>
              <w:spacing w:before="0" w:beforeAutospacing="0" w:after="0" w:afterAutospacing="0"/>
              <w:ind w:left="0" w:leftChars="0" w:right="0" w:rightChars="0"/>
              <w:rPr>
                <w:rFonts w:hint="default" w:ascii="Times New Roman" w:hAnsi="Times New Roman" w:eastAsia="宋体" w:cs="Times New Roman"/>
                <w:color w:val="000000" w:themeColor="text1"/>
                <w:spacing w:val="0"/>
                <w:kern w:val="2"/>
                <w:sz w:val="21"/>
                <w:szCs w:val="24"/>
                <w:highlight w:val="green"/>
                <w:lang w:val="en-US" w:eastAsia="zh-CN" w:bidi="ar-SA"/>
                <w14:textFill>
                  <w14:solidFill>
                    <w14:schemeClr w14:val="tx1"/>
                  </w14:solidFill>
                </w14:textFill>
              </w:rPr>
            </w:pPr>
          </w:p>
        </w:tc>
      </w:tr>
      <w:tr w14:paraId="3042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shd w:val="clear" w:color="auto" w:fill="auto"/>
            <w:vAlign w:val="center"/>
          </w:tcPr>
          <w:p w14:paraId="7CCFE75C">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05" w:leftChars="-50" w:right="-105" w:rightChars="-50"/>
              <w:jc w:val="center"/>
              <w:textAlignment w:val="auto"/>
              <w:rPr>
                <w:rFonts w:hint="default" w:ascii="Times New Roman" w:hAnsi="Times New Roman" w:eastAsia="宋体" w:cs="Times New Roman"/>
                <w:color w:val="000000" w:themeColor="text1"/>
                <w:spacing w:val="0"/>
                <w:kern w:val="0"/>
                <w:sz w:val="24"/>
                <w:szCs w:val="24"/>
                <w:highlight w:val="none"/>
                <w:lang w:val="en-US" w:eastAsia="zh-CN" w:bidi="ar-SA"/>
                <w14:textFill>
                  <w14:solidFill>
                    <w14:schemeClr w14:val="tx1"/>
                  </w14:solidFill>
                </w14:textFill>
              </w:rPr>
            </w:pPr>
            <w:r>
              <w:rPr>
                <w:rFonts w:hint="default" w:ascii="Times New Roman" w:hAnsi="Times New Roman" w:cs="Times New Roman"/>
                <w:bCs/>
                <w:color w:val="000000" w:themeColor="text1"/>
                <w:spacing w:val="0"/>
                <w:kern w:val="2"/>
                <w:sz w:val="24"/>
                <w:szCs w:val="24"/>
                <w:highlight w:val="none"/>
                <w14:textFill>
                  <w14:solidFill>
                    <w14:schemeClr w14:val="tx1"/>
                  </w14:solidFill>
                </w14:textFill>
              </w:rPr>
              <w:t>与项目有关的原有环境污染问题</w:t>
            </w:r>
          </w:p>
        </w:tc>
        <w:tc>
          <w:tcPr>
            <w:tcW w:w="8609" w:type="dxa"/>
            <w:shd w:val="clear" w:color="auto" w:fill="auto"/>
            <w:vAlign w:val="center"/>
          </w:tcPr>
          <w:p w14:paraId="18C266C2">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default" w:ascii="Times New Roman" w:hAnsi="Times New Roman" w:cs="Times New Roman"/>
                <w:bCs/>
                <w:color w:val="000000" w:themeColor="text1"/>
                <w:spacing w:val="0"/>
                <w:kern w:val="2"/>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pacing w:val="0"/>
                <w:kern w:val="2"/>
                <w:sz w:val="24"/>
                <w:szCs w:val="24"/>
                <w:highlight w:val="none"/>
                <w:lang w:val="en-US" w:eastAsia="zh-CN"/>
                <w14:textFill>
                  <w14:solidFill>
                    <w14:schemeClr w14:val="tx1"/>
                  </w14:solidFill>
                </w14:textFill>
              </w:rPr>
              <w:t>本项目为新建项目，租赁</w:t>
            </w:r>
            <w:r>
              <w:rPr>
                <w:rFonts w:hint="default" w:ascii="Times New Roman" w:hAnsi="Times New Roman" w:cs="Times New Roman"/>
                <w:bCs/>
                <w:color w:val="000000" w:themeColor="text1"/>
                <w:spacing w:val="0"/>
                <w:kern w:val="2"/>
                <w:sz w:val="24"/>
                <w:szCs w:val="24"/>
                <w:highlight w:val="none"/>
                <w:lang w:eastAsia="zh-CN"/>
                <w14:textFill>
                  <w14:solidFill>
                    <w14:schemeClr w14:val="tx1"/>
                  </w14:solidFill>
                </w14:textFill>
              </w:rPr>
              <w:t>迁安市仁通金属制品有限公司</w:t>
            </w:r>
            <w:r>
              <w:rPr>
                <w:rFonts w:hint="default" w:ascii="Times New Roman" w:hAnsi="Times New Roman" w:cs="Times New Roman"/>
                <w:bCs/>
                <w:color w:val="000000" w:themeColor="text1"/>
                <w:spacing w:val="0"/>
                <w:kern w:val="2"/>
                <w:sz w:val="24"/>
                <w:szCs w:val="24"/>
                <w:highlight w:val="none"/>
                <w:lang w:val="en-US" w:eastAsia="zh-CN"/>
                <w14:textFill>
                  <w14:solidFill>
                    <w14:schemeClr w14:val="tx1"/>
                  </w14:solidFill>
                </w14:textFill>
              </w:rPr>
              <w:t>现有厂房，</w:t>
            </w:r>
            <w:r>
              <w:rPr>
                <w:rFonts w:hint="default" w:ascii="Times New Roman" w:hAnsi="Times New Roman" w:cs="Times New Roman"/>
                <w:bCs/>
                <w:color w:val="000000" w:themeColor="text1"/>
                <w:spacing w:val="0"/>
                <w:kern w:val="2"/>
                <w:sz w:val="24"/>
                <w:szCs w:val="24"/>
                <w:highlight w:val="none"/>
                <w:lang w:eastAsia="zh-CN"/>
                <w14:textFill>
                  <w14:solidFill>
                    <w14:schemeClr w14:val="tx1"/>
                  </w14:solidFill>
                </w14:textFill>
              </w:rPr>
              <w:t>迁安市仁通金属制品有限公司</w:t>
            </w:r>
            <w:r>
              <w:rPr>
                <w:rFonts w:hint="default" w:ascii="Times New Roman" w:hAnsi="Times New Roman" w:cs="Times New Roman"/>
                <w:bCs/>
                <w:color w:val="000000" w:themeColor="text1"/>
                <w:spacing w:val="0"/>
                <w:kern w:val="2"/>
                <w:sz w:val="24"/>
                <w:szCs w:val="24"/>
                <w:highlight w:val="none"/>
                <w:lang w:val="en-US" w:eastAsia="zh-CN"/>
                <w14:textFill>
                  <w14:solidFill>
                    <w14:schemeClr w14:val="tx1"/>
                  </w14:solidFill>
                </w14:textFill>
              </w:rPr>
              <w:t>现有厂房建成后一直处于闲置状态，无生产设备，因此无与本项目有关的原有环境污染问题。</w:t>
            </w:r>
          </w:p>
          <w:p w14:paraId="6F0745A7">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rPr>
                <w:rFonts w:hint="default" w:ascii="Times New Roman" w:hAnsi="Times New Roman" w:cs="Times New Roman"/>
                <w:bCs/>
                <w:color w:val="000000" w:themeColor="text1"/>
                <w:spacing w:val="0"/>
                <w:kern w:val="2"/>
                <w:sz w:val="24"/>
                <w:szCs w:val="24"/>
                <w:highlight w:val="none"/>
                <w:lang w:val="en-US" w:eastAsia="zh-CN"/>
                <w14:textFill>
                  <w14:solidFill>
                    <w14:schemeClr w14:val="tx1"/>
                  </w14:solidFill>
                </w14:textFill>
              </w:rPr>
            </w:pPr>
          </w:p>
          <w:p w14:paraId="2D5EF4D5">
            <w:pPr>
              <w:pStyle w:val="117"/>
              <w:keepNext w:val="0"/>
              <w:keepLines w:val="0"/>
              <w:pageBreakBefore w:val="0"/>
              <w:suppressLineNumbers w:val="0"/>
              <w:kinsoku/>
              <w:wordWrap/>
              <w:bidi w:val="0"/>
              <w:adjustRightInd w:val="0"/>
              <w:snapToGrid w:val="0"/>
              <w:spacing w:before="0" w:beforeAutospacing="0" w:after="0" w:afterAutospacing="0" w:line="360" w:lineRule="auto"/>
              <w:ind w:left="0" w:right="0" w:firstLine="482"/>
              <w:jc w:val="both"/>
              <w:rPr>
                <w:rFonts w:hint="default" w:ascii="Times New Roman" w:hAnsi="Times New Roman" w:eastAsia="宋体" w:cs="Times New Roman"/>
                <w:b/>
                <w:bCs/>
                <w:color w:val="000000"/>
                <w:sz w:val="24"/>
                <w:szCs w:val="24"/>
                <w:highlight w:val="none"/>
              </w:rPr>
            </w:pPr>
          </w:p>
          <w:p w14:paraId="390697E9">
            <w:pPr>
              <w:pStyle w:val="117"/>
              <w:keepNext w:val="0"/>
              <w:keepLines w:val="0"/>
              <w:pageBreakBefore w:val="0"/>
              <w:suppressLineNumbers w:val="0"/>
              <w:kinsoku/>
              <w:wordWrap/>
              <w:bidi w:val="0"/>
              <w:adjustRightInd w:val="0"/>
              <w:snapToGrid w:val="0"/>
              <w:spacing w:before="0" w:beforeAutospacing="0" w:after="0" w:afterAutospacing="0" w:line="360" w:lineRule="auto"/>
              <w:ind w:left="0" w:right="0" w:firstLine="482"/>
              <w:jc w:val="both"/>
              <w:rPr>
                <w:rFonts w:hint="default" w:ascii="Times New Roman" w:hAnsi="Times New Roman" w:eastAsia="宋体" w:cs="Times New Roman"/>
                <w:b/>
                <w:bCs/>
                <w:color w:val="000000"/>
                <w:sz w:val="24"/>
                <w:szCs w:val="24"/>
                <w:highlight w:val="none"/>
              </w:rPr>
            </w:pPr>
          </w:p>
          <w:p w14:paraId="5FFE8508">
            <w:pPr>
              <w:pStyle w:val="117"/>
              <w:keepNext w:val="0"/>
              <w:keepLines w:val="0"/>
              <w:pageBreakBefore w:val="0"/>
              <w:suppressLineNumbers w:val="0"/>
              <w:kinsoku/>
              <w:wordWrap/>
              <w:bidi w:val="0"/>
              <w:adjustRightInd w:val="0"/>
              <w:snapToGrid w:val="0"/>
              <w:spacing w:before="0" w:beforeAutospacing="0" w:after="0" w:afterAutospacing="0" w:line="360" w:lineRule="auto"/>
              <w:ind w:left="0" w:right="0" w:firstLine="482"/>
              <w:jc w:val="both"/>
              <w:rPr>
                <w:rFonts w:hint="default" w:ascii="Times New Roman" w:hAnsi="Times New Roman" w:eastAsia="宋体" w:cs="Times New Roman"/>
                <w:b/>
                <w:bCs/>
                <w:color w:val="000000"/>
                <w:sz w:val="24"/>
                <w:szCs w:val="24"/>
                <w:highlight w:val="none"/>
              </w:rPr>
            </w:pPr>
          </w:p>
          <w:p w14:paraId="42C4EDE5">
            <w:pPr>
              <w:pStyle w:val="117"/>
              <w:keepNext w:val="0"/>
              <w:keepLines w:val="0"/>
              <w:pageBreakBefore w:val="0"/>
              <w:suppressLineNumbers w:val="0"/>
              <w:kinsoku/>
              <w:wordWrap/>
              <w:bidi w:val="0"/>
              <w:adjustRightInd w:val="0"/>
              <w:snapToGrid w:val="0"/>
              <w:spacing w:before="0" w:beforeAutospacing="0" w:after="0" w:afterAutospacing="0" w:line="360" w:lineRule="auto"/>
              <w:ind w:left="0" w:right="0" w:firstLine="482"/>
              <w:jc w:val="both"/>
              <w:rPr>
                <w:rFonts w:hint="default" w:ascii="Times New Roman" w:hAnsi="Times New Roman" w:eastAsia="宋体" w:cs="Times New Roman"/>
                <w:b/>
                <w:bCs/>
                <w:color w:val="000000"/>
                <w:sz w:val="24"/>
                <w:szCs w:val="24"/>
                <w:highlight w:val="none"/>
              </w:rPr>
            </w:pPr>
          </w:p>
          <w:p w14:paraId="3B88D6B9">
            <w:pPr>
              <w:pStyle w:val="43"/>
              <w:keepNext w:val="0"/>
              <w:keepLines w:val="0"/>
              <w:pageBreakBefore w:val="0"/>
              <w:suppressLineNumbers w:val="0"/>
              <w:wordWrap/>
              <w:bidi w:val="0"/>
              <w:adjustRightInd w:val="0"/>
              <w:snapToGrid w:val="0"/>
              <w:spacing w:before="0" w:beforeAutospacing="0" w:after="0" w:afterAutospacing="0"/>
              <w:ind w:left="0" w:leftChars="0" w:right="0" w:firstLine="0" w:firstLineChars="0"/>
              <w:jc w:val="both"/>
              <w:rPr>
                <w:rFonts w:hint="default" w:ascii="Times New Roman" w:hAnsi="Times New Roman" w:cs="Times New Roman"/>
                <w:highlight w:val="none"/>
                <w:lang w:val="en-US" w:eastAsia="zh-CN"/>
              </w:rPr>
            </w:pPr>
          </w:p>
        </w:tc>
      </w:tr>
    </w:tbl>
    <w:p w14:paraId="054037D0">
      <w:pPr>
        <w:pageBreakBefore w:val="0"/>
        <w:wordWrap/>
        <w:bidi w:val="0"/>
        <w:adjustRightInd w:val="0"/>
        <w:snapToGrid w:val="0"/>
        <w:rPr>
          <w:rFonts w:hint="default" w:ascii="Times New Roman" w:hAnsi="Times New Roman" w:cs="Times New Roman"/>
          <w:color w:val="000000" w:themeColor="text1"/>
          <w:spacing w:val="0"/>
          <w:highlight w:val="gree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8CB58AC">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15" w:lineRule="auto"/>
        <w:jc w:val="center"/>
        <w:textAlignment w:val="auto"/>
        <w:outlineLvl w:val="9"/>
        <w:rPr>
          <w:rFonts w:hint="default" w:ascii="Times New Roman" w:hAnsi="Times New Roman" w:eastAsia="黑体" w:cs="Times New Roman"/>
          <w:snapToGrid w:val="0"/>
          <w:color w:val="000000" w:themeColor="text1"/>
          <w:spacing w:val="0"/>
          <w:sz w:val="24"/>
          <w:szCs w:val="24"/>
          <w:highlight w:val="green"/>
          <w14:textFill>
            <w14:solidFill>
              <w14:schemeClr w14:val="tx1"/>
            </w14:solidFill>
          </w14:textFill>
        </w:rPr>
      </w:pPr>
    </w:p>
    <w:p w14:paraId="0298AFAD">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4"/>
          <w:szCs w:val="24"/>
          <w:highlight w:val="none"/>
          <w14:textFill>
            <w14:solidFill>
              <w14:schemeClr w14:val="tx1"/>
            </w14:solidFill>
          </w14:textFill>
        </w:rPr>
      </w:pPr>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三、区域环境质量现状、环境保护目标及评价标准</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0"/>
        <w:gridCol w:w="8700"/>
      </w:tblGrid>
      <w:tr w14:paraId="041F4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 w:type="pct"/>
            <w:noWrap w:val="0"/>
            <w:vAlign w:val="center"/>
          </w:tcPr>
          <w:p w14:paraId="03D28C0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区域</w:t>
            </w:r>
          </w:p>
          <w:p w14:paraId="530292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环境</w:t>
            </w:r>
          </w:p>
          <w:p w14:paraId="6DCE414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质量</w:t>
            </w:r>
          </w:p>
          <w:p w14:paraId="03A5905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green"/>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现状</w:t>
            </w:r>
          </w:p>
        </w:tc>
        <w:tc>
          <w:tcPr>
            <w:tcW w:w="4800" w:type="pct"/>
            <w:noWrap w:val="0"/>
            <w:vAlign w:val="center"/>
          </w:tcPr>
          <w:p w14:paraId="396F25E2">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2" w:firstLineChars="200"/>
              <w:rPr>
                <w:rFonts w:hint="default" w:ascii="Times New Roman" w:hAnsi="Times New Roman" w:eastAsia="宋体" w:cs="Times New Roman"/>
                <w:b/>
                <w:bCs/>
                <w:color w:val="auto"/>
                <w:spacing w:val="0"/>
                <w:sz w:val="24"/>
                <w:szCs w:val="24"/>
                <w:highlight w:val="none"/>
              </w:rPr>
            </w:pPr>
            <w:r>
              <w:rPr>
                <w:rFonts w:hint="default" w:ascii="Times New Roman" w:hAnsi="Times New Roman" w:eastAsia="宋体" w:cs="Times New Roman"/>
                <w:b/>
                <w:bCs/>
                <w:color w:val="auto"/>
                <w:spacing w:val="0"/>
                <w:sz w:val="24"/>
                <w:szCs w:val="24"/>
                <w:highlight w:val="none"/>
              </w:rPr>
              <w:t>1、环境空气</w:t>
            </w:r>
          </w:p>
          <w:p w14:paraId="4FC6057C">
            <w:pPr>
              <w:keepNext w:val="0"/>
              <w:keepLines w:val="0"/>
              <w:pageBreakBefore w:val="0"/>
              <w:suppressLineNumbers w:val="0"/>
              <w:wordWrap/>
              <w:bidi w:val="0"/>
              <w:adjustRightInd w:val="0"/>
              <w:snapToGrid w:val="0"/>
              <w:spacing w:before="0" w:beforeAutospacing="0" w:after="0" w:afterAutospacing="0" w:line="360" w:lineRule="auto"/>
              <w:ind w:left="0" w:right="0" w:firstLine="470" w:firstLineChars="196"/>
              <w:rPr>
                <w:rFonts w:hint="default" w:ascii="Times New Roman" w:hAnsi="Times New Roman" w:eastAsia="宋体" w:cs="Times New Roman"/>
                <w:color w:val="auto"/>
                <w:spacing w:val="0"/>
                <w:sz w:val="24"/>
                <w:szCs w:val="24"/>
                <w:highlight w:val="none"/>
                <w:shd w:val="clear" w:color="auto" w:fill="FFFFFF"/>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达标区判定</w:t>
            </w:r>
          </w:p>
          <w:p w14:paraId="08FF52B6">
            <w:pPr>
              <w:keepNext w:val="0"/>
              <w:keepLines w:val="0"/>
              <w:pageBreakBefore w:val="0"/>
              <w:suppressLineNumbers w:val="0"/>
              <w:wordWrap/>
              <w:bidi w:val="0"/>
              <w:adjustRightInd w:val="0"/>
              <w:snapToGrid w:val="0"/>
              <w:spacing w:before="0" w:beforeAutospacing="0" w:after="0" w:afterAutospacing="0" w:line="360" w:lineRule="auto"/>
              <w:ind w:left="0" w:right="0" w:firstLine="470" w:firstLineChars="196"/>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shd w:val="clear" w:color="auto" w:fill="FFFFFF"/>
              </w:rPr>
              <w:t>依据《20</w:t>
            </w:r>
            <w:r>
              <w:rPr>
                <w:rFonts w:hint="default" w:ascii="Times New Roman" w:hAnsi="Times New Roman" w:eastAsia="宋体" w:cs="Times New Roman"/>
                <w:color w:val="auto"/>
                <w:spacing w:val="0"/>
                <w:sz w:val="24"/>
                <w:szCs w:val="24"/>
                <w:highlight w:val="none"/>
                <w:shd w:val="clear" w:color="auto" w:fill="FFFFFF"/>
                <w:lang w:val="en-US" w:eastAsia="zh-CN"/>
              </w:rPr>
              <w:t>2</w:t>
            </w:r>
            <w:r>
              <w:rPr>
                <w:rFonts w:hint="default" w:ascii="Times New Roman" w:hAnsi="Times New Roman" w:cs="Times New Roman"/>
                <w:color w:val="auto"/>
                <w:spacing w:val="0"/>
                <w:sz w:val="24"/>
                <w:szCs w:val="24"/>
                <w:highlight w:val="none"/>
                <w:shd w:val="clear" w:color="auto" w:fill="FFFFFF"/>
                <w:lang w:val="en-US" w:eastAsia="zh-CN"/>
              </w:rPr>
              <w:t>5</w:t>
            </w:r>
            <w:r>
              <w:rPr>
                <w:rFonts w:hint="default" w:ascii="Times New Roman" w:hAnsi="Times New Roman" w:eastAsia="宋体" w:cs="Times New Roman"/>
                <w:color w:val="auto"/>
                <w:spacing w:val="0"/>
                <w:sz w:val="24"/>
                <w:szCs w:val="24"/>
                <w:highlight w:val="none"/>
                <w:shd w:val="clear" w:color="auto" w:fill="FFFFFF"/>
              </w:rPr>
              <w:t>年唐山市</w:t>
            </w:r>
            <w:r>
              <w:rPr>
                <w:rFonts w:hint="default" w:ascii="Times New Roman" w:hAnsi="Times New Roman" w:eastAsia="宋体" w:cs="Times New Roman"/>
                <w:color w:val="auto"/>
                <w:spacing w:val="0"/>
                <w:sz w:val="24"/>
                <w:szCs w:val="24"/>
                <w:highlight w:val="none"/>
                <w:shd w:val="clear" w:color="auto" w:fill="FFFFFF"/>
                <w:lang w:eastAsia="zh-CN"/>
              </w:rPr>
              <w:t>生态</w:t>
            </w:r>
            <w:r>
              <w:rPr>
                <w:rFonts w:hint="default" w:ascii="Times New Roman" w:hAnsi="Times New Roman" w:eastAsia="宋体" w:cs="Times New Roman"/>
                <w:color w:val="auto"/>
                <w:spacing w:val="0"/>
                <w:sz w:val="24"/>
                <w:szCs w:val="24"/>
                <w:highlight w:val="none"/>
                <w:shd w:val="clear" w:color="auto" w:fill="FFFFFF"/>
              </w:rPr>
              <w:t>环境状况公报》数据，</w:t>
            </w:r>
            <w:r>
              <w:rPr>
                <w:rFonts w:hint="default" w:ascii="Times New Roman" w:hAnsi="Times New Roman" w:cs="Times New Roman"/>
                <w:color w:val="auto"/>
                <w:spacing w:val="0"/>
                <w:sz w:val="24"/>
                <w:szCs w:val="24"/>
                <w:highlight w:val="none"/>
                <w:lang w:val="en-US" w:eastAsia="zh-CN"/>
              </w:rPr>
              <w:t>迁安市基本污染物环境质量现状评价结果</w:t>
            </w:r>
            <w:r>
              <w:rPr>
                <w:rFonts w:hint="default" w:ascii="Times New Roman" w:hAnsi="Times New Roman" w:eastAsia="宋体" w:cs="Times New Roman"/>
                <w:color w:val="auto"/>
                <w:spacing w:val="0"/>
                <w:sz w:val="24"/>
                <w:szCs w:val="24"/>
                <w:highlight w:val="none"/>
                <w:lang w:val="en-US" w:eastAsia="zh-CN"/>
              </w:rPr>
              <w:t>见下表。</w:t>
            </w:r>
          </w:p>
          <w:p w14:paraId="222AAE74">
            <w:pPr>
              <w:keepNext w:val="0"/>
              <w:keepLines w:val="0"/>
              <w:pageBreakBefore w:val="0"/>
              <w:widowControl w:val="0"/>
              <w:suppressLineNumbers w:val="0"/>
              <w:tabs>
                <w:tab w:val="left" w:pos="2137"/>
              </w:tabs>
              <w:kinsoku/>
              <w:wordWrap/>
              <w:overflowPunct/>
              <w:topLinePunct w:val="0"/>
              <w:autoSpaceDE/>
              <w:autoSpaceDN/>
              <w:bidi w:val="0"/>
              <w:adjustRightInd w:val="0"/>
              <w:snapToGrid w:val="0"/>
              <w:spacing w:before="0" w:beforeLines="0" w:beforeAutospacing="0" w:after="0" w:afterLines="0" w:afterAutospacing="0" w:line="360" w:lineRule="auto"/>
              <w:ind w:left="0" w:right="0"/>
              <w:jc w:val="center"/>
              <w:textAlignment w:val="auto"/>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rPr>
              <w:t>表</w:t>
            </w:r>
            <w:r>
              <w:rPr>
                <w:rFonts w:hint="default" w:ascii="Times New Roman" w:hAnsi="Times New Roman" w:eastAsia="宋体" w:cs="Times New Roman"/>
                <w:b/>
                <w:bCs/>
                <w:color w:val="auto"/>
                <w:spacing w:val="0"/>
                <w:sz w:val="24"/>
                <w:szCs w:val="24"/>
                <w:highlight w:val="none"/>
                <w:lang w:val="en-US" w:eastAsia="zh-CN"/>
              </w:rPr>
              <w:t xml:space="preserve">3-1    </w:t>
            </w:r>
            <w:r>
              <w:rPr>
                <w:rFonts w:hint="default" w:ascii="Times New Roman" w:hAnsi="Times New Roman" w:eastAsia="宋体" w:cs="Times New Roman"/>
                <w:b/>
                <w:color w:val="auto"/>
                <w:spacing w:val="0"/>
                <w:sz w:val="24"/>
                <w:szCs w:val="24"/>
                <w:highlight w:val="none"/>
              </w:rPr>
              <w:t>区域空气质量</w:t>
            </w:r>
            <w:r>
              <w:rPr>
                <w:rFonts w:hint="default" w:ascii="Times New Roman" w:hAnsi="Times New Roman" w:eastAsia="宋体" w:cs="Times New Roman"/>
                <w:b/>
                <w:color w:val="auto"/>
                <w:spacing w:val="0"/>
                <w:sz w:val="24"/>
                <w:szCs w:val="24"/>
                <w:highlight w:val="none"/>
                <w:lang w:eastAsia="zh-CN"/>
              </w:rPr>
              <w:t>基本污染物</w:t>
            </w:r>
            <w:r>
              <w:rPr>
                <w:rFonts w:hint="default" w:ascii="Times New Roman" w:hAnsi="Times New Roman" w:eastAsia="宋体" w:cs="Times New Roman"/>
                <w:b/>
                <w:color w:val="auto"/>
                <w:spacing w:val="0"/>
                <w:sz w:val="24"/>
                <w:szCs w:val="24"/>
                <w:highlight w:val="none"/>
              </w:rPr>
              <w:t>现状评价表</w:t>
            </w:r>
          </w:p>
          <w:tbl>
            <w:tblPr>
              <w:tblStyle w:val="30"/>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2025"/>
              <w:gridCol w:w="1776"/>
              <w:gridCol w:w="1529"/>
              <w:gridCol w:w="1194"/>
              <w:gridCol w:w="999"/>
            </w:tblGrid>
            <w:tr w14:paraId="122F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524BD7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sz w:val="18"/>
                      <w:szCs w:val="18"/>
                      <w:highlight w:val="none"/>
                    </w:rPr>
                  </w:pPr>
                  <w:r>
                    <w:rPr>
                      <w:rFonts w:hint="default" w:ascii="Times New Roman" w:hAnsi="Times New Roman" w:eastAsia="宋体" w:cs="Times New Roman"/>
                      <w:b w:val="0"/>
                      <w:bCs w:val="0"/>
                      <w:color w:val="auto"/>
                      <w:spacing w:val="0"/>
                      <w:sz w:val="18"/>
                      <w:szCs w:val="18"/>
                      <w:highlight w:val="none"/>
                    </w:rPr>
                    <w:t>污染物</w:t>
                  </w:r>
                </w:p>
              </w:tc>
              <w:tc>
                <w:tcPr>
                  <w:tcW w:w="1896" w:type="dxa"/>
                  <w:tcBorders>
                    <w:tl2br w:val="nil"/>
                    <w:tr2bl w:val="nil"/>
                  </w:tcBorders>
                  <w:noWrap w:val="0"/>
                  <w:vAlign w:val="center"/>
                </w:tcPr>
                <w:p w14:paraId="3D8230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sz w:val="18"/>
                      <w:szCs w:val="18"/>
                      <w:highlight w:val="none"/>
                    </w:rPr>
                  </w:pPr>
                  <w:r>
                    <w:rPr>
                      <w:rFonts w:hint="default" w:ascii="Times New Roman" w:hAnsi="Times New Roman" w:eastAsia="宋体" w:cs="Times New Roman"/>
                      <w:b w:val="0"/>
                      <w:bCs w:val="0"/>
                      <w:color w:val="auto"/>
                      <w:spacing w:val="0"/>
                      <w:sz w:val="18"/>
                      <w:szCs w:val="18"/>
                      <w:highlight w:val="none"/>
                    </w:rPr>
                    <w:t>年评价指标</w:t>
                  </w:r>
                </w:p>
              </w:tc>
              <w:tc>
                <w:tcPr>
                  <w:tcW w:w="1663" w:type="dxa"/>
                  <w:tcBorders>
                    <w:tl2br w:val="nil"/>
                    <w:tr2bl w:val="nil"/>
                  </w:tcBorders>
                  <w:noWrap w:val="0"/>
                  <w:vAlign w:val="center"/>
                </w:tcPr>
                <w:p w14:paraId="076B47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sz w:val="18"/>
                      <w:szCs w:val="18"/>
                      <w:highlight w:val="none"/>
                      <w:lang w:eastAsia="zh-CN"/>
                    </w:rPr>
                  </w:pPr>
                  <w:r>
                    <w:rPr>
                      <w:rFonts w:hint="default" w:ascii="Times New Roman" w:hAnsi="Times New Roman" w:eastAsia="宋体" w:cs="Times New Roman"/>
                      <w:b w:val="0"/>
                      <w:bCs w:val="0"/>
                      <w:color w:val="auto"/>
                      <w:spacing w:val="0"/>
                      <w:sz w:val="18"/>
                      <w:szCs w:val="18"/>
                      <w:highlight w:val="none"/>
                    </w:rPr>
                    <w:t>现状浓度</w:t>
                  </w:r>
                  <w:r>
                    <w:rPr>
                      <w:rFonts w:hint="default" w:ascii="Times New Roman" w:hAnsi="Times New Roman" w:cs="Times New Roman"/>
                      <w:b w:val="0"/>
                      <w:bCs w:val="0"/>
                      <w:color w:val="auto"/>
                      <w:spacing w:val="0"/>
                      <w:sz w:val="18"/>
                      <w:szCs w:val="18"/>
                      <w:highlight w:val="none"/>
                      <w:lang w:eastAsia="zh-CN"/>
                    </w:rPr>
                    <w:t>（</w:t>
                  </w:r>
                  <w:r>
                    <w:rPr>
                      <w:rFonts w:hint="default" w:ascii="Times New Roman" w:hAnsi="Times New Roman" w:eastAsia="宋体" w:cs="Times New Roman"/>
                      <w:b w:val="0"/>
                      <w:bCs w:val="0"/>
                      <w:color w:val="auto"/>
                      <w:spacing w:val="0"/>
                      <w:sz w:val="18"/>
                      <w:szCs w:val="18"/>
                      <w:highlight w:val="none"/>
                      <w:lang w:eastAsia="zh-CN"/>
                    </w:rPr>
                    <w:t>μg/m</w:t>
                  </w:r>
                  <w:r>
                    <w:rPr>
                      <w:rFonts w:hint="default" w:ascii="Times New Roman" w:hAnsi="Times New Roman" w:eastAsia="宋体" w:cs="Times New Roman"/>
                      <w:b w:val="0"/>
                      <w:bCs w:val="0"/>
                      <w:color w:val="auto"/>
                      <w:spacing w:val="0"/>
                      <w:sz w:val="18"/>
                      <w:szCs w:val="18"/>
                      <w:highlight w:val="none"/>
                      <w:vertAlign w:val="superscript"/>
                      <w:lang w:eastAsia="zh-CN"/>
                    </w:rPr>
                    <w:t>3</w:t>
                  </w:r>
                  <w:r>
                    <w:rPr>
                      <w:rFonts w:hint="default" w:ascii="Times New Roman" w:hAnsi="Times New Roman" w:cs="Times New Roman"/>
                      <w:b w:val="0"/>
                      <w:bCs w:val="0"/>
                      <w:color w:val="auto"/>
                      <w:spacing w:val="0"/>
                      <w:sz w:val="18"/>
                      <w:szCs w:val="18"/>
                      <w:highlight w:val="none"/>
                      <w:vertAlign w:val="superscript"/>
                      <w:lang w:eastAsia="zh-CN"/>
                    </w:rPr>
                    <w:t>）</w:t>
                  </w:r>
                </w:p>
              </w:tc>
              <w:tc>
                <w:tcPr>
                  <w:tcW w:w="1432" w:type="dxa"/>
                  <w:tcBorders>
                    <w:tl2br w:val="nil"/>
                    <w:tr2bl w:val="nil"/>
                  </w:tcBorders>
                  <w:noWrap w:val="0"/>
                  <w:vAlign w:val="center"/>
                </w:tcPr>
                <w:p w14:paraId="613381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sz w:val="18"/>
                      <w:szCs w:val="18"/>
                      <w:highlight w:val="none"/>
                      <w:lang w:eastAsia="zh-CN"/>
                    </w:rPr>
                  </w:pPr>
                  <w:r>
                    <w:rPr>
                      <w:rFonts w:hint="default" w:ascii="Times New Roman" w:hAnsi="Times New Roman" w:eastAsia="宋体" w:cs="Times New Roman"/>
                      <w:b w:val="0"/>
                      <w:bCs w:val="0"/>
                      <w:color w:val="auto"/>
                      <w:spacing w:val="0"/>
                      <w:sz w:val="18"/>
                      <w:szCs w:val="18"/>
                      <w:highlight w:val="none"/>
                    </w:rPr>
                    <w:t>标准值</w:t>
                  </w:r>
                  <w:r>
                    <w:rPr>
                      <w:rFonts w:hint="default" w:ascii="Times New Roman" w:hAnsi="Times New Roman" w:cs="Times New Roman"/>
                      <w:b w:val="0"/>
                      <w:bCs w:val="0"/>
                      <w:color w:val="auto"/>
                      <w:spacing w:val="0"/>
                      <w:sz w:val="18"/>
                      <w:szCs w:val="18"/>
                      <w:highlight w:val="none"/>
                      <w:lang w:eastAsia="zh-CN"/>
                    </w:rPr>
                    <w:t>（</w:t>
                  </w:r>
                  <w:r>
                    <w:rPr>
                      <w:rFonts w:hint="default" w:ascii="Times New Roman" w:hAnsi="Times New Roman" w:eastAsia="宋体" w:cs="Times New Roman"/>
                      <w:b w:val="0"/>
                      <w:bCs w:val="0"/>
                      <w:color w:val="auto"/>
                      <w:spacing w:val="0"/>
                      <w:sz w:val="18"/>
                      <w:szCs w:val="18"/>
                      <w:highlight w:val="none"/>
                      <w:lang w:eastAsia="zh-CN"/>
                    </w:rPr>
                    <w:t>μg/m</w:t>
                  </w:r>
                  <w:r>
                    <w:rPr>
                      <w:rFonts w:hint="default" w:ascii="Times New Roman" w:hAnsi="Times New Roman" w:eastAsia="宋体" w:cs="Times New Roman"/>
                      <w:b w:val="0"/>
                      <w:bCs w:val="0"/>
                      <w:color w:val="auto"/>
                      <w:spacing w:val="0"/>
                      <w:sz w:val="18"/>
                      <w:szCs w:val="18"/>
                      <w:highlight w:val="none"/>
                      <w:vertAlign w:val="superscript"/>
                      <w:lang w:eastAsia="zh-CN"/>
                    </w:rPr>
                    <w:t>3</w:t>
                  </w:r>
                  <w:r>
                    <w:rPr>
                      <w:rFonts w:hint="default" w:ascii="Times New Roman" w:hAnsi="Times New Roman" w:cs="Times New Roman"/>
                      <w:b w:val="0"/>
                      <w:bCs w:val="0"/>
                      <w:color w:val="auto"/>
                      <w:spacing w:val="0"/>
                      <w:sz w:val="18"/>
                      <w:szCs w:val="18"/>
                      <w:highlight w:val="none"/>
                      <w:vertAlign w:val="superscript"/>
                      <w:lang w:eastAsia="zh-CN"/>
                    </w:rPr>
                    <w:t>）</w:t>
                  </w:r>
                </w:p>
              </w:tc>
              <w:tc>
                <w:tcPr>
                  <w:tcW w:w="1118" w:type="dxa"/>
                  <w:tcBorders>
                    <w:tl2br w:val="nil"/>
                    <w:tr2bl w:val="nil"/>
                  </w:tcBorders>
                  <w:noWrap w:val="0"/>
                  <w:vAlign w:val="center"/>
                </w:tcPr>
                <w:p w14:paraId="4E7569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sz w:val="18"/>
                      <w:szCs w:val="18"/>
                      <w:highlight w:val="none"/>
                      <w:lang w:eastAsia="zh-CN"/>
                    </w:rPr>
                  </w:pPr>
                  <w:r>
                    <w:rPr>
                      <w:rFonts w:hint="default" w:ascii="Times New Roman" w:hAnsi="Times New Roman" w:eastAsia="宋体" w:cs="Times New Roman"/>
                      <w:b w:val="0"/>
                      <w:bCs w:val="0"/>
                      <w:color w:val="auto"/>
                      <w:spacing w:val="0"/>
                      <w:sz w:val="18"/>
                      <w:szCs w:val="18"/>
                      <w:highlight w:val="none"/>
                    </w:rPr>
                    <w:t>占标率</w:t>
                  </w:r>
                  <w:r>
                    <w:rPr>
                      <w:rFonts w:hint="default" w:ascii="Times New Roman" w:hAnsi="Times New Roman" w:cs="Times New Roman"/>
                      <w:b w:val="0"/>
                      <w:bCs w:val="0"/>
                      <w:color w:val="auto"/>
                      <w:spacing w:val="0"/>
                      <w:sz w:val="18"/>
                      <w:szCs w:val="18"/>
                      <w:highlight w:val="none"/>
                      <w:lang w:eastAsia="zh-CN"/>
                    </w:rPr>
                    <w:t>（</w:t>
                  </w:r>
                  <w:r>
                    <w:rPr>
                      <w:rFonts w:hint="default" w:ascii="Times New Roman" w:hAnsi="Times New Roman" w:eastAsia="宋体" w:cs="Times New Roman"/>
                      <w:b w:val="0"/>
                      <w:bCs w:val="0"/>
                      <w:color w:val="auto"/>
                      <w:spacing w:val="0"/>
                      <w:sz w:val="18"/>
                      <w:szCs w:val="18"/>
                      <w:highlight w:val="none"/>
                    </w:rPr>
                    <w:t>%</w:t>
                  </w:r>
                  <w:r>
                    <w:rPr>
                      <w:rFonts w:hint="default" w:ascii="Times New Roman" w:hAnsi="Times New Roman" w:cs="Times New Roman"/>
                      <w:b w:val="0"/>
                      <w:bCs w:val="0"/>
                      <w:color w:val="auto"/>
                      <w:spacing w:val="0"/>
                      <w:sz w:val="18"/>
                      <w:szCs w:val="18"/>
                      <w:highlight w:val="none"/>
                      <w:lang w:eastAsia="zh-CN"/>
                    </w:rPr>
                    <w:t>）</w:t>
                  </w:r>
                </w:p>
              </w:tc>
              <w:tc>
                <w:tcPr>
                  <w:tcW w:w="936" w:type="dxa"/>
                  <w:tcBorders>
                    <w:tl2br w:val="nil"/>
                    <w:tr2bl w:val="nil"/>
                  </w:tcBorders>
                  <w:noWrap w:val="0"/>
                  <w:vAlign w:val="center"/>
                </w:tcPr>
                <w:p w14:paraId="23AE72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sz w:val="18"/>
                      <w:szCs w:val="18"/>
                      <w:highlight w:val="none"/>
                    </w:rPr>
                  </w:pPr>
                  <w:r>
                    <w:rPr>
                      <w:rFonts w:hint="default" w:ascii="Times New Roman" w:hAnsi="Times New Roman" w:eastAsia="宋体" w:cs="Times New Roman"/>
                      <w:b w:val="0"/>
                      <w:bCs w:val="0"/>
                      <w:color w:val="auto"/>
                      <w:spacing w:val="0"/>
                      <w:sz w:val="18"/>
                      <w:szCs w:val="18"/>
                      <w:highlight w:val="none"/>
                    </w:rPr>
                    <w:t>达标情况</w:t>
                  </w:r>
                </w:p>
              </w:tc>
            </w:tr>
            <w:tr w14:paraId="05BC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5DA305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SO</w:t>
                  </w:r>
                  <w:r>
                    <w:rPr>
                      <w:rFonts w:hint="default" w:ascii="Times New Roman" w:hAnsi="Times New Roman" w:eastAsia="宋体" w:cs="Times New Roman"/>
                      <w:b w:val="0"/>
                      <w:bCs w:val="0"/>
                      <w:color w:val="auto"/>
                      <w:spacing w:val="0"/>
                      <w:sz w:val="18"/>
                      <w:szCs w:val="18"/>
                      <w:highlight w:val="none"/>
                      <w:vertAlign w:val="subscript"/>
                    </w:rPr>
                    <w:t>2</w:t>
                  </w:r>
                </w:p>
              </w:tc>
              <w:tc>
                <w:tcPr>
                  <w:tcW w:w="1896" w:type="dxa"/>
                  <w:tcBorders>
                    <w:tl2br w:val="nil"/>
                    <w:tr2bl w:val="nil"/>
                  </w:tcBorders>
                  <w:noWrap w:val="0"/>
                  <w:vAlign w:val="center"/>
                </w:tcPr>
                <w:p w14:paraId="48413C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年均浓度值</w:t>
                  </w:r>
                </w:p>
              </w:tc>
              <w:tc>
                <w:tcPr>
                  <w:tcW w:w="1663" w:type="dxa"/>
                  <w:tcBorders>
                    <w:tl2br w:val="nil"/>
                    <w:tr2bl w:val="nil"/>
                  </w:tcBorders>
                  <w:noWrap w:val="0"/>
                  <w:vAlign w:val="top"/>
                </w:tcPr>
                <w:p w14:paraId="59904D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10</w:t>
                  </w:r>
                </w:p>
              </w:tc>
              <w:tc>
                <w:tcPr>
                  <w:tcW w:w="1432" w:type="dxa"/>
                  <w:tcBorders>
                    <w:tl2br w:val="nil"/>
                    <w:tr2bl w:val="nil"/>
                  </w:tcBorders>
                  <w:noWrap w:val="0"/>
                  <w:vAlign w:val="top"/>
                </w:tcPr>
                <w:p w14:paraId="63F6C0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60</w:t>
                  </w:r>
                </w:p>
              </w:tc>
              <w:tc>
                <w:tcPr>
                  <w:tcW w:w="1118" w:type="dxa"/>
                  <w:tcBorders>
                    <w:tl2br w:val="nil"/>
                    <w:tr2bl w:val="nil"/>
                  </w:tcBorders>
                  <w:noWrap w:val="0"/>
                  <w:vAlign w:val="top"/>
                </w:tcPr>
                <w:p w14:paraId="2B89C3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16.7</w:t>
                  </w:r>
                </w:p>
              </w:tc>
              <w:tc>
                <w:tcPr>
                  <w:tcW w:w="936" w:type="dxa"/>
                  <w:tcBorders>
                    <w:tl2br w:val="nil"/>
                    <w:tr2bl w:val="nil"/>
                  </w:tcBorders>
                  <w:noWrap w:val="0"/>
                  <w:vAlign w:val="top"/>
                </w:tcPr>
                <w:p w14:paraId="34F723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达标</w:t>
                  </w:r>
                </w:p>
              </w:tc>
            </w:tr>
            <w:tr w14:paraId="574C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20B459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NO</w:t>
                  </w:r>
                  <w:r>
                    <w:rPr>
                      <w:rFonts w:hint="default" w:ascii="Times New Roman" w:hAnsi="Times New Roman" w:eastAsia="宋体" w:cs="Times New Roman"/>
                      <w:b w:val="0"/>
                      <w:bCs w:val="0"/>
                      <w:color w:val="auto"/>
                      <w:spacing w:val="0"/>
                      <w:sz w:val="18"/>
                      <w:szCs w:val="18"/>
                      <w:highlight w:val="none"/>
                      <w:vertAlign w:val="subscript"/>
                    </w:rPr>
                    <w:t>2</w:t>
                  </w:r>
                </w:p>
              </w:tc>
              <w:tc>
                <w:tcPr>
                  <w:tcW w:w="1896" w:type="dxa"/>
                  <w:tcBorders>
                    <w:tl2br w:val="nil"/>
                    <w:tr2bl w:val="nil"/>
                  </w:tcBorders>
                  <w:noWrap w:val="0"/>
                  <w:vAlign w:val="center"/>
                </w:tcPr>
                <w:p w14:paraId="6EB775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年均浓度值</w:t>
                  </w:r>
                </w:p>
              </w:tc>
              <w:tc>
                <w:tcPr>
                  <w:tcW w:w="1663" w:type="dxa"/>
                  <w:tcBorders>
                    <w:tl2br w:val="nil"/>
                    <w:tr2bl w:val="nil"/>
                  </w:tcBorders>
                  <w:noWrap w:val="0"/>
                  <w:vAlign w:val="top"/>
                </w:tcPr>
                <w:p w14:paraId="14C8B3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24</w:t>
                  </w:r>
                </w:p>
              </w:tc>
              <w:tc>
                <w:tcPr>
                  <w:tcW w:w="1432" w:type="dxa"/>
                  <w:tcBorders>
                    <w:tl2br w:val="nil"/>
                    <w:tr2bl w:val="nil"/>
                  </w:tcBorders>
                  <w:noWrap w:val="0"/>
                  <w:vAlign w:val="top"/>
                </w:tcPr>
                <w:p w14:paraId="24A4F6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40</w:t>
                  </w:r>
                </w:p>
              </w:tc>
              <w:tc>
                <w:tcPr>
                  <w:tcW w:w="1118" w:type="dxa"/>
                  <w:tcBorders>
                    <w:tl2br w:val="nil"/>
                    <w:tr2bl w:val="nil"/>
                  </w:tcBorders>
                  <w:noWrap w:val="0"/>
                  <w:vAlign w:val="top"/>
                </w:tcPr>
                <w:p w14:paraId="7489FF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60</w:t>
                  </w:r>
                </w:p>
              </w:tc>
              <w:tc>
                <w:tcPr>
                  <w:tcW w:w="936" w:type="dxa"/>
                  <w:tcBorders>
                    <w:tl2br w:val="nil"/>
                    <w:tr2bl w:val="nil"/>
                  </w:tcBorders>
                  <w:noWrap w:val="0"/>
                  <w:vAlign w:val="top"/>
                </w:tcPr>
                <w:p w14:paraId="27266B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达标</w:t>
                  </w:r>
                </w:p>
              </w:tc>
            </w:tr>
            <w:tr w14:paraId="5DAA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3A1BBE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PM</w:t>
                  </w:r>
                  <w:r>
                    <w:rPr>
                      <w:rFonts w:hint="default" w:ascii="Times New Roman" w:hAnsi="Times New Roman" w:eastAsia="宋体" w:cs="Times New Roman"/>
                      <w:b w:val="0"/>
                      <w:bCs w:val="0"/>
                      <w:color w:val="auto"/>
                      <w:spacing w:val="0"/>
                      <w:sz w:val="18"/>
                      <w:szCs w:val="18"/>
                      <w:highlight w:val="none"/>
                      <w:vertAlign w:val="subscript"/>
                    </w:rPr>
                    <w:t>10</w:t>
                  </w:r>
                </w:p>
              </w:tc>
              <w:tc>
                <w:tcPr>
                  <w:tcW w:w="1896" w:type="dxa"/>
                  <w:tcBorders>
                    <w:tl2br w:val="nil"/>
                    <w:tr2bl w:val="nil"/>
                  </w:tcBorders>
                  <w:noWrap w:val="0"/>
                  <w:vAlign w:val="center"/>
                </w:tcPr>
                <w:p w14:paraId="7722DA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年均浓度值</w:t>
                  </w:r>
                </w:p>
              </w:tc>
              <w:tc>
                <w:tcPr>
                  <w:tcW w:w="1663" w:type="dxa"/>
                  <w:tcBorders>
                    <w:tl2br w:val="nil"/>
                    <w:tr2bl w:val="nil"/>
                  </w:tcBorders>
                  <w:noWrap w:val="0"/>
                  <w:vAlign w:val="top"/>
                </w:tcPr>
                <w:p w14:paraId="4AAF47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70</w:t>
                  </w:r>
                </w:p>
              </w:tc>
              <w:tc>
                <w:tcPr>
                  <w:tcW w:w="1432" w:type="dxa"/>
                  <w:tcBorders>
                    <w:tl2br w:val="nil"/>
                    <w:tr2bl w:val="nil"/>
                  </w:tcBorders>
                  <w:noWrap w:val="0"/>
                  <w:vAlign w:val="top"/>
                </w:tcPr>
                <w:p w14:paraId="4DA54C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60</w:t>
                  </w:r>
                </w:p>
              </w:tc>
              <w:tc>
                <w:tcPr>
                  <w:tcW w:w="1118" w:type="dxa"/>
                  <w:tcBorders>
                    <w:tl2br w:val="nil"/>
                    <w:tr2bl w:val="nil"/>
                  </w:tcBorders>
                  <w:noWrap w:val="0"/>
                  <w:vAlign w:val="top"/>
                </w:tcPr>
                <w:p w14:paraId="49ACEC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116.7</w:t>
                  </w:r>
                </w:p>
              </w:tc>
              <w:tc>
                <w:tcPr>
                  <w:tcW w:w="936" w:type="dxa"/>
                  <w:tcBorders>
                    <w:tl2br w:val="nil"/>
                    <w:tr2bl w:val="nil"/>
                  </w:tcBorders>
                  <w:noWrap w:val="0"/>
                  <w:vAlign w:val="top"/>
                </w:tcPr>
                <w:p w14:paraId="03A3CE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不达标</w:t>
                  </w:r>
                </w:p>
              </w:tc>
            </w:tr>
            <w:tr w14:paraId="4CFF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51BF15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PM</w:t>
                  </w:r>
                  <w:r>
                    <w:rPr>
                      <w:rFonts w:hint="default" w:ascii="Times New Roman" w:hAnsi="Times New Roman" w:eastAsia="宋体" w:cs="Times New Roman"/>
                      <w:b w:val="0"/>
                      <w:bCs w:val="0"/>
                      <w:color w:val="auto"/>
                      <w:spacing w:val="0"/>
                      <w:sz w:val="18"/>
                      <w:szCs w:val="18"/>
                      <w:highlight w:val="none"/>
                      <w:vertAlign w:val="subscript"/>
                    </w:rPr>
                    <w:t>2.5</w:t>
                  </w:r>
                </w:p>
              </w:tc>
              <w:tc>
                <w:tcPr>
                  <w:tcW w:w="1896" w:type="dxa"/>
                  <w:tcBorders>
                    <w:tl2br w:val="nil"/>
                    <w:tr2bl w:val="nil"/>
                  </w:tcBorders>
                  <w:noWrap w:val="0"/>
                  <w:vAlign w:val="center"/>
                </w:tcPr>
                <w:p w14:paraId="0C37A5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sz w:val="18"/>
                      <w:szCs w:val="18"/>
                      <w:highlight w:val="none"/>
                    </w:rPr>
                    <w:t>年均浓度值</w:t>
                  </w:r>
                </w:p>
              </w:tc>
              <w:tc>
                <w:tcPr>
                  <w:tcW w:w="1663" w:type="dxa"/>
                  <w:tcBorders>
                    <w:tl2br w:val="nil"/>
                    <w:tr2bl w:val="nil"/>
                  </w:tcBorders>
                  <w:noWrap w:val="0"/>
                  <w:vAlign w:val="top"/>
                </w:tcPr>
                <w:p w14:paraId="326A72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32</w:t>
                  </w:r>
                </w:p>
              </w:tc>
              <w:tc>
                <w:tcPr>
                  <w:tcW w:w="1432" w:type="dxa"/>
                  <w:tcBorders>
                    <w:tl2br w:val="nil"/>
                    <w:tr2bl w:val="nil"/>
                  </w:tcBorders>
                  <w:noWrap w:val="0"/>
                  <w:vAlign w:val="top"/>
                </w:tcPr>
                <w:p w14:paraId="5B84C9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30</w:t>
                  </w:r>
                </w:p>
              </w:tc>
              <w:tc>
                <w:tcPr>
                  <w:tcW w:w="1118" w:type="dxa"/>
                  <w:tcBorders>
                    <w:tl2br w:val="nil"/>
                    <w:tr2bl w:val="nil"/>
                  </w:tcBorders>
                  <w:noWrap w:val="0"/>
                  <w:vAlign w:val="top"/>
                </w:tcPr>
                <w:p w14:paraId="3EBC32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1</w:t>
                  </w:r>
                  <w:r>
                    <w:rPr>
                      <w:rFonts w:hint="default" w:ascii="Times New Roman" w:hAnsi="Times New Roman" w:cs="Times New Roman"/>
                      <w:b w:val="0"/>
                      <w:bCs w:val="0"/>
                      <w:color w:val="auto"/>
                      <w:spacing w:val="0"/>
                      <w:kern w:val="0"/>
                      <w:sz w:val="18"/>
                      <w:szCs w:val="18"/>
                      <w:highlight w:val="none"/>
                      <w:lang w:val="en-US" w:eastAsia="zh-CN"/>
                    </w:rPr>
                    <w:t>06.7</w:t>
                  </w:r>
                </w:p>
              </w:tc>
              <w:tc>
                <w:tcPr>
                  <w:tcW w:w="936" w:type="dxa"/>
                  <w:tcBorders>
                    <w:tl2br w:val="nil"/>
                    <w:tr2bl w:val="nil"/>
                  </w:tcBorders>
                  <w:noWrap w:val="0"/>
                  <w:vAlign w:val="top"/>
                </w:tcPr>
                <w:p w14:paraId="77BBEC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不达标</w:t>
                  </w:r>
                </w:p>
              </w:tc>
            </w:tr>
            <w:tr w14:paraId="3EDE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7ECAEE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kern w:val="0"/>
                      <w:sz w:val="18"/>
                      <w:szCs w:val="18"/>
                      <w:highlight w:val="none"/>
                    </w:rPr>
                    <w:t>CO</w:t>
                  </w:r>
                </w:p>
              </w:tc>
              <w:tc>
                <w:tcPr>
                  <w:tcW w:w="1896" w:type="dxa"/>
                  <w:tcBorders>
                    <w:tl2br w:val="nil"/>
                    <w:tr2bl w:val="nil"/>
                  </w:tcBorders>
                  <w:noWrap w:val="0"/>
                  <w:vAlign w:val="center"/>
                </w:tcPr>
                <w:p w14:paraId="1F7C25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kern w:val="0"/>
                      <w:sz w:val="18"/>
                      <w:szCs w:val="18"/>
                      <w:highlight w:val="none"/>
                    </w:rPr>
                    <w:t>日均浓度值</w:t>
                  </w:r>
                </w:p>
              </w:tc>
              <w:tc>
                <w:tcPr>
                  <w:tcW w:w="1663" w:type="dxa"/>
                  <w:tcBorders>
                    <w:tl2br w:val="nil"/>
                    <w:tr2bl w:val="nil"/>
                  </w:tcBorders>
                  <w:noWrap w:val="0"/>
                  <w:vAlign w:val="top"/>
                </w:tcPr>
                <w:p w14:paraId="718EB6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1</w:t>
                  </w:r>
                  <w:r>
                    <w:rPr>
                      <w:rFonts w:hint="default" w:ascii="Times New Roman" w:hAnsi="Times New Roman" w:cs="Times New Roman"/>
                      <w:b w:val="0"/>
                      <w:bCs w:val="0"/>
                      <w:color w:val="auto"/>
                      <w:spacing w:val="0"/>
                      <w:kern w:val="0"/>
                      <w:sz w:val="18"/>
                      <w:szCs w:val="18"/>
                      <w:highlight w:val="none"/>
                      <w:lang w:val="en-US" w:eastAsia="zh-CN"/>
                    </w:rPr>
                    <w:t>8</w:t>
                  </w:r>
                  <w:r>
                    <w:rPr>
                      <w:rFonts w:hint="default" w:ascii="Times New Roman" w:hAnsi="Times New Roman" w:eastAsia="宋体" w:cs="Times New Roman"/>
                      <w:b w:val="0"/>
                      <w:bCs w:val="0"/>
                      <w:color w:val="auto"/>
                      <w:spacing w:val="0"/>
                      <w:kern w:val="0"/>
                      <w:sz w:val="18"/>
                      <w:szCs w:val="18"/>
                      <w:highlight w:val="none"/>
                    </w:rPr>
                    <w:t>00</w:t>
                  </w:r>
                </w:p>
              </w:tc>
              <w:tc>
                <w:tcPr>
                  <w:tcW w:w="1432" w:type="dxa"/>
                  <w:tcBorders>
                    <w:tl2br w:val="nil"/>
                    <w:tr2bl w:val="nil"/>
                  </w:tcBorders>
                  <w:noWrap w:val="0"/>
                  <w:vAlign w:val="top"/>
                </w:tcPr>
                <w:p w14:paraId="646B80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4000</w:t>
                  </w:r>
                </w:p>
              </w:tc>
              <w:tc>
                <w:tcPr>
                  <w:tcW w:w="1118" w:type="dxa"/>
                  <w:tcBorders>
                    <w:tl2br w:val="nil"/>
                    <w:tr2bl w:val="nil"/>
                  </w:tcBorders>
                  <w:noWrap w:val="0"/>
                  <w:vAlign w:val="top"/>
                </w:tcPr>
                <w:p w14:paraId="103F42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4</w:t>
                  </w:r>
                  <w:r>
                    <w:rPr>
                      <w:rFonts w:hint="default" w:ascii="Times New Roman" w:hAnsi="Times New Roman" w:cs="Times New Roman"/>
                      <w:b w:val="0"/>
                      <w:bCs w:val="0"/>
                      <w:color w:val="auto"/>
                      <w:spacing w:val="0"/>
                      <w:kern w:val="0"/>
                      <w:sz w:val="18"/>
                      <w:szCs w:val="18"/>
                      <w:highlight w:val="none"/>
                      <w:lang w:val="en-US" w:eastAsia="zh-CN"/>
                    </w:rPr>
                    <w:t>5</w:t>
                  </w:r>
                </w:p>
              </w:tc>
              <w:tc>
                <w:tcPr>
                  <w:tcW w:w="936" w:type="dxa"/>
                  <w:tcBorders>
                    <w:tl2br w:val="nil"/>
                    <w:tr2bl w:val="nil"/>
                  </w:tcBorders>
                  <w:noWrap w:val="0"/>
                  <w:vAlign w:val="top"/>
                </w:tcPr>
                <w:p w14:paraId="7C1127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达标</w:t>
                  </w:r>
                </w:p>
              </w:tc>
            </w:tr>
            <w:tr w14:paraId="017B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9" w:type="dxa"/>
                  <w:tcBorders>
                    <w:tl2br w:val="nil"/>
                    <w:tr2bl w:val="nil"/>
                  </w:tcBorders>
                  <w:noWrap w:val="0"/>
                  <w:vAlign w:val="center"/>
                </w:tcPr>
                <w:p w14:paraId="1C1AC2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kern w:val="0"/>
                      <w:sz w:val="18"/>
                      <w:szCs w:val="18"/>
                      <w:highlight w:val="none"/>
                    </w:rPr>
                    <w:t>O</w:t>
                  </w:r>
                  <w:r>
                    <w:rPr>
                      <w:rFonts w:hint="default" w:ascii="Times New Roman" w:hAnsi="Times New Roman" w:eastAsia="宋体" w:cs="Times New Roman"/>
                      <w:b w:val="0"/>
                      <w:bCs w:val="0"/>
                      <w:color w:val="auto"/>
                      <w:spacing w:val="0"/>
                      <w:kern w:val="0"/>
                      <w:sz w:val="18"/>
                      <w:szCs w:val="18"/>
                      <w:highlight w:val="none"/>
                      <w:vertAlign w:val="subscript"/>
                    </w:rPr>
                    <w:t>3</w:t>
                  </w:r>
                </w:p>
              </w:tc>
              <w:tc>
                <w:tcPr>
                  <w:tcW w:w="1896" w:type="dxa"/>
                  <w:tcBorders>
                    <w:tl2br w:val="nil"/>
                    <w:tr2bl w:val="nil"/>
                  </w:tcBorders>
                  <w:noWrap w:val="0"/>
                  <w:vAlign w:val="center"/>
                </w:tcPr>
                <w:p w14:paraId="118C38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2"/>
                      <w:sz w:val="18"/>
                      <w:szCs w:val="18"/>
                      <w:highlight w:val="none"/>
                      <w:lang w:val="en-US" w:eastAsia="zh-CN" w:bidi="ar-SA"/>
                    </w:rPr>
                  </w:pPr>
                  <w:r>
                    <w:rPr>
                      <w:rFonts w:hint="default" w:ascii="Times New Roman" w:hAnsi="Times New Roman" w:eastAsia="宋体" w:cs="Times New Roman"/>
                      <w:b w:val="0"/>
                      <w:bCs w:val="0"/>
                      <w:color w:val="auto"/>
                      <w:spacing w:val="0"/>
                      <w:kern w:val="0"/>
                      <w:sz w:val="18"/>
                      <w:szCs w:val="18"/>
                      <w:highlight w:val="none"/>
                    </w:rPr>
                    <w:t>日最大8h平均浓度值</w:t>
                  </w:r>
                </w:p>
              </w:tc>
              <w:tc>
                <w:tcPr>
                  <w:tcW w:w="1663" w:type="dxa"/>
                  <w:tcBorders>
                    <w:tl2br w:val="nil"/>
                    <w:tr2bl w:val="nil"/>
                  </w:tcBorders>
                  <w:noWrap w:val="0"/>
                  <w:vAlign w:val="top"/>
                </w:tcPr>
                <w:p w14:paraId="0007B2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164</w:t>
                  </w:r>
                </w:p>
              </w:tc>
              <w:tc>
                <w:tcPr>
                  <w:tcW w:w="1432" w:type="dxa"/>
                  <w:tcBorders>
                    <w:tl2br w:val="nil"/>
                    <w:tr2bl w:val="nil"/>
                  </w:tcBorders>
                  <w:noWrap w:val="0"/>
                  <w:vAlign w:val="top"/>
                </w:tcPr>
                <w:p w14:paraId="1DF2FF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160</w:t>
                  </w:r>
                </w:p>
              </w:tc>
              <w:tc>
                <w:tcPr>
                  <w:tcW w:w="1118" w:type="dxa"/>
                  <w:tcBorders>
                    <w:tl2br w:val="nil"/>
                    <w:tr2bl w:val="nil"/>
                  </w:tcBorders>
                  <w:noWrap w:val="0"/>
                  <w:vAlign w:val="top"/>
                </w:tcPr>
                <w:p w14:paraId="3108DE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cs="Times New Roman"/>
                      <w:b w:val="0"/>
                      <w:bCs w:val="0"/>
                      <w:color w:val="auto"/>
                      <w:spacing w:val="0"/>
                      <w:kern w:val="0"/>
                      <w:sz w:val="18"/>
                      <w:szCs w:val="18"/>
                      <w:highlight w:val="none"/>
                      <w:lang w:val="en-US" w:eastAsia="zh-CN"/>
                    </w:rPr>
                    <w:t>102.5</w:t>
                  </w:r>
                </w:p>
              </w:tc>
              <w:tc>
                <w:tcPr>
                  <w:tcW w:w="936" w:type="dxa"/>
                  <w:tcBorders>
                    <w:tl2br w:val="nil"/>
                    <w:tr2bl w:val="nil"/>
                  </w:tcBorders>
                  <w:noWrap w:val="0"/>
                  <w:vAlign w:val="top"/>
                </w:tcPr>
                <w:p w14:paraId="106329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auto"/>
                      <w:spacing w:val="0"/>
                      <w:kern w:val="0"/>
                      <w:sz w:val="18"/>
                      <w:szCs w:val="18"/>
                      <w:highlight w:val="none"/>
                      <w:lang w:val="en-US" w:eastAsia="zh-CN"/>
                    </w:rPr>
                  </w:pPr>
                  <w:r>
                    <w:rPr>
                      <w:rFonts w:hint="default" w:ascii="Times New Roman" w:hAnsi="Times New Roman" w:eastAsia="宋体" w:cs="Times New Roman"/>
                      <w:b w:val="0"/>
                      <w:bCs w:val="0"/>
                      <w:color w:val="auto"/>
                      <w:spacing w:val="0"/>
                      <w:kern w:val="0"/>
                      <w:sz w:val="18"/>
                      <w:szCs w:val="18"/>
                      <w:highlight w:val="none"/>
                    </w:rPr>
                    <w:t>不达标</w:t>
                  </w:r>
                </w:p>
              </w:tc>
            </w:tr>
          </w:tbl>
          <w:p w14:paraId="0F083CEB">
            <w:pPr>
              <w:pStyle w:val="43"/>
              <w:keepNext w:val="0"/>
              <w:keepLines w:val="0"/>
              <w:pageBreakBefore w:val="0"/>
              <w:widowControl w:val="0"/>
              <w:suppressLineNumbers w:val="0"/>
              <w:kinsoku/>
              <w:wordWrap/>
              <w:overflowPunct/>
              <w:topLinePunct w:val="0"/>
              <w:bidi w:val="0"/>
              <w:adjustRightInd w:val="0"/>
              <w:snapToGrid w:val="0"/>
              <w:spacing w:before="0" w:beforeLines="0" w:beforeAutospacing="0" w:after="0" w:afterLines="0" w:afterAutospacing="0" w:line="360" w:lineRule="auto"/>
              <w:ind w:left="0" w:leftChars="0" w:right="0" w:rightChars="0" w:firstLine="480" w:firstLineChars="200"/>
              <w:rPr>
                <w:rFonts w:hint="default" w:ascii="Times New Roman" w:hAnsi="Times New Roman" w:eastAsia="宋体" w:cs="Times New Roman"/>
                <w:color w:val="auto"/>
                <w:spacing w:val="0"/>
                <w:sz w:val="24"/>
                <w:szCs w:val="24"/>
                <w:highlight w:val="green"/>
                <w:lang w:val="en-US" w:eastAsia="zh-CN" w:bidi="ar-SA"/>
              </w:rPr>
            </w:pPr>
            <w:r>
              <w:rPr>
                <w:rFonts w:hint="default" w:ascii="Times New Roman" w:hAnsi="Times New Roman" w:eastAsia="宋体" w:cs="Times New Roman"/>
                <w:color w:val="auto"/>
                <w:spacing w:val="0"/>
                <w:sz w:val="24"/>
                <w:szCs w:val="24"/>
                <w:highlight w:val="none"/>
              </w:rPr>
              <w:t>根据上表，</w:t>
            </w:r>
            <w:r>
              <w:rPr>
                <w:rFonts w:hint="default" w:ascii="Times New Roman" w:hAnsi="Times New Roman" w:cs="Times New Roman"/>
                <w:spacing w:val="8"/>
                <w:highlight w:val="none"/>
              </w:rPr>
              <w:t>迁安市环</w:t>
            </w:r>
            <w:r>
              <w:rPr>
                <w:rFonts w:hint="default" w:ascii="Times New Roman" w:hAnsi="Times New Roman" w:cs="Times New Roman"/>
                <w:spacing w:val="8"/>
              </w:rPr>
              <w:t>境空气质量中，</w:t>
            </w:r>
            <w:r>
              <w:rPr>
                <w:rFonts w:hint="default" w:ascii="Times New Roman" w:hAnsi="Times New Roman" w:eastAsia="Times New Roman" w:cs="Times New Roman"/>
              </w:rPr>
              <w:t>SO</w:t>
            </w:r>
            <w:r>
              <w:rPr>
                <w:rFonts w:hint="default" w:ascii="Times New Roman" w:hAnsi="Times New Roman" w:eastAsia="Times New Roman" w:cs="Times New Roman"/>
                <w:spacing w:val="8"/>
                <w:position w:val="-1"/>
                <w:sz w:val="13"/>
                <w:szCs w:val="13"/>
              </w:rPr>
              <w:t>2</w:t>
            </w:r>
            <w:r>
              <w:rPr>
                <w:rFonts w:hint="default" w:ascii="Times New Roman" w:hAnsi="Times New Roman" w:cs="Times New Roman"/>
                <w:spacing w:val="8"/>
              </w:rPr>
              <w:t>、</w:t>
            </w:r>
            <w:r>
              <w:rPr>
                <w:rFonts w:hint="default" w:ascii="Times New Roman" w:hAnsi="Times New Roman" w:eastAsia="Times New Roman" w:cs="Times New Roman"/>
              </w:rPr>
              <w:t>NO</w:t>
            </w:r>
            <w:r>
              <w:rPr>
                <w:rFonts w:hint="default" w:ascii="Times New Roman" w:hAnsi="Times New Roman" w:eastAsia="Times New Roman" w:cs="Times New Roman"/>
                <w:spacing w:val="8"/>
                <w:position w:val="-1"/>
                <w:sz w:val="13"/>
                <w:szCs w:val="13"/>
              </w:rPr>
              <w:t>2</w:t>
            </w:r>
            <w:r>
              <w:rPr>
                <w:rFonts w:hint="default" w:ascii="Times New Roman" w:hAnsi="Times New Roman" w:cs="Times New Roman"/>
                <w:spacing w:val="8"/>
              </w:rPr>
              <w:t>年平均浓度、一氧</w:t>
            </w:r>
            <w:r>
              <w:rPr>
                <w:rFonts w:hint="default" w:ascii="Times New Roman" w:hAnsi="Times New Roman" w:cs="Times New Roman"/>
                <w:spacing w:val="9"/>
              </w:rPr>
              <w:t>化碳</w:t>
            </w:r>
            <w:r>
              <w:rPr>
                <w:rFonts w:hint="default" w:ascii="Times New Roman" w:hAnsi="Times New Roman" w:eastAsia="Times New Roman" w:cs="Times New Roman"/>
                <w:spacing w:val="9"/>
              </w:rPr>
              <w:t>24</w:t>
            </w:r>
            <w:r>
              <w:rPr>
                <w:rFonts w:hint="default" w:ascii="Times New Roman" w:hAnsi="Times New Roman" w:cs="Times New Roman"/>
                <w:spacing w:val="9"/>
              </w:rPr>
              <w:t>小时平均浓度</w:t>
            </w:r>
            <w:r>
              <w:rPr>
                <w:rFonts w:hint="default" w:ascii="Times New Roman" w:hAnsi="Times New Roman" w:eastAsia="Times New Roman" w:cs="Times New Roman"/>
                <w:spacing w:val="9"/>
              </w:rPr>
              <w:t>95%</w:t>
            </w:r>
            <w:r>
              <w:rPr>
                <w:rFonts w:hint="default" w:ascii="Times New Roman" w:hAnsi="Times New Roman" w:cs="Times New Roman"/>
                <w:spacing w:val="9"/>
              </w:rPr>
              <w:t>百分位数均满足《环境空气质量标准》</w:t>
            </w:r>
            <w:r>
              <w:rPr>
                <w:rFonts w:hint="default" w:ascii="Times New Roman" w:hAnsi="Times New Roman" w:cs="Times New Roman"/>
                <w:spacing w:val="9"/>
                <w:lang w:eastAsia="zh-CN"/>
              </w:rPr>
              <w:t>（</w:t>
            </w:r>
            <w:r>
              <w:rPr>
                <w:rFonts w:hint="default" w:ascii="Times New Roman" w:hAnsi="Times New Roman" w:eastAsia="Times New Roman" w:cs="Times New Roman"/>
              </w:rPr>
              <w:t>GB</w:t>
            </w:r>
            <w:r>
              <w:rPr>
                <w:rFonts w:hint="default" w:ascii="Times New Roman" w:hAnsi="Times New Roman" w:eastAsia="Times New Roman" w:cs="Times New Roman"/>
                <w:spacing w:val="9"/>
              </w:rPr>
              <w:t>3095-202</w:t>
            </w:r>
            <w:r>
              <w:rPr>
                <w:rFonts w:hint="default" w:ascii="Times New Roman" w:hAnsi="Times New Roman" w:eastAsia="Times New Roman" w:cs="Times New Roman"/>
                <w:spacing w:val="8"/>
              </w:rPr>
              <w:t>6</w:t>
            </w:r>
            <w:r>
              <w:rPr>
                <w:rFonts w:hint="default" w:ascii="Times New Roman" w:hAnsi="Times New Roman" w:cs="Times New Roman"/>
                <w:spacing w:val="8"/>
                <w:lang w:eastAsia="zh-CN"/>
              </w:rPr>
              <w:t>）</w:t>
            </w:r>
            <w:r>
              <w:rPr>
                <w:rFonts w:hint="default" w:ascii="Times New Roman" w:hAnsi="Times New Roman" w:cs="Times New Roman"/>
                <w:spacing w:val="8"/>
              </w:rPr>
              <w:t>过渡阶段二</w:t>
            </w:r>
            <w:r>
              <w:rPr>
                <w:rFonts w:hint="default" w:ascii="Times New Roman" w:hAnsi="Times New Roman" w:cs="Times New Roman"/>
                <w:spacing w:val="7"/>
              </w:rPr>
              <w:t>级标准要求，</w:t>
            </w:r>
            <w:r>
              <w:rPr>
                <w:rFonts w:hint="default" w:ascii="Times New Roman" w:hAnsi="Times New Roman" w:eastAsia="Times New Roman" w:cs="Times New Roman"/>
              </w:rPr>
              <w:t>PM</w:t>
            </w:r>
            <w:r>
              <w:rPr>
                <w:rFonts w:hint="default" w:ascii="Times New Roman" w:hAnsi="Times New Roman" w:eastAsia="Times New Roman" w:cs="Times New Roman"/>
                <w:spacing w:val="7"/>
                <w:position w:val="-1"/>
                <w:sz w:val="13"/>
                <w:szCs w:val="13"/>
              </w:rPr>
              <w:t>2.5</w:t>
            </w:r>
            <w:r>
              <w:rPr>
                <w:rFonts w:hint="default" w:ascii="Times New Roman" w:hAnsi="Times New Roman" w:cs="Times New Roman"/>
                <w:spacing w:val="7"/>
              </w:rPr>
              <w:t>、</w:t>
            </w:r>
            <w:r>
              <w:rPr>
                <w:rFonts w:hint="default" w:ascii="Times New Roman" w:hAnsi="Times New Roman" w:eastAsia="Times New Roman" w:cs="Times New Roman"/>
              </w:rPr>
              <w:t>PM</w:t>
            </w:r>
            <w:r>
              <w:rPr>
                <w:rFonts w:hint="default" w:ascii="Times New Roman" w:hAnsi="Times New Roman" w:eastAsia="Times New Roman" w:cs="Times New Roman"/>
                <w:spacing w:val="7"/>
                <w:position w:val="-1"/>
                <w:sz w:val="13"/>
                <w:szCs w:val="13"/>
              </w:rPr>
              <w:t>10</w:t>
            </w:r>
            <w:r>
              <w:rPr>
                <w:rFonts w:hint="default" w:ascii="Times New Roman" w:hAnsi="Times New Roman" w:cs="Times New Roman"/>
                <w:spacing w:val="7"/>
              </w:rPr>
              <w:t>年平均浓度、</w:t>
            </w:r>
            <w:r>
              <w:rPr>
                <w:rFonts w:hint="default" w:ascii="Times New Roman" w:hAnsi="Times New Roman" w:eastAsia="Times New Roman" w:cs="Times New Roman"/>
                <w:spacing w:val="7"/>
              </w:rPr>
              <w:t>O</w:t>
            </w:r>
            <w:r>
              <w:rPr>
                <w:rFonts w:hint="default" w:ascii="Times New Roman" w:hAnsi="Times New Roman" w:eastAsia="Times New Roman" w:cs="Times New Roman"/>
                <w:spacing w:val="7"/>
                <w:position w:val="-1"/>
                <w:sz w:val="13"/>
                <w:szCs w:val="13"/>
              </w:rPr>
              <w:t>3</w:t>
            </w:r>
            <w:r>
              <w:rPr>
                <w:rFonts w:hint="default" w:ascii="Times New Roman" w:hAnsi="Times New Roman" w:eastAsia="Times New Roman" w:cs="Times New Roman"/>
                <w:spacing w:val="7"/>
              </w:rPr>
              <w:t>8</w:t>
            </w:r>
            <w:r>
              <w:rPr>
                <w:rFonts w:hint="default" w:ascii="Times New Roman" w:hAnsi="Times New Roman" w:cs="Times New Roman"/>
                <w:spacing w:val="7"/>
              </w:rPr>
              <w:t>小时平均</w:t>
            </w:r>
            <w:r>
              <w:rPr>
                <w:rFonts w:hint="default" w:ascii="Times New Roman" w:hAnsi="Times New Roman" w:cs="Times New Roman"/>
                <w:spacing w:val="6"/>
              </w:rPr>
              <w:t>浓度</w:t>
            </w:r>
            <w:r>
              <w:rPr>
                <w:rFonts w:hint="default" w:ascii="Times New Roman" w:hAnsi="Times New Roman" w:eastAsia="Times New Roman" w:cs="Times New Roman"/>
                <w:spacing w:val="6"/>
              </w:rPr>
              <w:t>90%</w:t>
            </w:r>
            <w:r>
              <w:rPr>
                <w:rFonts w:hint="default" w:ascii="Times New Roman" w:hAnsi="Times New Roman" w:cs="Times New Roman"/>
                <w:spacing w:val="6"/>
              </w:rPr>
              <w:t>百分位数不满足《环境空气质</w:t>
            </w:r>
            <w:r>
              <w:rPr>
                <w:rFonts w:hint="default" w:ascii="Times New Roman" w:hAnsi="Times New Roman" w:cs="Times New Roman"/>
                <w:spacing w:val="8"/>
              </w:rPr>
              <w:t>量标准》</w:t>
            </w:r>
            <w:r>
              <w:rPr>
                <w:rFonts w:hint="default" w:ascii="Times New Roman" w:hAnsi="Times New Roman" w:cs="Times New Roman"/>
                <w:spacing w:val="8"/>
                <w:lang w:eastAsia="zh-CN"/>
              </w:rPr>
              <w:t>（</w:t>
            </w:r>
            <w:r>
              <w:rPr>
                <w:rFonts w:hint="default" w:ascii="Times New Roman" w:hAnsi="Times New Roman" w:eastAsia="Times New Roman" w:cs="Times New Roman"/>
              </w:rPr>
              <w:t>GB</w:t>
            </w:r>
            <w:r>
              <w:rPr>
                <w:rFonts w:hint="default" w:ascii="Times New Roman" w:hAnsi="Times New Roman" w:eastAsia="Times New Roman" w:cs="Times New Roman"/>
                <w:spacing w:val="8"/>
              </w:rPr>
              <w:t>3095-2026</w:t>
            </w:r>
            <w:r>
              <w:rPr>
                <w:rFonts w:hint="default" w:ascii="Times New Roman" w:hAnsi="Times New Roman" w:cs="Times New Roman"/>
                <w:spacing w:val="8"/>
                <w:lang w:eastAsia="zh-CN"/>
              </w:rPr>
              <w:t>）</w:t>
            </w:r>
            <w:r>
              <w:rPr>
                <w:rFonts w:hint="default" w:ascii="Times New Roman" w:hAnsi="Times New Roman" w:cs="Times New Roman"/>
                <w:spacing w:val="8"/>
                <w:lang w:val="zh-CN" w:eastAsia="zh-CN"/>
              </w:rPr>
              <w:t>过渡阶段</w:t>
            </w:r>
            <w:r>
              <w:rPr>
                <w:rFonts w:hint="default" w:ascii="Times New Roman" w:hAnsi="Times New Roman" w:cs="Times New Roman"/>
                <w:spacing w:val="8"/>
              </w:rPr>
              <w:t>二级标准要求，即本项目所在区域为不达标区。</w:t>
            </w:r>
          </w:p>
          <w:p w14:paraId="741477C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baseline"/>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(2)其他污染物环境质量现状监测与评价</w:t>
            </w:r>
          </w:p>
          <w:p w14:paraId="771D9D04">
            <w:pPr>
              <w:keepNext w:val="0"/>
              <w:keepLines w:val="0"/>
              <w:pageBreakBefore w:val="0"/>
              <w:widowControl/>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2"/>
                <w:sz w:val="24"/>
                <w:szCs w:val="24"/>
                <w:highlight w:val="none"/>
                <w:lang w:val="en-US" w:eastAsia="zh-CN" w:bidi="ar-SA"/>
              </w:rPr>
              <w:t>本项目特征因子TSP</w:t>
            </w:r>
            <w:r>
              <w:rPr>
                <w:rFonts w:hint="default" w:ascii="Times New Roman" w:hAnsi="Times New Roman" w:cs="Times New Roman"/>
                <w:color w:val="auto"/>
                <w:kern w:val="2"/>
                <w:sz w:val="24"/>
                <w:szCs w:val="24"/>
                <w:highlight w:val="none"/>
                <w:lang w:val="en-US" w:eastAsia="zh-CN" w:bidi="ar-SA"/>
              </w:rPr>
              <w:t>、氨、硫化氢、汞</w:t>
            </w:r>
            <w:r>
              <w:rPr>
                <w:rFonts w:hint="default" w:ascii="Times New Roman" w:hAnsi="Times New Roman" w:eastAsia="宋体" w:cs="Times New Roman"/>
                <w:color w:val="auto"/>
                <w:kern w:val="2"/>
                <w:sz w:val="24"/>
                <w:szCs w:val="24"/>
                <w:highlight w:val="none"/>
                <w:lang w:val="en-US" w:eastAsia="zh-CN" w:bidi="ar-SA"/>
              </w:rPr>
              <w:t>引用《河北迁安经济开发区总体规划</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2022-2030年</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环境影响报告书》环境质量现状监测报告数据，监测点位为</w:t>
            </w:r>
            <w:r>
              <w:rPr>
                <w:rFonts w:hint="default" w:ascii="Times New Roman" w:hAnsi="Times New Roman" w:cs="Times New Roman"/>
                <w:color w:val="auto"/>
                <w:kern w:val="2"/>
                <w:sz w:val="24"/>
                <w:szCs w:val="24"/>
                <w:highlight w:val="none"/>
                <w:lang w:val="en-US" w:eastAsia="zh-CN" w:bidi="ar-SA"/>
              </w:rPr>
              <w:t>滨河社区</w:t>
            </w:r>
            <w:r>
              <w:rPr>
                <w:rFonts w:hint="default" w:ascii="Times New Roman" w:hAnsi="Times New Roman" w:eastAsia="宋体" w:cs="Times New Roman"/>
                <w:color w:val="auto"/>
                <w:kern w:val="2"/>
                <w:sz w:val="24"/>
                <w:szCs w:val="24"/>
                <w:highlight w:val="none"/>
                <w:lang w:val="en-US" w:eastAsia="zh-CN" w:bidi="ar-SA"/>
              </w:rPr>
              <w:t>，监测时间为202</w:t>
            </w:r>
            <w:r>
              <w:rPr>
                <w:rFonts w:hint="default" w:ascii="Times New Roman" w:hAnsi="Times New Roman"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年</w:t>
            </w:r>
            <w:r>
              <w:rPr>
                <w:rFonts w:hint="default" w:ascii="Times New Roman" w:hAnsi="Times New Roman" w:cs="Times New Roman"/>
                <w:color w:val="auto"/>
                <w:kern w:val="2"/>
                <w:sz w:val="24"/>
                <w:szCs w:val="24"/>
                <w:highlight w:val="none"/>
                <w:lang w:val="en-US" w:eastAsia="zh-CN" w:bidi="ar-SA"/>
              </w:rPr>
              <w:t>8</w:t>
            </w:r>
            <w:r>
              <w:rPr>
                <w:rFonts w:hint="default" w:ascii="Times New Roman" w:hAnsi="Times New Roman" w:eastAsia="宋体" w:cs="Times New Roman"/>
                <w:color w:val="auto"/>
                <w:kern w:val="2"/>
                <w:sz w:val="24"/>
                <w:szCs w:val="24"/>
                <w:highlight w:val="none"/>
                <w:lang w:val="en-US" w:eastAsia="zh-CN" w:bidi="ar-SA"/>
              </w:rPr>
              <w:t>月</w:t>
            </w:r>
            <w:r>
              <w:rPr>
                <w:rFonts w:hint="default" w:ascii="Times New Roman" w:hAnsi="Times New Roman"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日-202</w:t>
            </w:r>
            <w:r>
              <w:rPr>
                <w:rFonts w:hint="default" w:ascii="Times New Roman" w:hAnsi="Times New Roman"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年</w:t>
            </w:r>
            <w:r>
              <w:rPr>
                <w:rFonts w:hint="default" w:ascii="Times New Roman" w:hAnsi="Times New Roman" w:cs="Times New Roman"/>
                <w:color w:val="auto"/>
                <w:kern w:val="2"/>
                <w:sz w:val="24"/>
                <w:szCs w:val="24"/>
                <w:highlight w:val="none"/>
                <w:lang w:val="en-US" w:eastAsia="zh-CN" w:bidi="ar-SA"/>
              </w:rPr>
              <w:t>8</w:t>
            </w:r>
            <w:r>
              <w:rPr>
                <w:rFonts w:hint="default" w:ascii="Times New Roman" w:hAnsi="Times New Roman" w:eastAsia="宋体" w:cs="Times New Roman"/>
                <w:color w:val="auto"/>
                <w:kern w:val="2"/>
                <w:sz w:val="24"/>
                <w:szCs w:val="24"/>
                <w:highlight w:val="none"/>
                <w:lang w:val="en-US" w:eastAsia="zh-CN" w:bidi="ar-SA"/>
              </w:rPr>
              <w:t>月</w:t>
            </w:r>
            <w:r>
              <w:rPr>
                <w:rFonts w:hint="default" w:ascii="Times New Roman" w:hAnsi="Times New Roman"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1日。项目引用的监测点位</w:t>
            </w:r>
            <w:r>
              <w:rPr>
                <w:rFonts w:hint="default" w:ascii="Times New Roman" w:hAnsi="Times New Roman" w:cs="Times New Roman"/>
                <w:color w:val="auto"/>
                <w:kern w:val="2"/>
                <w:sz w:val="24"/>
                <w:szCs w:val="24"/>
                <w:highlight w:val="none"/>
                <w:lang w:val="en-US" w:eastAsia="zh-CN" w:bidi="ar-SA"/>
              </w:rPr>
              <w:t>滨河社区</w:t>
            </w:r>
            <w:r>
              <w:rPr>
                <w:rFonts w:hint="default" w:ascii="Times New Roman" w:hAnsi="Times New Roman" w:eastAsia="宋体" w:cs="Times New Roman"/>
                <w:color w:val="auto"/>
                <w:kern w:val="2"/>
                <w:sz w:val="24"/>
                <w:szCs w:val="24"/>
                <w:highlight w:val="none"/>
                <w:lang w:val="en-US" w:eastAsia="zh-CN" w:bidi="ar-SA"/>
              </w:rPr>
              <w:t>位于本项目</w:t>
            </w:r>
            <w:r>
              <w:rPr>
                <w:rFonts w:hint="default" w:ascii="Times New Roman" w:hAnsi="Times New Roman" w:cs="Times New Roman"/>
                <w:color w:val="auto"/>
                <w:kern w:val="2"/>
                <w:sz w:val="24"/>
                <w:szCs w:val="24"/>
                <w:highlight w:val="none"/>
                <w:lang w:val="en-US" w:eastAsia="zh-CN" w:bidi="ar-SA"/>
              </w:rPr>
              <w:t>西</w:t>
            </w:r>
            <w:r>
              <w:rPr>
                <w:rFonts w:hint="default" w:ascii="Times New Roman" w:hAnsi="Times New Roman" w:eastAsia="宋体" w:cs="Times New Roman"/>
                <w:color w:val="auto"/>
                <w:kern w:val="2"/>
                <w:sz w:val="24"/>
                <w:szCs w:val="24"/>
                <w:highlight w:val="none"/>
                <w:lang w:val="en-US" w:eastAsia="zh-CN" w:bidi="ar-SA"/>
              </w:rPr>
              <w:t>北侧</w:t>
            </w:r>
            <w:r>
              <w:rPr>
                <w:rFonts w:hint="default" w:ascii="Times New Roman" w:hAnsi="Times New Roman" w:cs="Times New Roman"/>
                <w:color w:val="auto"/>
                <w:kern w:val="2"/>
                <w:sz w:val="24"/>
                <w:szCs w:val="24"/>
                <w:highlight w:val="none"/>
                <w:lang w:val="en-US" w:eastAsia="zh-CN" w:bidi="ar-SA"/>
              </w:rPr>
              <w:t>580</w:t>
            </w:r>
            <w:r>
              <w:rPr>
                <w:rFonts w:hint="default" w:ascii="Times New Roman" w:hAnsi="Times New Roman" w:eastAsia="宋体" w:cs="Times New Roman"/>
                <w:color w:val="auto"/>
                <w:kern w:val="2"/>
                <w:sz w:val="24"/>
                <w:szCs w:val="24"/>
                <w:highlight w:val="none"/>
                <w:lang w:val="en-US" w:eastAsia="zh-CN" w:bidi="ar-SA"/>
              </w:rPr>
              <w:t>处，引用数据满足《建设项目环境影响报告表编制技术指南</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污染影响类</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（试行）》</w:t>
            </w:r>
            <w:r>
              <w:rPr>
                <w:rFonts w:hint="default" w:ascii="Times New Roman" w:hAnsi="Times New Roman" w:eastAsia="宋体" w:cs="Times New Roman"/>
                <w:color w:val="auto"/>
                <w:kern w:val="2"/>
                <w:sz w:val="24"/>
                <w:szCs w:val="24"/>
                <w:highlight w:val="none"/>
                <w:lang w:val="en-US" w:eastAsia="zh-CN" w:bidi="ar-SA"/>
              </w:rPr>
              <w:t>的相关要求，周边5千米范围内近3年的现有监测数据的要求。</w:t>
            </w:r>
          </w:p>
          <w:p w14:paraId="28EA2BD2">
            <w:pPr>
              <w:keepNext w:val="0"/>
              <w:keepLines w:val="0"/>
              <w:suppressLineNumbers w:val="0"/>
              <w:autoSpaceDE w:val="0"/>
              <w:autoSpaceDN w:val="0"/>
              <w:adjustRightInd w:val="0"/>
              <w:spacing w:before="0" w:beforeAutospacing="0" w:after="0" w:afterAutospacing="0" w:line="360" w:lineRule="auto"/>
              <w:ind w:left="0" w:right="0" w:firstLine="496" w:firstLineChars="200"/>
              <w:jc w:val="left"/>
              <w:rPr>
                <w:rFonts w:hint="default" w:ascii="Times New Roman" w:hAnsi="Times New Roman" w:eastAsia="宋体" w:cs="Times New Roman"/>
                <w:color w:val="auto"/>
                <w:spacing w:val="4"/>
                <w:kern w:val="0"/>
                <w:sz w:val="24"/>
                <w:highlight w:val="none"/>
              </w:rPr>
            </w:pPr>
            <w:r>
              <w:rPr>
                <w:rFonts w:hint="default" w:ascii="Times New Roman" w:hAnsi="Times New Roman" w:eastAsia="宋体" w:cs="Times New Roman"/>
                <w:color w:val="auto"/>
                <w:spacing w:val="4"/>
                <w:kern w:val="0"/>
                <w:sz w:val="24"/>
                <w:highlight w:val="none"/>
              </w:rPr>
              <w:t>引用环境空气现状检测结果见下表。</w:t>
            </w:r>
          </w:p>
          <w:p w14:paraId="5F5B39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表3-</w:t>
            </w: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 xml:space="preserve">    监测结果一览表</w:t>
            </w:r>
          </w:p>
          <w:tbl>
            <w:tblPr>
              <w:tblStyle w:val="3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005"/>
              <w:gridCol w:w="988"/>
              <w:gridCol w:w="1212"/>
              <w:gridCol w:w="1582"/>
              <w:gridCol w:w="1117"/>
              <w:gridCol w:w="1176"/>
              <w:gridCol w:w="656"/>
            </w:tblGrid>
            <w:tr w14:paraId="3CFE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1" w:type="pct"/>
                  <w:noWrap w:val="0"/>
                  <w:vAlign w:val="center"/>
                </w:tcPr>
                <w:p w14:paraId="6B025E6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w:t>
                  </w:r>
                </w:p>
                <w:p w14:paraId="604C7A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点位</w:t>
                  </w:r>
                </w:p>
              </w:tc>
              <w:tc>
                <w:tcPr>
                  <w:tcW w:w="593" w:type="pct"/>
                  <w:noWrap w:val="0"/>
                  <w:vAlign w:val="center"/>
                </w:tcPr>
                <w:p w14:paraId="04ACBF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w:t>
                  </w:r>
                </w:p>
              </w:tc>
              <w:tc>
                <w:tcPr>
                  <w:tcW w:w="583" w:type="pct"/>
                  <w:noWrap w:val="0"/>
                  <w:vAlign w:val="center"/>
                </w:tcPr>
                <w:p w14:paraId="248E1CD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平均</w:t>
                  </w:r>
                </w:p>
                <w:p w14:paraId="317463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时间</w:t>
                  </w:r>
                </w:p>
              </w:tc>
              <w:tc>
                <w:tcPr>
                  <w:tcW w:w="715" w:type="pct"/>
                  <w:noWrap w:val="0"/>
                  <w:vAlign w:val="center"/>
                </w:tcPr>
                <w:p w14:paraId="775903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评价标准/</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μg/m³</w:t>
                  </w:r>
                  <w:r>
                    <w:rPr>
                      <w:rFonts w:hint="default" w:ascii="Times New Roman" w:hAnsi="Times New Roman" w:eastAsia="宋体" w:cs="Times New Roman"/>
                      <w:color w:val="auto"/>
                      <w:sz w:val="18"/>
                      <w:szCs w:val="18"/>
                      <w:highlight w:val="none"/>
                      <w:lang w:eastAsia="zh-CN"/>
                    </w:rPr>
                    <w:t>)</w:t>
                  </w:r>
                </w:p>
              </w:tc>
              <w:tc>
                <w:tcPr>
                  <w:tcW w:w="934" w:type="pct"/>
                  <w:noWrap w:val="0"/>
                  <w:vAlign w:val="center"/>
                </w:tcPr>
                <w:p w14:paraId="48D859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监测浓度范围</w:t>
                  </w:r>
                </w:p>
                <w:p w14:paraId="58B74B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μg/m³</w:t>
                  </w:r>
                  <w:r>
                    <w:rPr>
                      <w:rFonts w:hint="default" w:ascii="Times New Roman" w:hAnsi="Times New Roman" w:eastAsia="宋体" w:cs="Times New Roman"/>
                      <w:color w:val="auto"/>
                      <w:sz w:val="18"/>
                      <w:szCs w:val="18"/>
                      <w:highlight w:val="none"/>
                      <w:lang w:eastAsia="zh-CN"/>
                    </w:rPr>
                    <w:t>)</w:t>
                  </w:r>
                </w:p>
              </w:tc>
              <w:tc>
                <w:tcPr>
                  <w:tcW w:w="659" w:type="pct"/>
                  <w:noWrap w:val="0"/>
                  <w:vAlign w:val="center"/>
                </w:tcPr>
                <w:p w14:paraId="224B267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最大浓度占标率</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w:t>
                  </w:r>
                  <w:r>
                    <w:rPr>
                      <w:rFonts w:hint="default" w:ascii="Times New Roman" w:hAnsi="Times New Roman" w:eastAsia="宋体" w:cs="Times New Roman"/>
                      <w:color w:val="auto"/>
                      <w:sz w:val="18"/>
                      <w:szCs w:val="18"/>
                      <w:highlight w:val="none"/>
                      <w:lang w:eastAsia="zh-CN"/>
                    </w:rPr>
                    <w:t>）</w:t>
                  </w:r>
                </w:p>
              </w:tc>
              <w:tc>
                <w:tcPr>
                  <w:tcW w:w="694" w:type="pct"/>
                  <w:noWrap w:val="0"/>
                  <w:vAlign w:val="center"/>
                </w:tcPr>
                <w:p w14:paraId="04AC99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超标率</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w:t>
                  </w:r>
                  <w:r>
                    <w:rPr>
                      <w:rFonts w:hint="default" w:ascii="Times New Roman" w:hAnsi="Times New Roman" w:eastAsia="宋体" w:cs="Times New Roman"/>
                      <w:color w:val="auto"/>
                      <w:sz w:val="18"/>
                      <w:szCs w:val="18"/>
                      <w:highlight w:val="none"/>
                      <w:lang w:eastAsia="zh-CN"/>
                    </w:rPr>
                    <w:t>）</w:t>
                  </w:r>
                </w:p>
              </w:tc>
              <w:tc>
                <w:tcPr>
                  <w:tcW w:w="387" w:type="pct"/>
                  <w:noWrap w:val="0"/>
                  <w:vAlign w:val="center"/>
                </w:tcPr>
                <w:p w14:paraId="58DDF2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达标情况</w:t>
                  </w:r>
                </w:p>
              </w:tc>
            </w:tr>
            <w:tr w14:paraId="6E07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1" w:type="pct"/>
                  <w:vMerge w:val="restart"/>
                  <w:noWrap w:val="0"/>
                  <w:vAlign w:val="center"/>
                </w:tcPr>
                <w:p w14:paraId="465403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滨河社区</w:t>
                  </w:r>
                </w:p>
              </w:tc>
              <w:tc>
                <w:tcPr>
                  <w:tcW w:w="593" w:type="pct"/>
                  <w:noWrap w:val="0"/>
                  <w:vAlign w:val="center"/>
                </w:tcPr>
                <w:p w14:paraId="04E89C8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TSP</w:t>
                  </w:r>
                </w:p>
              </w:tc>
              <w:tc>
                <w:tcPr>
                  <w:tcW w:w="583" w:type="pct"/>
                  <w:noWrap w:val="0"/>
                  <w:vAlign w:val="center"/>
                </w:tcPr>
                <w:p w14:paraId="16D735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24</w:t>
                  </w:r>
                  <w:r>
                    <w:rPr>
                      <w:rFonts w:hint="default" w:ascii="Times New Roman" w:hAnsi="Times New Roman" w:eastAsia="宋体" w:cs="Times New Roman"/>
                      <w:color w:val="auto"/>
                      <w:sz w:val="18"/>
                      <w:szCs w:val="18"/>
                      <w:highlight w:val="none"/>
                    </w:rPr>
                    <w:t>小时平均</w:t>
                  </w:r>
                </w:p>
              </w:tc>
              <w:tc>
                <w:tcPr>
                  <w:tcW w:w="715" w:type="pct"/>
                  <w:noWrap w:val="0"/>
                  <w:vAlign w:val="center"/>
                </w:tcPr>
                <w:p w14:paraId="77BB92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300</w:t>
                  </w:r>
                </w:p>
              </w:tc>
              <w:tc>
                <w:tcPr>
                  <w:tcW w:w="934" w:type="pct"/>
                  <w:noWrap w:val="0"/>
                  <w:vAlign w:val="center"/>
                </w:tcPr>
                <w:p w14:paraId="4FC7AC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135-169</w:t>
                  </w:r>
                </w:p>
              </w:tc>
              <w:tc>
                <w:tcPr>
                  <w:tcW w:w="659" w:type="pct"/>
                  <w:noWrap w:val="0"/>
                  <w:vAlign w:val="center"/>
                </w:tcPr>
                <w:p w14:paraId="714B5F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57</w:t>
                  </w:r>
                </w:p>
              </w:tc>
              <w:tc>
                <w:tcPr>
                  <w:tcW w:w="694" w:type="pct"/>
                  <w:noWrap w:val="0"/>
                  <w:vAlign w:val="center"/>
                </w:tcPr>
                <w:p w14:paraId="27E1EA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387" w:type="pct"/>
                  <w:noWrap w:val="0"/>
                  <w:vAlign w:val="center"/>
                </w:tcPr>
                <w:p w14:paraId="412832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4CBA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1" w:type="pct"/>
                  <w:vMerge w:val="continue"/>
                  <w:noWrap w:val="0"/>
                  <w:vAlign w:val="center"/>
                </w:tcPr>
                <w:p w14:paraId="19FB61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p>
              </w:tc>
              <w:tc>
                <w:tcPr>
                  <w:tcW w:w="593" w:type="pct"/>
                  <w:noWrap w:val="0"/>
                  <w:vAlign w:val="center"/>
                </w:tcPr>
                <w:p w14:paraId="29AFDF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硫化氢</w:t>
                  </w:r>
                </w:p>
              </w:tc>
              <w:tc>
                <w:tcPr>
                  <w:tcW w:w="988" w:type="dxa"/>
                  <w:noWrap w:val="0"/>
                  <w:vAlign w:val="center"/>
                </w:tcPr>
                <w:p w14:paraId="783EE42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rPr>
                    <w:t>小时平均</w:t>
                  </w:r>
                </w:p>
              </w:tc>
              <w:tc>
                <w:tcPr>
                  <w:tcW w:w="715" w:type="pct"/>
                  <w:noWrap w:val="0"/>
                  <w:vAlign w:val="center"/>
                </w:tcPr>
                <w:p w14:paraId="465DE5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p>
              </w:tc>
              <w:tc>
                <w:tcPr>
                  <w:tcW w:w="934" w:type="pct"/>
                  <w:noWrap w:val="0"/>
                  <w:vAlign w:val="center"/>
                </w:tcPr>
                <w:p w14:paraId="1C9D6D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ND-2</w:t>
                  </w:r>
                </w:p>
              </w:tc>
              <w:tc>
                <w:tcPr>
                  <w:tcW w:w="659" w:type="pct"/>
                  <w:noWrap w:val="0"/>
                  <w:vAlign w:val="center"/>
                </w:tcPr>
                <w:p w14:paraId="632423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20</w:t>
                  </w:r>
                </w:p>
              </w:tc>
              <w:tc>
                <w:tcPr>
                  <w:tcW w:w="1176" w:type="dxa"/>
                  <w:noWrap w:val="0"/>
                  <w:vAlign w:val="center"/>
                </w:tcPr>
                <w:p w14:paraId="0131CDE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56" w:type="dxa"/>
                  <w:noWrap w:val="0"/>
                  <w:vAlign w:val="center"/>
                </w:tcPr>
                <w:p w14:paraId="05AB387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0D8B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1" w:type="pct"/>
                  <w:vMerge w:val="continue"/>
                  <w:noWrap w:val="0"/>
                  <w:vAlign w:val="center"/>
                </w:tcPr>
                <w:p w14:paraId="5CDD1E2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p>
              </w:tc>
              <w:tc>
                <w:tcPr>
                  <w:tcW w:w="593" w:type="pct"/>
                  <w:noWrap w:val="0"/>
                  <w:vAlign w:val="center"/>
                </w:tcPr>
                <w:p w14:paraId="48A43F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氨</w:t>
                  </w:r>
                </w:p>
              </w:tc>
              <w:tc>
                <w:tcPr>
                  <w:tcW w:w="988" w:type="dxa"/>
                  <w:noWrap w:val="0"/>
                  <w:vAlign w:val="center"/>
                </w:tcPr>
                <w:p w14:paraId="13039B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rPr>
                    <w:t>时平均</w:t>
                  </w:r>
                </w:p>
              </w:tc>
              <w:tc>
                <w:tcPr>
                  <w:tcW w:w="715" w:type="pct"/>
                  <w:noWrap w:val="0"/>
                  <w:vAlign w:val="center"/>
                </w:tcPr>
                <w:p w14:paraId="648F5E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200</w:t>
                  </w:r>
                </w:p>
              </w:tc>
              <w:tc>
                <w:tcPr>
                  <w:tcW w:w="934" w:type="pct"/>
                  <w:noWrap w:val="0"/>
                  <w:vAlign w:val="center"/>
                </w:tcPr>
                <w:p w14:paraId="6E4653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50-65</w:t>
                  </w:r>
                </w:p>
              </w:tc>
              <w:tc>
                <w:tcPr>
                  <w:tcW w:w="659" w:type="pct"/>
                  <w:noWrap w:val="0"/>
                  <w:vAlign w:val="center"/>
                </w:tcPr>
                <w:p w14:paraId="0F9298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32.5</w:t>
                  </w:r>
                </w:p>
              </w:tc>
              <w:tc>
                <w:tcPr>
                  <w:tcW w:w="1176" w:type="dxa"/>
                  <w:noWrap w:val="0"/>
                  <w:vAlign w:val="center"/>
                </w:tcPr>
                <w:p w14:paraId="17D49E8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56" w:type="dxa"/>
                  <w:noWrap w:val="0"/>
                  <w:vAlign w:val="center"/>
                </w:tcPr>
                <w:p w14:paraId="0BFBBAE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5D75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1" w:type="pct"/>
                  <w:vMerge w:val="continue"/>
                  <w:noWrap w:val="0"/>
                  <w:vAlign w:val="center"/>
                </w:tcPr>
                <w:p w14:paraId="39CB5A5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p>
              </w:tc>
              <w:tc>
                <w:tcPr>
                  <w:tcW w:w="593" w:type="pct"/>
                  <w:noWrap w:val="0"/>
                  <w:vAlign w:val="center"/>
                </w:tcPr>
                <w:p w14:paraId="54C99D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汞</w:t>
                  </w:r>
                </w:p>
              </w:tc>
              <w:tc>
                <w:tcPr>
                  <w:tcW w:w="988" w:type="dxa"/>
                  <w:noWrap w:val="0"/>
                  <w:vAlign w:val="center"/>
                </w:tcPr>
                <w:p w14:paraId="2913665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24</w:t>
                  </w:r>
                  <w:r>
                    <w:rPr>
                      <w:rFonts w:hint="default" w:ascii="Times New Roman" w:hAnsi="Times New Roman" w:eastAsia="宋体" w:cs="Times New Roman"/>
                      <w:color w:val="auto"/>
                      <w:sz w:val="18"/>
                      <w:szCs w:val="18"/>
                      <w:highlight w:val="none"/>
                    </w:rPr>
                    <w:t>小时平均</w:t>
                  </w:r>
                </w:p>
              </w:tc>
              <w:tc>
                <w:tcPr>
                  <w:tcW w:w="715" w:type="pct"/>
                  <w:noWrap w:val="0"/>
                  <w:vAlign w:val="center"/>
                </w:tcPr>
                <w:p w14:paraId="65199D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934" w:type="pct"/>
                  <w:noWrap w:val="0"/>
                  <w:vAlign w:val="center"/>
                </w:tcPr>
                <w:p w14:paraId="034B26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ND</w:t>
                  </w:r>
                </w:p>
              </w:tc>
              <w:tc>
                <w:tcPr>
                  <w:tcW w:w="659" w:type="pct"/>
                  <w:noWrap w:val="0"/>
                  <w:vAlign w:val="center"/>
                </w:tcPr>
                <w:p w14:paraId="096B95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1176" w:type="dxa"/>
                  <w:noWrap w:val="0"/>
                  <w:vAlign w:val="center"/>
                </w:tcPr>
                <w:p w14:paraId="7DD3E2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56" w:type="dxa"/>
                  <w:noWrap w:val="0"/>
                  <w:vAlign w:val="center"/>
                </w:tcPr>
                <w:p w14:paraId="5301BAD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bl>
          <w:p w14:paraId="30CB6F4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eastAsia="宋体" w:cs="Times New Roman"/>
                <w:b/>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sz w:val="24"/>
                <w:szCs w:val="24"/>
                <w:highlight w:val="none"/>
                <w:lang w:val="en-US" w:eastAsia="zh-CN"/>
              </w:rPr>
              <w:t>根据监测结果可知</w:t>
            </w:r>
            <w:r>
              <w:rPr>
                <w:rFonts w:hint="default" w:ascii="Times New Roman" w:hAnsi="Times New Roman" w:eastAsia="宋体" w:cs="Times New Roman"/>
                <w:color w:val="000000"/>
                <w:sz w:val="24"/>
                <w:szCs w:val="24"/>
                <w:highlight w:val="none"/>
              </w:rPr>
              <w:t>，</w:t>
            </w:r>
            <w:r>
              <w:rPr>
                <w:rFonts w:hint="default" w:ascii="Times New Roman" w:hAnsi="Times New Roman" w:eastAsia="宋体" w:cs="Times New Roman"/>
                <w:color w:val="000000"/>
                <w:sz w:val="24"/>
                <w:szCs w:val="24"/>
                <w:highlight w:val="none"/>
                <w:lang w:val="en-US" w:eastAsia="zh-CN"/>
              </w:rPr>
              <w:t>TSP</w:t>
            </w:r>
            <w:r>
              <w:rPr>
                <w:rFonts w:hint="default" w:ascii="Times New Roman" w:hAnsi="Times New Roman" w:cs="Times New Roman"/>
                <w:color w:val="000000"/>
                <w:sz w:val="24"/>
                <w:szCs w:val="24"/>
                <w:highlight w:val="none"/>
                <w:lang w:val="en-US" w:eastAsia="zh-CN"/>
              </w:rPr>
              <w:t>、汞</w:t>
            </w:r>
            <w:r>
              <w:rPr>
                <w:rFonts w:hint="default" w:ascii="Times New Roman" w:hAnsi="Times New Roman" w:eastAsia="宋体" w:cs="Times New Roman"/>
                <w:color w:val="auto"/>
                <w:spacing w:val="0"/>
                <w:sz w:val="24"/>
                <w:szCs w:val="24"/>
                <w:highlight w:val="none"/>
                <w:lang w:val="en-US" w:eastAsia="zh-CN"/>
              </w:rPr>
              <w:t>满足</w:t>
            </w:r>
            <w:r>
              <w:rPr>
                <w:rFonts w:hint="default" w:ascii="Times New Roman" w:hAnsi="Times New Roman" w:eastAsia="宋体" w:cs="Times New Roman"/>
                <w:color w:val="auto"/>
                <w:spacing w:val="0"/>
                <w:sz w:val="24"/>
                <w:szCs w:val="24"/>
                <w:highlight w:val="none"/>
              </w:rPr>
              <w:t>《环境空气质量标准》</w:t>
            </w:r>
            <w:r>
              <w:rPr>
                <w:rFonts w:hint="default" w:ascii="Times New Roman" w:hAnsi="Times New Roman"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lang w:eastAsia="zh-CN"/>
              </w:rPr>
              <w:t>GB3095-2026</w:t>
            </w:r>
            <w:r>
              <w:rPr>
                <w:rFonts w:hint="default" w:ascii="Times New Roman" w:hAnsi="Times New Roman" w:cs="Times New Roman"/>
                <w:color w:val="auto"/>
                <w:spacing w:val="0"/>
                <w:sz w:val="24"/>
                <w:szCs w:val="24"/>
                <w:highlight w:val="none"/>
                <w:lang w:eastAsia="zh-CN"/>
              </w:rPr>
              <w:t>）</w:t>
            </w:r>
            <w:r>
              <w:rPr>
                <w:rFonts w:hint="default" w:ascii="Times New Roman" w:hAnsi="Times New Roman" w:cs="Times New Roman"/>
                <w:color w:val="auto"/>
                <w:spacing w:val="0"/>
                <w:sz w:val="24"/>
                <w:szCs w:val="24"/>
                <w:highlight w:val="none"/>
                <w:lang w:val="en-US" w:eastAsia="zh-CN"/>
              </w:rPr>
              <w:t>相关</w:t>
            </w:r>
            <w:r>
              <w:rPr>
                <w:rFonts w:hint="default" w:ascii="Times New Roman" w:hAnsi="Times New Roman" w:eastAsia="宋体" w:cs="Times New Roman"/>
                <w:color w:val="auto"/>
                <w:spacing w:val="0"/>
                <w:sz w:val="24"/>
                <w:szCs w:val="24"/>
                <w:highlight w:val="none"/>
              </w:rPr>
              <w:t>标准限值</w:t>
            </w:r>
            <w:r>
              <w:rPr>
                <w:rFonts w:hint="default" w:ascii="Times New Roman" w:hAnsi="Times New Roman" w:cs="Times New Roman"/>
                <w:color w:val="auto"/>
                <w:spacing w:val="0"/>
                <w:sz w:val="24"/>
                <w:szCs w:val="24"/>
                <w:highlight w:val="none"/>
                <w:lang w:eastAsia="zh-CN"/>
              </w:rPr>
              <w:t>，氨、硫化氢浓度满足《环境影响评价技术导则 大气环境》（HJ2.2-2018）附录D表D.1其他污染物空气质量浓度参考限值要求</w:t>
            </w:r>
            <w:r>
              <w:rPr>
                <w:rFonts w:hint="default" w:ascii="Times New Roman" w:hAnsi="Times New Roman" w:eastAsia="宋体" w:cs="Times New Roman"/>
                <w:color w:val="000000"/>
                <w:sz w:val="24"/>
                <w:szCs w:val="24"/>
                <w:highlight w:val="none"/>
              </w:rPr>
              <w:t>。</w:t>
            </w:r>
          </w:p>
          <w:p w14:paraId="1F40775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2" w:firstLineChars="200"/>
              <w:rPr>
                <w:rFonts w:hint="default" w:ascii="Times New Roman" w:hAnsi="Times New Roman" w:eastAsia="宋体" w:cs="Times New Roman"/>
                <w:b/>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0"/>
                <w:sz w:val="24"/>
                <w:szCs w:val="24"/>
                <w:highlight w:val="none"/>
                <w14:textFill>
                  <w14:solidFill>
                    <w14:schemeClr w14:val="tx1"/>
                  </w14:solidFill>
                </w14:textFill>
              </w:rPr>
              <w:t>2、声环境</w:t>
            </w:r>
          </w:p>
          <w:p w14:paraId="34A9C60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jc w:val="left"/>
              <w:rPr>
                <w:rFonts w:hint="default" w:ascii="Times New Roman" w:hAnsi="Times New Roman" w:eastAsia="宋体" w:cs="Times New Roman"/>
                <w:color w:val="000000" w:themeColor="text1"/>
                <w:spacing w:val="0"/>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lang w:val="zh-CN" w:eastAsia="zh-CN"/>
                <w14:textFill>
                  <w14:solidFill>
                    <w14:schemeClr w14:val="tx1"/>
                  </w14:solidFill>
                </w14:textFill>
              </w:rPr>
              <w:t>本项目</w:t>
            </w:r>
            <w:r>
              <w:rPr>
                <w:rFonts w:hint="default" w:ascii="Times New Roman" w:hAnsi="Times New Roman" w:eastAsia="宋体" w:cs="Times New Roman"/>
                <w:color w:val="000000" w:themeColor="text1"/>
                <w:spacing w:val="0"/>
                <w:sz w:val="24"/>
                <w:szCs w:val="24"/>
                <w:highlight w:val="none"/>
                <w:lang w:val="zh-CN"/>
                <w14:textFill>
                  <w14:solidFill>
                    <w14:schemeClr w14:val="tx1"/>
                  </w14:solidFill>
                </w14:textFill>
              </w:rPr>
              <w:t>厂址</w:t>
            </w:r>
            <w:r>
              <w:rPr>
                <w:rFonts w:hint="default" w:ascii="Times New Roman" w:hAnsi="Times New Roman" w:eastAsia="宋体" w:cs="Times New Roman"/>
                <w:color w:val="000000" w:themeColor="text1"/>
                <w:spacing w:val="0"/>
                <w:sz w:val="24"/>
                <w:szCs w:val="24"/>
                <w:highlight w:val="none"/>
                <w:lang w:val="zh-CN" w:eastAsia="zh-CN"/>
                <w14:textFill>
                  <w14:solidFill>
                    <w14:schemeClr w14:val="tx1"/>
                  </w14:solidFill>
                </w14:textFill>
              </w:rPr>
              <w:t>所在地</w:t>
            </w:r>
            <w:r>
              <w:rPr>
                <w:rFonts w:hint="default" w:ascii="Times New Roman" w:hAnsi="Times New Roman" w:eastAsia="宋体" w:cs="Times New Roman"/>
                <w:color w:val="000000" w:themeColor="text1"/>
                <w:spacing w:val="0"/>
                <w:sz w:val="24"/>
                <w:szCs w:val="24"/>
                <w:highlight w:val="none"/>
                <w:lang w:val="zh-CN"/>
                <w14:textFill>
                  <w14:solidFill>
                    <w14:schemeClr w14:val="tx1"/>
                  </w14:solidFill>
                </w14:textFill>
              </w:rPr>
              <w:t>主要为</w:t>
            </w:r>
            <w:r>
              <w:rPr>
                <w:rFonts w:hint="default" w:ascii="Times New Roman" w:hAnsi="Times New Roman" w:eastAsia="宋体" w:cs="Times New Roman"/>
                <w:color w:val="000000" w:themeColor="text1"/>
                <w:spacing w:val="0"/>
                <w:sz w:val="24"/>
                <w:szCs w:val="24"/>
                <w:highlight w:val="none"/>
                <w:lang w:val="zh-CN" w:eastAsia="zh-CN"/>
                <w14:textFill>
                  <w14:solidFill>
                    <w14:schemeClr w14:val="tx1"/>
                  </w14:solidFill>
                </w14:textFill>
              </w:rPr>
              <w:t>工业</w:t>
            </w:r>
            <w:r>
              <w:rPr>
                <w:rFonts w:hint="default" w:ascii="Times New Roman" w:hAnsi="Times New Roman" w:eastAsia="宋体" w:cs="Times New Roman"/>
                <w:color w:val="000000" w:themeColor="text1"/>
                <w:spacing w:val="0"/>
                <w:sz w:val="24"/>
                <w:szCs w:val="24"/>
                <w:highlight w:val="none"/>
                <w:lang w:val="zh-CN"/>
                <w14:textFill>
                  <w14:solidFill>
                    <w14:schemeClr w14:val="tx1"/>
                  </w14:solidFill>
                </w14:textFill>
              </w:rPr>
              <w:t>用地，</w:t>
            </w:r>
            <w:r>
              <w:rPr>
                <w:rFonts w:hint="default" w:ascii="Times New Roman" w:hAnsi="Times New Roman" w:eastAsia="宋体" w:cs="Times New Roman"/>
                <w:color w:val="000000" w:themeColor="text1"/>
                <w:spacing w:val="0"/>
                <w:sz w:val="24"/>
                <w:szCs w:val="24"/>
                <w:highlight w:val="none"/>
                <w:lang w:val="zh-CN" w:eastAsia="zh-CN"/>
                <w14:textFill>
                  <w14:solidFill>
                    <w14:schemeClr w14:val="tx1"/>
                  </w14:solidFill>
                </w14:textFill>
              </w:rPr>
              <w:t>厂界外50米范围内无声环境保护目标，无需进行声环境质量现状监测。</w:t>
            </w:r>
          </w:p>
          <w:p w14:paraId="4EEF7737">
            <w:pPr>
              <w:pStyle w:val="43"/>
              <w:keepNext w:val="0"/>
              <w:keepLines w:val="0"/>
              <w:pageBreakBefore w:val="0"/>
              <w:suppressLineNumbers w:val="0"/>
              <w:wordWrap/>
              <w:bidi w:val="0"/>
              <w:adjustRightInd w:val="0"/>
              <w:snapToGrid w:val="0"/>
              <w:spacing w:before="0" w:beforeLines="0" w:beforeAutospacing="0" w:after="0" w:afterLines="0" w:afterAutospacing="0"/>
              <w:ind w:left="0" w:right="0" w:firstLine="496"/>
              <w:jc w:val="both"/>
              <w:rPr>
                <w:rFonts w:hint="default" w:ascii="Times New Roman" w:hAnsi="Times New Roman" w:eastAsia="宋体" w:cs="Times New Roman"/>
                <w:b/>
                <w:bCs/>
                <w:color w:val="000000"/>
                <w:spacing w:val="4"/>
                <w:highlight w:val="none"/>
                <w:lang w:val="zh-CN"/>
              </w:rPr>
            </w:pPr>
            <w:r>
              <w:rPr>
                <w:rFonts w:hint="default" w:ascii="Times New Roman" w:hAnsi="Times New Roman" w:eastAsia="宋体" w:cs="Times New Roman"/>
                <w:b/>
                <w:bCs/>
                <w:color w:val="000000"/>
                <w:spacing w:val="4"/>
                <w:highlight w:val="none"/>
                <w:lang w:val="en-US" w:eastAsia="zh-CN"/>
              </w:rPr>
              <w:t>3</w:t>
            </w:r>
            <w:r>
              <w:rPr>
                <w:rFonts w:hint="default" w:ascii="Times New Roman" w:hAnsi="Times New Roman" w:eastAsia="宋体" w:cs="Times New Roman"/>
                <w:b/>
                <w:bCs/>
                <w:color w:val="000000"/>
                <w:spacing w:val="4"/>
                <w:highlight w:val="none"/>
                <w:lang w:val="zh-CN"/>
              </w:rPr>
              <w:t>、水环境质量现状</w:t>
            </w:r>
          </w:p>
          <w:p w14:paraId="1D567507">
            <w:pPr>
              <w:pStyle w:val="43"/>
              <w:keepNext w:val="0"/>
              <w:keepLines w:val="0"/>
              <w:pageBreakBefore w:val="0"/>
              <w:suppressLineNumbers w:val="0"/>
              <w:wordWrap/>
              <w:bidi w:val="0"/>
              <w:adjustRightInd w:val="0"/>
              <w:snapToGrid w:val="0"/>
              <w:spacing w:before="0" w:beforeLines="0" w:beforeAutospacing="0" w:after="0" w:afterLines="0" w:afterAutospacing="0"/>
              <w:ind w:left="0" w:right="0" w:firstLine="496"/>
              <w:jc w:val="both"/>
              <w:rPr>
                <w:rFonts w:hint="default" w:ascii="Times New Roman" w:hAnsi="Times New Roman" w:eastAsia="宋体" w:cs="Times New Roman"/>
                <w:color w:val="000000"/>
                <w:spacing w:val="4"/>
                <w:highlight w:val="none"/>
              </w:rPr>
            </w:pPr>
            <w:r>
              <w:rPr>
                <w:rFonts w:hint="default" w:ascii="Times New Roman" w:hAnsi="Times New Roman" w:eastAsia="宋体" w:cs="Times New Roman"/>
                <w:color w:val="000000"/>
                <w:spacing w:val="4"/>
                <w:highlight w:val="none"/>
                <w:lang w:val="en-US" w:eastAsia="zh-CN"/>
              </w:rPr>
              <w:t>根</w:t>
            </w:r>
            <w:r>
              <w:rPr>
                <w:rFonts w:hint="default" w:ascii="Times New Roman" w:hAnsi="Times New Roman" w:eastAsia="宋体" w:cs="Times New Roman"/>
                <w:color w:val="000000"/>
                <w:spacing w:val="4"/>
                <w:highlight w:val="none"/>
              </w:rPr>
              <w:t>据《202</w:t>
            </w:r>
            <w:r>
              <w:rPr>
                <w:rFonts w:hint="default" w:ascii="Times New Roman" w:hAnsi="Times New Roman" w:eastAsia="宋体" w:cs="Times New Roman"/>
                <w:color w:val="000000"/>
                <w:spacing w:val="4"/>
                <w:highlight w:val="none"/>
                <w:lang w:val="en-US" w:eastAsia="zh-CN"/>
              </w:rPr>
              <w:t>5</w:t>
            </w:r>
            <w:r>
              <w:rPr>
                <w:rFonts w:hint="default" w:ascii="Times New Roman" w:hAnsi="Times New Roman" w:eastAsia="宋体" w:cs="Times New Roman"/>
                <w:color w:val="000000"/>
                <w:spacing w:val="4"/>
                <w:highlight w:val="none"/>
              </w:rPr>
              <w:t>年唐山市生态环境状况公报》可知，202</w:t>
            </w:r>
            <w:r>
              <w:rPr>
                <w:rFonts w:hint="default" w:ascii="Times New Roman" w:hAnsi="Times New Roman" w:eastAsia="宋体" w:cs="Times New Roman"/>
                <w:color w:val="000000"/>
                <w:spacing w:val="4"/>
                <w:highlight w:val="none"/>
                <w:lang w:val="en-US" w:eastAsia="zh-CN"/>
              </w:rPr>
              <w:t>5</w:t>
            </w:r>
            <w:r>
              <w:rPr>
                <w:rFonts w:hint="default" w:ascii="Times New Roman" w:hAnsi="Times New Roman" w:eastAsia="宋体" w:cs="Times New Roman"/>
                <w:color w:val="000000"/>
                <w:spacing w:val="4"/>
                <w:highlight w:val="none"/>
              </w:rPr>
              <w:t>年全市共有地表水国、省考监测断面14个，其中国考监测断面12个，省考监测断面2个，分布</w:t>
            </w:r>
            <w:r>
              <w:rPr>
                <w:rFonts w:hint="default" w:ascii="Times New Roman" w:hAnsi="Times New Roman" w:eastAsia="宋体" w:cs="Times New Roman"/>
                <w:color w:val="000000"/>
                <w:spacing w:val="4"/>
                <w:highlight w:val="none"/>
                <w:lang w:val="en-US" w:eastAsia="zh-CN"/>
              </w:rPr>
              <w:t>在</w:t>
            </w:r>
            <w:r>
              <w:rPr>
                <w:rFonts w:hint="default" w:ascii="Times New Roman" w:hAnsi="Times New Roman" w:eastAsia="宋体" w:cs="Times New Roman"/>
                <w:color w:val="000000"/>
                <w:spacing w:val="4"/>
                <w:highlight w:val="none"/>
              </w:rPr>
              <w:t>滦河4个、还乡河2个、陡河2个、青龙河1个、蓟运河1个、煤河1个、淋河1个、黎河1个、沙河1个。202</w:t>
            </w:r>
            <w:r>
              <w:rPr>
                <w:rFonts w:hint="default" w:ascii="Times New Roman" w:hAnsi="Times New Roman" w:eastAsia="宋体" w:cs="Times New Roman"/>
                <w:color w:val="000000"/>
                <w:spacing w:val="4"/>
                <w:highlight w:val="none"/>
                <w:lang w:val="en-US" w:eastAsia="zh-CN"/>
              </w:rPr>
              <w:t>5</w:t>
            </w:r>
            <w:r>
              <w:rPr>
                <w:rFonts w:hint="default" w:ascii="Times New Roman" w:hAnsi="Times New Roman" w:eastAsia="宋体" w:cs="Times New Roman"/>
                <w:color w:val="000000"/>
                <w:spacing w:val="4"/>
                <w:highlight w:val="none"/>
              </w:rPr>
              <w:t>年</w:t>
            </w:r>
            <w:r>
              <w:rPr>
                <w:rFonts w:hint="default" w:ascii="Times New Roman" w:hAnsi="Times New Roman" w:eastAsia="宋体" w:cs="Times New Roman"/>
                <w:color w:val="000000"/>
                <w:spacing w:val="4"/>
                <w:highlight w:val="none"/>
                <w:lang w:val="en-US" w:eastAsia="zh-CN"/>
              </w:rPr>
              <w:t>，全市</w:t>
            </w:r>
            <w:r>
              <w:rPr>
                <w:rFonts w:hint="default" w:ascii="Times New Roman" w:hAnsi="Times New Roman" w:eastAsia="宋体" w:cs="Times New Roman"/>
                <w:color w:val="000000"/>
                <w:spacing w:val="4"/>
                <w:highlight w:val="none"/>
              </w:rPr>
              <w:t>国、省考核9条河流、2个湖库的14个断面优良（Ⅰ-Ⅲ）比例为</w:t>
            </w:r>
            <w:r>
              <w:rPr>
                <w:rFonts w:hint="default" w:ascii="Times New Roman" w:hAnsi="Times New Roman" w:eastAsia="宋体" w:cs="Times New Roman"/>
                <w:color w:val="000000"/>
                <w:spacing w:val="4"/>
                <w:highlight w:val="none"/>
                <w:lang w:val="en-US" w:eastAsia="zh-CN"/>
              </w:rPr>
              <w:t>92.86</w:t>
            </w:r>
            <w:r>
              <w:rPr>
                <w:rFonts w:hint="default" w:ascii="Times New Roman" w:hAnsi="Times New Roman" w:eastAsia="宋体" w:cs="Times New Roman"/>
                <w:color w:val="000000"/>
                <w:spacing w:val="4"/>
                <w:highlight w:val="none"/>
              </w:rPr>
              <w:t>%，完成省达目标要求</w:t>
            </w:r>
            <w:r>
              <w:rPr>
                <w:rFonts w:hint="default" w:ascii="Times New Roman" w:hAnsi="Times New Roman" w:eastAsia="宋体" w:cs="Times New Roman"/>
                <w:color w:val="000000"/>
                <w:spacing w:val="4"/>
                <w:highlight w:val="none"/>
                <w:lang w:val="en-US" w:eastAsia="zh-CN"/>
              </w:rPr>
              <w:t>。</w:t>
            </w:r>
          </w:p>
          <w:p w14:paraId="7B462DFC">
            <w:pPr>
              <w:pStyle w:val="43"/>
              <w:keepNext w:val="0"/>
              <w:keepLines w:val="0"/>
              <w:pageBreakBefore w:val="0"/>
              <w:suppressLineNumbers w:val="0"/>
              <w:wordWrap/>
              <w:bidi w:val="0"/>
              <w:adjustRightInd w:val="0"/>
              <w:snapToGrid w:val="0"/>
              <w:spacing w:before="0" w:beforeLines="0" w:beforeAutospacing="0" w:after="0" w:afterLines="0" w:afterAutospacing="0"/>
              <w:ind w:left="0" w:right="0" w:firstLine="496"/>
              <w:jc w:val="both"/>
              <w:rPr>
                <w:rFonts w:hint="default" w:ascii="Times New Roman" w:hAnsi="Times New Roman" w:eastAsia="宋体" w:cs="Times New Roman"/>
                <w:color w:val="000000"/>
                <w:spacing w:val="4"/>
                <w:highlight w:val="none"/>
              </w:rPr>
            </w:pPr>
            <w:r>
              <w:rPr>
                <w:rFonts w:hint="default" w:ascii="Times New Roman" w:hAnsi="Times New Roman" w:eastAsia="宋体" w:cs="Times New Roman"/>
                <w:color w:val="000000"/>
                <w:spacing w:val="0"/>
                <w:sz w:val="24"/>
                <w:szCs w:val="24"/>
                <w:highlight w:val="none"/>
              </w:rPr>
              <w:t>项目</w:t>
            </w:r>
            <w:r>
              <w:rPr>
                <w:rFonts w:hint="default" w:ascii="Times New Roman" w:hAnsi="Times New Roman" w:cs="Times New Roman"/>
                <w:color w:val="000000"/>
                <w:spacing w:val="0"/>
                <w:sz w:val="24"/>
                <w:szCs w:val="24"/>
                <w:highlight w:val="none"/>
                <w:lang w:val="en-US" w:eastAsia="zh-CN"/>
              </w:rPr>
              <w:t>生产废水</w:t>
            </w:r>
            <w:r>
              <w:rPr>
                <w:rFonts w:hint="default" w:ascii="Times New Roman" w:hAnsi="Times New Roman" w:eastAsia="宋体" w:cs="Times New Roman"/>
                <w:color w:val="000000"/>
                <w:spacing w:val="0"/>
                <w:sz w:val="24"/>
                <w:szCs w:val="24"/>
                <w:highlight w:val="none"/>
                <w:lang w:val="en-US" w:eastAsia="zh-CN"/>
              </w:rPr>
              <w:t>经处理后</w:t>
            </w:r>
            <w:r>
              <w:rPr>
                <w:rFonts w:hint="default" w:ascii="Times New Roman" w:hAnsi="Times New Roman" w:eastAsia="宋体" w:cs="Times New Roman"/>
                <w:color w:val="000000"/>
                <w:spacing w:val="0"/>
                <w:sz w:val="24"/>
                <w:szCs w:val="24"/>
                <w:highlight w:val="none"/>
              </w:rPr>
              <w:t>全部</w:t>
            </w:r>
            <w:r>
              <w:rPr>
                <w:rFonts w:hint="default" w:ascii="Times New Roman" w:hAnsi="Times New Roman" w:eastAsia="宋体" w:cs="Times New Roman"/>
                <w:color w:val="000000"/>
                <w:spacing w:val="0"/>
                <w:sz w:val="24"/>
                <w:szCs w:val="24"/>
                <w:highlight w:val="none"/>
                <w:lang w:val="en-US" w:eastAsia="zh-CN"/>
              </w:rPr>
              <w:t>回用，不外排</w:t>
            </w:r>
            <w:r>
              <w:rPr>
                <w:rFonts w:hint="default" w:ascii="Times New Roman" w:hAnsi="Times New Roman" w:eastAsia="宋体" w:cs="Times New Roman"/>
                <w:color w:val="000000"/>
                <w:spacing w:val="0"/>
                <w:sz w:val="24"/>
                <w:szCs w:val="24"/>
                <w:highlight w:val="none"/>
                <w:lang w:eastAsia="zh-CN"/>
              </w:rPr>
              <w:t>；</w:t>
            </w:r>
            <w:r>
              <w:rPr>
                <w:rFonts w:hint="default" w:ascii="Times New Roman" w:hAnsi="Times New Roman" w:eastAsia="宋体" w:cs="Times New Roman"/>
                <w:color w:val="000000"/>
                <w:spacing w:val="0"/>
                <w:sz w:val="24"/>
                <w:szCs w:val="24"/>
                <w:highlight w:val="none"/>
                <w:lang w:val="en-US" w:eastAsia="zh-CN"/>
              </w:rPr>
              <w:t>生活污水</w:t>
            </w:r>
            <w:r>
              <w:rPr>
                <w:rFonts w:hint="default" w:ascii="Times New Roman" w:hAnsi="Times New Roman" w:cs="Times New Roman"/>
                <w:color w:val="000000"/>
                <w:spacing w:val="0"/>
                <w:sz w:val="24"/>
                <w:szCs w:val="24"/>
                <w:highlight w:val="none"/>
                <w:lang w:val="en-US" w:eastAsia="zh-CN"/>
              </w:rPr>
              <w:t>排入园区污水管网</w:t>
            </w:r>
            <w:r>
              <w:rPr>
                <w:rFonts w:hint="default" w:ascii="Times New Roman" w:hAnsi="Times New Roman" w:eastAsia="宋体" w:cs="Times New Roman"/>
                <w:color w:val="000000"/>
                <w:spacing w:val="0"/>
                <w:sz w:val="24"/>
                <w:szCs w:val="24"/>
                <w:highlight w:val="none"/>
              </w:rPr>
              <w:t>。因此项目废水不会对附</w:t>
            </w:r>
            <w:r>
              <w:rPr>
                <w:rFonts w:hint="default" w:ascii="Times New Roman" w:hAnsi="Times New Roman" w:eastAsia="宋体" w:cs="Times New Roman"/>
                <w:color w:val="000000"/>
                <w:spacing w:val="0"/>
                <w:sz w:val="24"/>
                <w:szCs w:val="24"/>
                <w:highlight w:val="none"/>
                <w:lang w:val="en-US" w:eastAsia="zh-CN"/>
              </w:rPr>
              <w:t>近</w:t>
            </w:r>
            <w:r>
              <w:rPr>
                <w:rFonts w:hint="default" w:ascii="Times New Roman" w:hAnsi="Times New Roman" w:eastAsia="宋体" w:cs="Times New Roman"/>
                <w:color w:val="000000"/>
                <w:spacing w:val="0"/>
                <w:sz w:val="24"/>
                <w:szCs w:val="24"/>
                <w:highlight w:val="none"/>
              </w:rPr>
              <w:t>地表水产生影响。</w:t>
            </w:r>
          </w:p>
          <w:p w14:paraId="4055B002">
            <w:pPr>
              <w:pStyle w:val="43"/>
              <w:keepNext w:val="0"/>
              <w:keepLines w:val="0"/>
              <w:pageBreakBefore w:val="0"/>
              <w:suppressLineNumbers w:val="0"/>
              <w:wordWrap/>
              <w:bidi w:val="0"/>
              <w:adjustRightInd w:val="0"/>
              <w:snapToGrid w:val="0"/>
              <w:spacing w:before="0" w:beforeLines="0" w:beforeAutospacing="0" w:after="0" w:afterLines="0" w:afterAutospacing="0"/>
              <w:ind w:left="0" w:right="0" w:firstLine="496"/>
              <w:jc w:val="both"/>
              <w:rPr>
                <w:rFonts w:hint="default" w:ascii="Times New Roman" w:hAnsi="Times New Roman" w:eastAsia="宋体" w:cs="Times New Roman"/>
                <w:color w:val="000000"/>
                <w:spacing w:val="4"/>
                <w:highlight w:val="none"/>
                <w:lang w:val="en-US" w:eastAsia="zh-CN"/>
              </w:rPr>
            </w:pPr>
            <w:r>
              <w:rPr>
                <w:rFonts w:hint="default" w:ascii="Times New Roman" w:hAnsi="Times New Roman" w:eastAsia="宋体" w:cs="Times New Roman"/>
                <w:b/>
                <w:bCs/>
                <w:color w:val="000000"/>
                <w:spacing w:val="4"/>
                <w:highlight w:val="none"/>
                <w:lang w:val="en-US" w:eastAsia="zh-CN"/>
              </w:rPr>
              <w:t>4、地下水及土壤</w:t>
            </w:r>
          </w:p>
          <w:p w14:paraId="2606D350">
            <w:pPr>
              <w:pStyle w:val="43"/>
              <w:keepNext w:val="0"/>
              <w:keepLines w:val="0"/>
              <w:pageBreakBefore w:val="0"/>
              <w:suppressLineNumbers w:val="0"/>
              <w:wordWrap/>
              <w:bidi w:val="0"/>
              <w:adjustRightInd w:val="0"/>
              <w:snapToGrid w:val="0"/>
              <w:spacing w:before="0" w:beforeLines="0" w:beforeAutospacing="0" w:after="0" w:afterLines="0" w:afterAutospacing="0"/>
              <w:ind w:left="0" w:right="0" w:firstLine="496"/>
              <w:jc w:val="both"/>
              <w:rPr>
                <w:rFonts w:hint="default" w:ascii="Times New Roman" w:hAnsi="Times New Roman" w:eastAsia="宋体" w:cs="Times New Roman"/>
                <w:color w:val="000000"/>
                <w:spacing w:val="4"/>
                <w:sz w:val="24"/>
                <w:szCs w:val="24"/>
                <w:highlight w:val="none"/>
              </w:rPr>
            </w:pPr>
            <w:r>
              <w:rPr>
                <w:rFonts w:hint="default" w:ascii="Times New Roman" w:hAnsi="Times New Roman" w:eastAsia="宋体" w:cs="Times New Roman"/>
                <w:color w:val="000000"/>
                <w:spacing w:val="4"/>
                <w:highlight w:val="none"/>
                <w:lang w:val="en-US" w:eastAsia="zh-CN"/>
              </w:rPr>
              <w:t>根据《建设项目环境影响报告表编制指南</w:t>
            </w:r>
            <w:r>
              <w:rPr>
                <w:rFonts w:hint="default" w:ascii="Times New Roman" w:hAnsi="Times New Roman" w:cs="Times New Roman"/>
                <w:color w:val="000000"/>
                <w:spacing w:val="4"/>
                <w:highlight w:val="none"/>
                <w:lang w:val="en-US" w:eastAsia="zh-CN"/>
              </w:rPr>
              <w:t>（</w:t>
            </w:r>
            <w:r>
              <w:rPr>
                <w:rFonts w:hint="default" w:ascii="Times New Roman" w:hAnsi="Times New Roman" w:eastAsia="宋体" w:cs="Times New Roman"/>
                <w:color w:val="000000"/>
                <w:spacing w:val="4"/>
                <w:highlight w:val="none"/>
                <w:lang w:val="en-US" w:eastAsia="zh-CN"/>
              </w:rPr>
              <w:t>污染影响类</w:t>
            </w:r>
            <w:r>
              <w:rPr>
                <w:rFonts w:hint="default" w:ascii="Times New Roman" w:hAnsi="Times New Roman" w:cs="Times New Roman"/>
                <w:color w:val="000000"/>
                <w:spacing w:val="4"/>
                <w:highlight w:val="none"/>
                <w:lang w:val="en-US" w:eastAsia="zh-CN"/>
              </w:rPr>
              <w:t>）</w:t>
            </w:r>
            <w:r>
              <w:rPr>
                <w:rFonts w:hint="default" w:ascii="Times New Roman" w:hAnsi="Times New Roman" w:eastAsia="宋体" w:cs="Times New Roman"/>
                <w:color w:val="000000"/>
                <w:spacing w:val="4"/>
                <w:highlight w:val="none"/>
                <w:lang w:val="en-US" w:eastAsia="zh-CN"/>
              </w:rPr>
              <w:t>试行》规定，原则上不开展环境质量现状调查，本项目</w:t>
            </w:r>
            <w:r>
              <w:rPr>
                <w:rFonts w:hint="default" w:ascii="Times New Roman" w:hAnsi="Times New Roman" w:cs="Times New Roman"/>
                <w:color w:val="000000"/>
                <w:spacing w:val="4"/>
                <w:highlight w:val="none"/>
                <w:lang w:val="en-US" w:eastAsia="zh-CN"/>
              </w:rPr>
              <w:t>办公楼</w:t>
            </w:r>
            <w:r>
              <w:rPr>
                <w:rFonts w:hint="default" w:ascii="Times New Roman" w:hAnsi="Times New Roman" w:eastAsia="宋体" w:cs="Times New Roman"/>
                <w:color w:val="000000"/>
                <w:spacing w:val="4"/>
                <w:highlight w:val="none"/>
                <w:lang w:val="en-US" w:eastAsia="zh-CN"/>
              </w:rPr>
              <w:t>、生产车间已采取相应的防渗措施，从源头控制了</w:t>
            </w:r>
            <w:r>
              <w:rPr>
                <w:rFonts w:hint="default" w:ascii="Times New Roman" w:hAnsi="Times New Roman" w:eastAsia="宋体" w:cs="Times New Roman"/>
                <w:color w:val="000000"/>
                <w:spacing w:val="4"/>
                <w:sz w:val="24"/>
                <w:szCs w:val="24"/>
                <w:highlight w:val="none"/>
                <w:lang w:val="en-US" w:eastAsia="zh-CN"/>
              </w:rPr>
              <w:t>土壤、地下水污染，不涉及土壤、地下水环境污染途径，不会对区域地下水、土壤环境产生明显影响，项目可不进行地下水、土壤环境质量现状调查。</w:t>
            </w:r>
          </w:p>
          <w:p w14:paraId="1C6C80F5">
            <w:pPr>
              <w:pStyle w:val="43"/>
              <w:keepNext w:val="0"/>
              <w:keepLines w:val="0"/>
              <w:pageBreakBefore w:val="0"/>
              <w:widowControl w:val="0"/>
              <w:suppressLineNumbers w:val="0"/>
              <w:kinsoku/>
              <w:wordWrap/>
              <w:overflowPunct/>
              <w:topLinePunct w:val="0"/>
              <w:bidi w:val="0"/>
              <w:adjustRightInd w:val="0"/>
              <w:snapToGrid w:val="0"/>
              <w:spacing w:before="0" w:beforeLines="0" w:beforeAutospacing="0" w:after="0" w:afterLines="0" w:afterAutospacing="0"/>
              <w:ind w:left="0" w:right="0" w:firstLine="496"/>
              <w:jc w:val="both"/>
              <w:textAlignment w:val="auto"/>
              <w:rPr>
                <w:rFonts w:hint="default" w:ascii="Times New Roman" w:hAnsi="Times New Roman" w:eastAsia="宋体" w:cs="Times New Roman"/>
                <w:b/>
                <w:bCs/>
                <w:color w:val="000000"/>
                <w:spacing w:val="4"/>
                <w:sz w:val="24"/>
                <w:szCs w:val="24"/>
                <w:highlight w:val="none"/>
                <w:lang w:val="en-US" w:eastAsia="zh-CN"/>
              </w:rPr>
            </w:pPr>
            <w:r>
              <w:rPr>
                <w:rFonts w:hint="default" w:ascii="Times New Roman" w:hAnsi="Times New Roman" w:eastAsia="宋体" w:cs="Times New Roman"/>
                <w:b/>
                <w:bCs/>
                <w:color w:val="000000"/>
                <w:spacing w:val="4"/>
                <w:sz w:val="24"/>
                <w:szCs w:val="24"/>
                <w:highlight w:val="none"/>
                <w:lang w:val="en-US" w:eastAsia="zh-CN"/>
              </w:rPr>
              <w:t>5、生态环境</w:t>
            </w:r>
          </w:p>
          <w:p w14:paraId="35B14E6B">
            <w:pPr>
              <w:pStyle w:val="43"/>
              <w:keepNext w:val="0"/>
              <w:keepLines w:val="0"/>
              <w:pageBreakBefore w:val="0"/>
              <w:widowControl w:val="0"/>
              <w:suppressLineNumbers w:val="0"/>
              <w:kinsoku/>
              <w:wordWrap/>
              <w:overflowPunct/>
              <w:topLinePunct w:val="0"/>
              <w:bidi w:val="0"/>
              <w:adjustRightInd w:val="0"/>
              <w:snapToGrid w:val="0"/>
              <w:spacing w:before="0" w:beforeLines="0" w:beforeAutospacing="0" w:after="0" w:afterLines="0" w:afterAutospacing="0"/>
              <w:ind w:left="0" w:right="0" w:firstLine="496"/>
              <w:jc w:val="both"/>
              <w:textAlignment w:val="auto"/>
              <w:rPr>
                <w:rFonts w:hint="default" w:ascii="Times New Roman" w:hAnsi="Times New Roman" w:eastAsia="宋体" w:cs="Times New Roman"/>
                <w:color w:val="000000"/>
                <w:spacing w:val="4"/>
                <w:sz w:val="24"/>
                <w:szCs w:val="24"/>
                <w:highlight w:val="none"/>
                <w:lang w:val="en-US" w:eastAsia="zh-CN"/>
              </w:rPr>
            </w:pPr>
            <w:r>
              <w:rPr>
                <w:rFonts w:hint="default" w:ascii="Times New Roman" w:hAnsi="Times New Roman" w:eastAsia="宋体" w:cs="Times New Roman"/>
                <w:color w:val="000000"/>
                <w:spacing w:val="4"/>
                <w:sz w:val="24"/>
                <w:szCs w:val="24"/>
                <w:highlight w:val="none"/>
                <w:lang w:val="en-US" w:eastAsia="zh-CN"/>
              </w:rPr>
              <w:t>本项目位于</w:t>
            </w:r>
            <w:r>
              <w:rPr>
                <w:rFonts w:hint="default" w:ascii="Times New Roman" w:hAnsi="Times New Roman" w:cs="Times New Roman"/>
                <w:color w:val="000000" w:themeColor="text1"/>
                <w:spacing w:val="0"/>
                <w:sz w:val="24"/>
                <w:szCs w:val="24"/>
                <w:highlight w:val="none"/>
                <w:u w:val="none"/>
                <w:lang w:val="en-US" w:eastAsia="zh-CN"/>
                <w14:textFill>
                  <w14:solidFill>
                    <w14:schemeClr w14:val="tx1"/>
                  </w14:solidFill>
                </w14:textFill>
              </w:rPr>
              <w:t>河北迁安经济开发区内</w:t>
            </w:r>
            <w:r>
              <w:rPr>
                <w:rFonts w:hint="default" w:ascii="Times New Roman" w:hAnsi="Times New Roman" w:eastAsia="宋体" w:cs="Times New Roman"/>
                <w:color w:val="000000"/>
                <w:spacing w:val="4"/>
                <w:sz w:val="24"/>
                <w:szCs w:val="24"/>
                <w:highlight w:val="none"/>
                <w:lang w:val="en-US" w:eastAsia="zh-CN"/>
              </w:rPr>
              <w:t>，项目周边无自然保护区、自然遗产地、风景名胜区、珍稀濒危野生动植物天然集中分布区、重要湿地等生态环境保护目标，不再开展生态现状调查。</w:t>
            </w:r>
          </w:p>
          <w:p w14:paraId="3242527C">
            <w:pPr>
              <w:pStyle w:val="43"/>
              <w:keepNext w:val="0"/>
              <w:keepLines w:val="0"/>
              <w:pageBreakBefore w:val="0"/>
              <w:widowControl w:val="0"/>
              <w:suppressLineNumbers w:val="0"/>
              <w:kinsoku/>
              <w:wordWrap/>
              <w:overflowPunct/>
              <w:topLinePunct w:val="0"/>
              <w:bidi w:val="0"/>
              <w:adjustRightInd w:val="0"/>
              <w:snapToGrid w:val="0"/>
              <w:spacing w:before="0" w:beforeLines="0" w:beforeAutospacing="0" w:after="0" w:afterLines="0" w:afterAutospacing="0"/>
              <w:ind w:left="0" w:right="0" w:firstLine="496"/>
              <w:jc w:val="both"/>
              <w:textAlignment w:val="auto"/>
              <w:rPr>
                <w:rFonts w:hint="default" w:ascii="Times New Roman" w:hAnsi="Times New Roman" w:eastAsia="宋体" w:cs="Times New Roman"/>
                <w:b/>
                <w:bCs/>
                <w:color w:val="000000"/>
                <w:spacing w:val="4"/>
                <w:sz w:val="24"/>
                <w:szCs w:val="24"/>
                <w:highlight w:val="none"/>
                <w:lang w:val="en-US" w:eastAsia="zh-CN"/>
              </w:rPr>
            </w:pPr>
            <w:r>
              <w:rPr>
                <w:rFonts w:hint="default" w:ascii="Times New Roman" w:hAnsi="Times New Roman" w:eastAsia="宋体" w:cs="Times New Roman"/>
                <w:b/>
                <w:bCs/>
                <w:color w:val="000000"/>
                <w:spacing w:val="4"/>
                <w:sz w:val="24"/>
                <w:szCs w:val="24"/>
                <w:highlight w:val="none"/>
                <w:lang w:val="en-US" w:eastAsia="zh-CN"/>
              </w:rPr>
              <w:t>6、电磁辐射</w:t>
            </w:r>
          </w:p>
          <w:p w14:paraId="5AC041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96" w:firstLineChars="200"/>
              <w:textAlignment w:val="auto"/>
              <w:rPr>
                <w:rFonts w:hint="default" w:ascii="Times New Roman" w:hAnsi="Times New Roman" w:eastAsia="宋体" w:cs="Times New Roman"/>
                <w:highlight w:val="green"/>
                <w:lang w:val="en-US" w:eastAsia="zh-CN"/>
              </w:rPr>
            </w:pPr>
            <w:r>
              <w:rPr>
                <w:rFonts w:hint="default" w:ascii="Times New Roman" w:hAnsi="Times New Roman" w:eastAsia="宋体" w:cs="Times New Roman"/>
                <w:color w:val="000000"/>
                <w:spacing w:val="4"/>
                <w:sz w:val="24"/>
                <w:szCs w:val="24"/>
                <w:highlight w:val="none"/>
                <w:lang w:val="en-US" w:eastAsia="zh-CN"/>
              </w:rPr>
              <w:t>本项目不涉及电磁辐射源，无需开展辐射现状监测与评价。</w:t>
            </w:r>
          </w:p>
        </w:tc>
      </w:tr>
      <w:tr w14:paraId="3D647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9" w:type="pct"/>
            <w:noWrap w:val="0"/>
            <w:vAlign w:val="center"/>
          </w:tcPr>
          <w:p w14:paraId="1540B00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环境</w:t>
            </w:r>
          </w:p>
          <w:p w14:paraId="281EF73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保护</w:t>
            </w:r>
          </w:p>
          <w:p w14:paraId="159BDDD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目标</w:t>
            </w:r>
          </w:p>
        </w:tc>
        <w:tc>
          <w:tcPr>
            <w:tcW w:w="4800" w:type="pct"/>
            <w:noWrap w:val="0"/>
            <w:vAlign w:val="center"/>
          </w:tcPr>
          <w:p w14:paraId="012A6A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根据《建设项目环境影响报告表编制技术指南</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污染影响类</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试行</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确定大气环境保护目标为项目厂界外500米范围内的自然保护区、风景名胜区、居住区、文化区和农村地区中人群较集中的区域等保护目标；确定声环境保护目标为厂界外50m范围内保护目标；确定地下水保护目标为厂界外500米范围内的集中式饮用水水源和热水、矿泉水、温泉等特殊地下水资源；确定生态环境保护目标为新增</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用地范围内是否存在生态环境保护目标。</w:t>
            </w:r>
          </w:p>
          <w:p w14:paraId="28F81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1、大气环境保护目标</w:t>
            </w:r>
          </w:p>
          <w:p w14:paraId="3212D1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厂界500m范围内无自然保护区、风景名胜区、居住区、文化区和农村地区中人群较集中的区域等保护目标，因此不再设置大气环境保护目标。</w:t>
            </w:r>
          </w:p>
          <w:p w14:paraId="5925C8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2、声环境保护目标</w:t>
            </w:r>
          </w:p>
          <w:p w14:paraId="196987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厂界50m范围内无声环境保护目标。</w:t>
            </w:r>
          </w:p>
          <w:p w14:paraId="0AF858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3、地下水环境保护目标</w:t>
            </w:r>
          </w:p>
          <w:p w14:paraId="7C8DBA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厂界500m范围内没有集中式饮用水水源和热水、矿泉水、温泉等特殊地下水资源。</w:t>
            </w:r>
          </w:p>
          <w:p w14:paraId="017B8A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4、生态环境保护目标</w:t>
            </w:r>
          </w:p>
          <w:p w14:paraId="008FF24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jc w:val="both"/>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cs="Times New Roman"/>
                <w:color w:val="auto"/>
                <w:kern w:val="0"/>
                <w:sz w:val="24"/>
                <w:highlight w:val="none"/>
                <w:lang w:val="en-US" w:eastAsia="zh-CN"/>
              </w:rPr>
              <w:t>项目用地范围内无生态环境保护目标。</w:t>
            </w:r>
          </w:p>
        </w:tc>
      </w:tr>
      <w:tr w14:paraId="6E3A1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9" w:type="pct"/>
            <w:noWrap w:val="0"/>
            <w:tcMar>
              <w:left w:w="28" w:type="dxa"/>
              <w:right w:w="28" w:type="dxa"/>
            </w:tcMar>
            <w:vAlign w:val="center"/>
          </w:tcPr>
          <w:p w14:paraId="6DD9781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污染</w:t>
            </w:r>
          </w:p>
          <w:p w14:paraId="041D50C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物排</w:t>
            </w:r>
          </w:p>
          <w:p w14:paraId="7EBBC28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放控</w:t>
            </w:r>
          </w:p>
          <w:p w14:paraId="181B3C7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制标</w:t>
            </w:r>
          </w:p>
          <w:p w14:paraId="30D1E6E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准</w:t>
            </w:r>
          </w:p>
        </w:tc>
        <w:tc>
          <w:tcPr>
            <w:tcW w:w="4800" w:type="pct"/>
            <w:noWrap w:val="0"/>
            <w:vAlign w:val="center"/>
          </w:tcPr>
          <w:p w14:paraId="253701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sz w:val="24"/>
                <w:szCs w:val="24"/>
                <w:highlight w:val="none"/>
              </w:rPr>
              <w:t>营运期：</w:t>
            </w:r>
          </w:p>
          <w:p w14:paraId="3D8C0C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1、废气</w:t>
            </w:r>
          </w:p>
          <w:p w14:paraId="4C4662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有组织：</w:t>
            </w:r>
            <w:r>
              <w:rPr>
                <w:rFonts w:hint="default" w:ascii="Times New Roman" w:hAnsi="Times New Roman" w:eastAsia="宋体" w:cs="Times New Roman"/>
                <w:color w:val="auto"/>
                <w:sz w:val="24"/>
                <w:szCs w:val="24"/>
                <w:highlight w:val="none"/>
                <w:lang w:val="en-US" w:eastAsia="zh-CN"/>
              </w:rPr>
              <w:t>烘干工序产生的颗粒物、燃烧颗粒生产线撕碎、造粒产生的颗粒物</w:t>
            </w:r>
            <w:r>
              <w:rPr>
                <w:rFonts w:hint="default" w:ascii="Times New Roman" w:hAnsi="Times New Roman" w:cs="Times New Roman"/>
                <w:color w:val="auto"/>
                <w:sz w:val="24"/>
                <w:szCs w:val="24"/>
                <w:highlight w:val="none"/>
                <w:lang w:val="en-US" w:eastAsia="zh-CN"/>
              </w:rPr>
              <w:t>参照</w:t>
            </w:r>
            <w:r>
              <w:rPr>
                <w:rFonts w:hint="default" w:ascii="Times New Roman" w:hAnsi="Times New Roman" w:eastAsia="宋体" w:cs="Times New Roman"/>
                <w:color w:val="auto"/>
                <w:sz w:val="24"/>
                <w:szCs w:val="24"/>
                <w:highlight w:val="none"/>
              </w:rPr>
              <w:t>执行《水泥工业大气污染物超低排放标准》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DB13/2167-2020</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表1中排放限值要求</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10mg/m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p>
          <w:p w14:paraId="0E2A42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替代颗粒燃烧废气参照执行</w:t>
            </w:r>
            <w:r>
              <w:rPr>
                <w:rFonts w:hint="default" w:ascii="Times New Roman" w:hAnsi="Times New Roman" w:eastAsia="宋体" w:cs="Times New Roman"/>
                <w:color w:val="auto"/>
                <w:kern w:val="0"/>
                <w:sz w:val="24"/>
                <w:szCs w:val="24"/>
                <w:highlight w:val="none"/>
              </w:rPr>
              <w:t>河北省《锅炉大气污染物排放标准》</w:t>
            </w:r>
            <w:r>
              <w:rPr>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DB13/5161-2020</w:t>
            </w:r>
            <w:r>
              <w:rPr>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表1大气污染物排放限值；</w:t>
            </w:r>
          </w:p>
          <w:p w14:paraId="483F64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vertAlign w:val="baseline"/>
                <w:lang w:eastAsia="zh-CN"/>
              </w:rPr>
            </w:pPr>
            <w:r>
              <w:rPr>
                <w:rFonts w:hint="default" w:ascii="Times New Roman" w:hAnsi="Times New Roman" w:eastAsia="宋体" w:cs="Times New Roman"/>
                <w:color w:val="auto"/>
                <w:sz w:val="24"/>
                <w:szCs w:val="24"/>
                <w:highlight w:val="none"/>
                <w:lang w:eastAsia="zh-CN"/>
              </w:rPr>
              <w:t>免烧砖</w:t>
            </w:r>
            <w:r>
              <w:rPr>
                <w:rFonts w:hint="default" w:ascii="Times New Roman" w:hAnsi="Times New Roman" w:eastAsia="宋体" w:cs="Times New Roman"/>
                <w:color w:val="auto"/>
                <w:sz w:val="24"/>
                <w:szCs w:val="24"/>
                <w:highlight w:val="none"/>
                <w:lang w:val="en-US" w:eastAsia="zh-CN"/>
              </w:rPr>
              <w:t>生产线破碎</w:t>
            </w:r>
            <w:r>
              <w:rPr>
                <w:rFonts w:hint="default" w:ascii="Times New Roman" w:hAnsi="Times New Roman" w:eastAsia="宋体" w:cs="Times New Roman"/>
                <w:color w:val="auto"/>
                <w:sz w:val="24"/>
                <w:szCs w:val="24"/>
                <w:highlight w:val="none"/>
                <w:lang w:eastAsia="zh-CN"/>
              </w:rPr>
              <w:t>、搅拌、</w:t>
            </w:r>
            <w:r>
              <w:rPr>
                <w:rFonts w:hint="default" w:ascii="Times New Roman" w:hAnsi="Times New Roman" w:eastAsia="宋体" w:cs="Times New Roman"/>
                <w:color w:val="auto"/>
                <w:sz w:val="24"/>
                <w:szCs w:val="24"/>
                <w:highlight w:val="none"/>
                <w:lang w:val="en-US" w:eastAsia="zh-CN"/>
              </w:rPr>
              <w:t>水泥仓、粉煤灰仓产生的颗粒物</w:t>
            </w:r>
            <w:r>
              <w:rPr>
                <w:rFonts w:hint="default" w:ascii="Times New Roman" w:hAnsi="Times New Roman" w:eastAsia="宋体" w:cs="Times New Roman"/>
                <w:color w:val="auto"/>
                <w:sz w:val="24"/>
                <w:szCs w:val="24"/>
                <w:highlight w:val="none"/>
              </w:rPr>
              <w:t>执行《水泥工业大气污染物超低排放标准》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DB13/2167-2020</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表1中排放限值要求</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10mg/m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vertAlign w:val="baseline"/>
                <w:lang w:eastAsia="zh-CN"/>
              </w:rPr>
              <w:t>。</w:t>
            </w:r>
          </w:p>
          <w:p w14:paraId="415555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物料存储、烘干、发酵过程产生的</w:t>
            </w:r>
            <w:r>
              <w:rPr>
                <w:rFonts w:hint="default" w:ascii="Times New Roman" w:hAnsi="Times New Roman" w:eastAsia="宋体" w:cs="Times New Roman"/>
                <w:color w:val="auto"/>
                <w:sz w:val="24"/>
                <w:szCs w:val="24"/>
                <w:highlight w:val="none"/>
              </w:rPr>
              <w:t>NH</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、H</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S、臭气浓度执行《恶臭污染物排放标准》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GB14554-1993</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中表2标准。</w:t>
            </w:r>
          </w:p>
          <w:p w14:paraId="087AEC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96" w:firstLineChars="200"/>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color w:val="auto"/>
                <w:spacing w:val="4"/>
                <w:kern w:val="0"/>
                <w:sz w:val="24"/>
                <w:szCs w:val="24"/>
                <w:highlight w:val="none"/>
              </w:rPr>
              <w:t>无组织：</w:t>
            </w:r>
            <w:r>
              <w:rPr>
                <w:rFonts w:hint="default" w:ascii="Times New Roman" w:hAnsi="Times New Roman" w:eastAsia="宋体" w:cs="Times New Roman"/>
                <w:color w:val="auto"/>
                <w:sz w:val="24"/>
                <w:szCs w:val="24"/>
                <w:highlight w:val="none"/>
              </w:rPr>
              <w:t>颗粒物执行《水泥工业大气污染物超低排放标准》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DB13/2167-2020</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表2中浓度限值要求，无组织颗粒物浓度0.5mg/m³；</w:t>
            </w:r>
            <w:r>
              <w:rPr>
                <w:rFonts w:hint="default" w:ascii="Times New Roman" w:hAnsi="Times New Roman" w:eastAsia="宋体" w:cs="Times New Roman"/>
                <w:color w:val="auto"/>
                <w:sz w:val="24"/>
                <w:szCs w:val="24"/>
                <w:highlight w:val="none"/>
                <w:lang w:val="en-US" w:eastAsia="zh-CN"/>
              </w:rPr>
              <w:t>未收集的</w:t>
            </w:r>
            <w:r>
              <w:rPr>
                <w:rFonts w:hint="default" w:ascii="Times New Roman" w:hAnsi="Times New Roman" w:eastAsia="宋体" w:cs="Times New Roman"/>
                <w:color w:val="auto"/>
                <w:sz w:val="24"/>
                <w:szCs w:val="24"/>
                <w:highlight w:val="none"/>
              </w:rPr>
              <w:t>NH</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、H</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S、臭气浓度执行《恶臭污染物排放标准》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GB14554-1993</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中表1标准</w:t>
            </w:r>
            <w:r>
              <w:rPr>
                <w:rFonts w:hint="default" w:ascii="Times New Roman" w:hAnsi="Times New Roman" w:eastAsia="宋体" w:cs="Times New Roman"/>
                <w:b w:val="0"/>
                <w:bCs w:val="0"/>
                <w:color w:val="auto"/>
                <w:sz w:val="24"/>
                <w:szCs w:val="24"/>
                <w:highlight w:val="none"/>
                <w:vertAlign w:val="baseline"/>
                <w:lang w:val="en-US" w:eastAsia="zh-CN"/>
              </w:rPr>
              <w:t>。</w:t>
            </w:r>
          </w:p>
          <w:p w14:paraId="435FDA46">
            <w:pPr>
              <w:keepNext w:val="0"/>
              <w:keepLines w:val="0"/>
              <w:suppressLineNumbers w:val="0"/>
              <w:autoSpaceDE w:val="0"/>
              <w:autoSpaceDN w:val="0"/>
              <w:adjustRightInd w:val="0"/>
              <w:spacing w:before="0" w:beforeAutospacing="0" w:after="0" w:afterAutospacing="0" w:line="480" w:lineRule="exact"/>
              <w:ind w:left="0" w:right="0"/>
              <w:jc w:val="center"/>
              <w:rPr>
                <w:rFonts w:hint="default" w:ascii="Times New Roman" w:hAnsi="Times New Roman" w:cs="Times New Roman"/>
                <w:b/>
                <w:szCs w:val="21"/>
                <w:highlight w:val="none"/>
              </w:rPr>
            </w:pPr>
            <w:r>
              <w:rPr>
                <w:rFonts w:hint="default" w:ascii="Times New Roman" w:hAnsi="Times New Roman" w:cs="Times New Roman"/>
                <w:b/>
                <w:sz w:val="24"/>
                <w:highlight w:val="none"/>
              </w:rPr>
              <w:t>表3-</w:t>
            </w:r>
            <w:r>
              <w:rPr>
                <w:rFonts w:hint="default" w:ascii="Times New Roman" w:hAnsi="Times New Roman" w:cs="Times New Roman"/>
                <w:b/>
                <w:sz w:val="24"/>
                <w:highlight w:val="none"/>
                <w:lang w:val="en-US" w:eastAsia="zh-CN"/>
              </w:rPr>
              <w:t>3</w:t>
            </w:r>
            <w:r>
              <w:rPr>
                <w:rFonts w:hint="default" w:ascii="Times New Roman" w:hAnsi="Times New Roman" w:cs="Times New Roman"/>
                <w:b/>
                <w:sz w:val="24"/>
                <w:highlight w:val="none"/>
              </w:rPr>
              <w:t xml:space="preserve">  废气污染物排放标准</w:t>
            </w:r>
          </w:p>
          <w:tbl>
            <w:tblPr>
              <w:tblStyle w:val="30"/>
              <w:tblW w:w="80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8"/>
              <w:gridCol w:w="998"/>
              <w:gridCol w:w="1140"/>
              <w:gridCol w:w="964"/>
              <w:gridCol w:w="1151"/>
              <w:gridCol w:w="2841"/>
            </w:tblGrid>
            <w:tr w14:paraId="77DB7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tcBorders>
                    <w:tl2br w:val="nil"/>
                    <w:tr2bl w:val="nil"/>
                  </w:tcBorders>
                  <w:vAlign w:val="center"/>
                </w:tcPr>
                <w:p w14:paraId="7A82761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序号</w:t>
                  </w:r>
                </w:p>
              </w:tc>
              <w:tc>
                <w:tcPr>
                  <w:tcW w:w="998" w:type="dxa"/>
                  <w:tcBorders>
                    <w:tl2br w:val="nil"/>
                    <w:tr2bl w:val="nil"/>
                  </w:tcBorders>
                  <w:vAlign w:val="center"/>
                </w:tcPr>
                <w:p w14:paraId="4019D00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污染源</w:t>
                  </w:r>
                </w:p>
              </w:tc>
              <w:tc>
                <w:tcPr>
                  <w:tcW w:w="1140" w:type="dxa"/>
                  <w:tcBorders>
                    <w:tl2br w:val="nil"/>
                    <w:tr2bl w:val="nil"/>
                  </w:tcBorders>
                  <w:vAlign w:val="center"/>
                </w:tcPr>
                <w:p w14:paraId="5C29E0D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污染物</w:t>
                  </w:r>
                </w:p>
              </w:tc>
              <w:tc>
                <w:tcPr>
                  <w:tcW w:w="964" w:type="dxa"/>
                  <w:tcBorders>
                    <w:tl2br w:val="nil"/>
                    <w:tr2bl w:val="nil"/>
                  </w:tcBorders>
                  <w:vAlign w:val="center"/>
                </w:tcPr>
                <w:p w14:paraId="4D7C396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数值</w:t>
                  </w:r>
                </w:p>
              </w:tc>
              <w:tc>
                <w:tcPr>
                  <w:tcW w:w="1151" w:type="dxa"/>
                  <w:tcBorders>
                    <w:tl2br w:val="nil"/>
                    <w:tr2bl w:val="nil"/>
                  </w:tcBorders>
                  <w:vAlign w:val="center"/>
                </w:tcPr>
                <w:p w14:paraId="56943D2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单位</w:t>
                  </w:r>
                </w:p>
              </w:tc>
              <w:tc>
                <w:tcPr>
                  <w:tcW w:w="2841" w:type="dxa"/>
                  <w:tcBorders>
                    <w:tl2br w:val="nil"/>
                    <w:tr2bl w:val="nil"/>
                  </w:tcBorders>
                  <w:vAlign w:val="center"/>
                </w:tcPr>
                <w:p w14:paraId="3832EC5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标准名称</w:t>
                  </w:r>
                </w:p>
              </w:tc>
            </w:tr>
            <w:tr w14:paraId="1D80A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restart"/>
                  <w:tcBorders>
                    <w:tl2br w:val="nil"/>
                    <w:tr2bl w:val="nil"/>
                  </w:tcBorders>
                  <w:vAlign w:val="center"/>
                </w:tcPr>
                <w:p w14:paraId="7AE6883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有组织</w:t>
                  </w:r>
                </w:p>
              </w:tc>
              <w:tc>
                <w:tcPr>
                  <w:tcW w:w="998" w:type="dxa"/>
                  <w:vMerge w:val="restart"/>
                  <w:tcBorders>
                    <w:tl2br w:val="nil"/>
                    <w:tr2bl w:val="nil"/>
                  </w:tcBorders>
                  <w:vAlign w:val="center"/>
                </w:tcPr>
                <w:p w14:paraId="26C3C83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物料存储、发酵、污水处理站</w:t>
                  </w:r>
                </w:p>
              </w:tc>
              <w:tc>
                <w:tcPr>
                  <w:tcW w:w="1140" w:type="dxa"/>
                  <w:tcBorders>
                    <w:tl2br w:val="nil"/>
                    <w:tr2bl w:val="nil"/>
                  </w:tcBorders>
                  <w:vAlign w:val="center"/>
                </w:tcPr>
                <w:p w14:paraId="076251C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NH</w:t>
                  </w:r>
                  <w:r>
                    <w:rPr>
                      <w:rFonts w:hint="default" w:ascii="Times New Roman" w:hAnsi="Times New Roman" w:eastAsia="宋体" w:cs="Times New Roman"/>
                      <w:b w:val="0"/>
                      <w:bCs w:val="0"/>
                      <w:color w:val="auto"/>
                      <w:sz w:val="18"/>
                      <w:szCs w:val="18"/>
                      <w:highlight w:val="none"/>
                      <w:vertAlign w:val="subscript"/>
                    </w:rPr>
                    <w:t>3</w:t>
                  </w:r>
                </w:p>
              </w:tc>
              <w:tc>
                <w:tcPr>
                  <w:tcW w:w="964" w:type="dxa"/>
                  <w:tcBorders>
                    <w:tl2br w:val="nil"/>
                    <w:tr2bl w:val="nil"/>
                  </w:tcBorders>
                  <w:vAlign w:val="center"/>
                </w:tcPr>
                <w:p w14:paraId="50A6D16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4.9</w:t>
                  </w:r>
                </w:p>
              </w:tc>
              <w:tc>
                <w:tcPr>
                  <w:tcW w:w="1151" w:type="dxa"/>
                  <w:tcBorders>
                    <w:tl2br w:val="nil"/>
                    <w:tr2bl w:val="nil"/>
                  </w:tcBorders>
                  <w:vAlign w:val="center"/>
                </w:tcPr>
                <w:p w14:paraId="123E286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kg/h</w:t>
                  </w:r>
                </w:p>
              </w:tc>
              <w:tc>
                <w:tcPr>
                  <w:tcW w:w="2841" w:type="dxa"/>
                  <w:vMerge w:val="restart"/>
                  <w:tcBorders>
                    <w:tl2br w:val="nil"/>
                    <w:tr2bl w:val="nil"/>
                  </w:tcBorders>
                  <w:vAlign w:val="center"/>
                </w:tcPr>
                <w:p w14:paraId="4A253D4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《恶臭污染物排放标准</w:t>
                  </w:r>
                  <w:r>
                    <w:rPr>
                      <w:rFonts w:hint="eastAsia" w:ascii="Times New Roman"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GB14554-1993</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表2二级标准限值</w:t>
                  </w:r>
                </w:p>
              </w:tc>
            </w:tr>
            <w:tr w14:paraId="72B6D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8" w:type="dxa"/>
                  <w:vMerge w:val="continue"/>
                  <w:tcBorders>
                    <w:tl2br w:val="nil"/>
                    <w:tr2bl w:val="nil"/>
                  </w:tcBorders>
                  <w:vAlign w:val="center"/>
                </w:tcPr>
                <w:p w14:paraId="58AC34A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12A9718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vAlign w:val="center"/>
                </w:tcPr>
                <w:p w14:paraId="3BADA1C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H</w:t>
                  </w:r>
                  <w:r>
                    <w:rPr>
                      <w:rFonts w:hint="default" w:ascii="Times New Roman" w:hAnsi="Times New Roman" w:eastAsia="宋体" w:cs="Times New Roman"/>
                      <w:b w:val="0"/>
                      <w:bCs w:val="0"/>
                      <w:color w:val="auto"/>
                      <w:sz w:val="18"/>
                      <w:szCs w:val="18"/>
                      <w:highlight w:val="none"/>
                      <w:vertAlign w:val="subscript"/>
                    </w:rPr>
                    <w:t>2</w:t>
                  </w:r>
                  <w:r>
                    <w:rPr>
                      <w:rFonts w:hint="default" w:ascii="Times New Roman" w:hAnsi="Times New Roman" w:eastAsia="宋体" w:cs="Times New Roman"/>
                      <w:b w:val="0"/>
                      <w:bCs w:val="0"/>
                      <w:color w:val="auto"/>
                      <w:sz w:val="18"/>
                      <w:szCs w:val="18"/>
                      <w:highlight w:val="none"/>
                    </w:rPr>
                    <w:t>S</w:t>
                  </w:r>
                </w:p>
              </w:tc>
              <w:tc>
                <w:tcPr>
                  <w:tcW w:w="964" w:type="dxa"/>
                  <w:tcBorders>
                    <w:tl2br w:val="nil"/>
                    <w:tr2bl w:val="nil"/>
                  </w:tcBorders>
                  <w:vAlign w:val="center"/>
                </w:tcPr>
                <w:p w14:paraId="439835F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0.33</w:t>
                  </w:r>
                </w:p>
              </w:tc>
              <w:tc>
                <w:tcPr>
                  <w:tcW w:w="1151" w:type="dxa"/>
                  <w:tcBorders>
                    <w:tl2br w:val="nil"/>
                    <w:tr2bl w:val="nil"/>
                  </w:tcBorders>
                  <w:vAlign w:val="center"/>
                </w:tcPr>
                <w:p w14:paraId="48A46DB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kg/h</w:t>
                  </w:r>
                </w:p>
              </w:tc>
              <w:tc>
                <w:tcPr>
                  <w:tcW w:w="2841" w:type="dxa"/>
                  <w:vMerge w:val="continue"/>
                  <w:tcBorders>
                    <w:tl2br w:val="nil"/>
                    <w:tr2bl w:val="nil"/>
                  </w:tcBorders>
                  <w:vAlign w:val="center"/>
                </w:tcPr>
                <w:p w14:paraId="2534253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7352C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1EA7EC2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2A2E513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vAlign w:val="center"/>
                </w:tcPr>
                <w:p w14:paraId="73AB4EE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臭气浓度</w:t>
                  </w:r>
                  <w:r>
                    <w:rPr>
                      <w:rFonts w:hint="default" w:ascii="Times New Roman" w:hAnsi="Times New Roman" w:eastAsia="宋体" w:cs="Times New Roman"/>
                      <w:b w:val="0"/>
                      <w:bCs w:val="0"/>
                      <w:color w:val="auto"/>
                      <w:sz w:val="18"/>
                      <w:szCs w:val="18"/>
                      <w:highlight w:val="none"/>
                    </w:rPr>
                    <w:cr/>
                  </w:r>
                  <w:r>
                    <w:rPr>
                      <w:rFonts w:hint="default" w:ascii="Times New Roman" w:hAnsi="Times New Roman" w:eastAsia="宋体" w:cs="Times New Roman"/>
                      <w:b w:val="0"/>
                      <w:bCs w:val="0"/>
                      <w:color w:val="auto"/>
                      <w:sz w:val="18"/>
                      <w:szCs w:val="18"/>
                      <w:highlight w:val="none"/>
                    </w:rPr>
                    <w:t>(无量纲)</w:t>
                  </w:r>
                </w:p>
              </w:tc>
              <w:tc>
                <w:tcPr>
                  <w:tcW w:w="964" w:type="dxa"/>
                  <w:tcBorders>
                    <w:tl2br w:val="nil"/>
                    <w:tr2bl w:val="nil"/>
                  </w:tcBorders>
                  <w:vAlign w:val="center"/>
                </w:tcPr>
                <w:p w14:paraId="4350173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2000</w:t>
                  </w:r>
                </w:p>
              </w:tc>
              <w:tc>
                <w:tcPr>
                  <w:tcW w:w="1151" w:type="dxa"/>
                  <w:tcBorders>
                    <w:tl2br w:val="nil"/>
                    <w:tr2bl w:val="nil"/>
                  </w:tcBorders>
                  <w:vAlign w:val="center"/>
                </w:tcPr>
                <w:p w14:paraId="79177F8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无量纲</w:t>
                  </w:r>
                </w:p>
              </w:tc>
              <w:tc>
                <w:tcPr>
                  <w:tcW w:w="2841" w:type="dxa"/>
                  <w:vMerge w:val="continue"/>
                  <w:tcBorders>
                    <w:tl2br w:val="nil"/>
                    <w:tr2bl w:val="nil"/>
                  </w:tcBorders>
                  <w:vAlign w:val="center"/>
                </w:tcPr>
                <w:p w14:paraId="227BEF9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769B3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4DD555B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restart"/>
                  <w:tcBorders>
                    <w:tl2br w:val="nil"/>
                    <w:tr2bl w:val="nil"/>
                  </w:tcBorders>
                  <w:vAlign w:val="center"/>
                </w:tcPr>
                <w:p w14:paraId="401487BD">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替代颗粒燃烧废气</w:t>
                  </w:r>
                </w:p>
              </w:tc>
              <w:tc>
                <w:tcPr>
                  <w:tcW w:w="1140" w:type="dxa"/>
                  <w:tcBorders>
                    <w:tl2br w:val="nil"/>
                    <w:tr2bl w:val="nil"/>
                  </w:tcBorders>
                  <w:shd w:val="clear" w:color="auto" w:fill="auto"/>
                  <w:vAlign w:val="center"/>
                </w:tcPr>
                <w:p w14:paraId="71F7C0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颗粒物</w:t>
                  </w:r>
                </w:p>
              </w:tc>
              <w:tc>
                <w:tcPr>
                  <w:tcW w:w="964" w:type="dxa"/>
                  <w:tcBorders>
                    <w:tl2br w:val="nil"/>
                    <w:tr2bl w:val="nil"/>
                  </w:tcBorders>
                  <w:shd w:val="clear" w:color="auto" w:fill="auto"/>
                  <w:vAlign w:val="center"/>
                </w:tcPr>
                <w:p w14:paraId="408F1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20</w:t>
                  </w:r>
                </w:p>
              </w:tc>
              <w:tc>
                <w:tcPr>
                  <w:tcW w:w="1151" w:type="dxa"/>
                  <w:tcBorders>
                    <w:tl2br w:val="nil"/>
                    <w:tr2bl w:val="nil"/>
                  </w:tcBorders>
                  <w:vAlign w:val="center"/>
                </w:tcPr>
                <w:p w14:paraId="3010F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rPr>
                    <w:t>mg/</w:t>
                  </w:r>
                  <w:r>
                    <w:rPr>
                      <w:rFonts w:hint="default" w:ascii="Times New Roman" w:hAnsi="Times New Roman" w:eastAsia="宋体" w:cs="Times New Roman"/>
                      <w:color w:val="auto"/>
                      <w:sz w:val="18"/>
                      <w:szCs w:val="18"/>
                      <w:highlight w:val="none"/>
                      <w:lang w:eastAsia="zh-CN"/>
                    </w:rPr>
                    <w:t>m³</w:t>
                  </w:r>
                </w:p>
              </w:tc>
              <w:tc>
                <w:tcPr>
                  <w:tcW w:w="2841" w:type="dxa"/>
                  <w:vMerge w:val="restart"/>
                  <w:tcBorders>
                    <w:tl2br w:val="nil"/>
                    <w:tr2bl w:val="nil"/>
                  </w:tcBorders>
                  <w:vAlign w:val="center"/>
                </w:tcPr>
                <w:p w14:paraId="1296328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lang w:val="en-US" w:eastAsia="zh-CN"/>
                    </w:rPr>
                    <w:t>河北省《锅炉大气污染物排放标准》</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DB13/5161-2020</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表1大气污染物排放限值</w:t>
                  </w:r>
                </w:p>
              </w:tc>
            </w:tr>
            <w:tr w14:paraId="0E4BA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575017C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64B801D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shd w:val="clear" w:color="auto" w:fill="auto"/>
                  <w:vAlign w:val="center"/>
                </w:tcPr>
                <w:p w14:paraId="6549ED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二氧化硫</w:t>
                  </w:r>
                </w:p>
              </w:tc>
              <w:tc>
                <w:tcPr>
                  <w:tcW w:w="964" w:type="dxa"/>
                  <w:tcBorders>
                    <w:tl2br w:val="nil"/>
                    <w:tr2bl w:val="nil"/>
                  </w:tcBorders>
                  <w:shd w:val="clear" w:color="auto" w:fill="auto"/>
                  <w:vAlign w:val="center"/>
                </w:tcPr>
                <w:p w14:paraId="1D1343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30</w:t>
                  </w:r>
                </w:p>
              </w:tc>
              <w:tc>
                <w:tcPr>
                  <w:tcW w:w="1151" w:type="dxa"/>
                  <w:tcBorders>
                    <w:tl2br w:val="nil"/>
                    <w:tr2bl w:val="nil"/>
                  </w:tcBorders>
                  <w:vAlign w:val="center"/>
                </w:tcPr>
                <w:p w14:paraId="642F7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rPr>
                    <w:t>mg/</w:t>
                  </w:r>
                  <w:r>
                    <w:rPr>
                      <w:rFonts w:hint="default" w:ascii="Times New Roman" w:hAnsi="Times New Roman" w:eastAsia="宋体" w:cs="Times New Roman"/>
                      <w:color w:val="auto"/>
                      <w:sz w:val="18"/>
                      <w:szCs w:val="18"/>
                      <w:highlight w:val="none"/>
                      <w:lang w:eastAsia="zh-CN"/>
                    </w:rPr>
                    <w:t>m³</w:t>
                  </w:r>
                </w:p>
              </w:tc>
              <w:tc>
                <w:tcPr>
                  <w:tcW w:w="2841" w:type="dxa"/>
                  <w:vMerge w:val="continue"/>
                  <w:tcBorders>
                    <w:tl2br w:val="nil"/>
                    <w:tr2bl w:val="nil"/>
                  </w:tcBorders>
                  <w:vAlign w:val="center"/>
                </w:tcPr>
                <w:p w14:paraId="3965023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26C06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431455E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462F11A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shd w:val="clear" w:color="auto" w:fill="auto"/>
                  <w:vAlign w:val="center"/>
                </w:tcPr>
                <w:p w14:paraId="46DD14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氮氧化物</w:t>
                  </w:r>
                </w:p>
              </w:tc>
              <w:tc>
                <w:tcPr>
                  <w:tcW w:w="964" w:type="dxa"/>
                  <w:tcBorders>
                    <w:tl2br w:val="nil"/>
                    <w:tr2bl w:val="nil"/>
                  </w:tcBorders>
                  <w:shd w:val="clear" w:color="auto" w:fill="auto"/>
                  <w:vAlign w:val="center"/>
                </w:tcPr>
                <w:p w14:paraId="73A95E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150</w:t>
                  </w:r>
                </w:p>
              </w:tc>
              <w:tc>
                <w:tcPr>
                  <w:tcW w:w="1151" w:type="dxa"/>
                  <w:tcBorders>
                    <w:tl2br w:val="nil"/>
                    <w:tr2bl w:val="nil"/>
                  </w:tcBorders>
                  <w:vAlign w:val="center"/>
                </w:tcPr>
                <w:p w14:paraId="410A2D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rPr>
                    <w:t>mg/</w:t>
                  </w:r>
                  <w:r>
                    <w:rPr>
                      <w:rFonts w:hint="default" w:ascii="Times New Roman" w:hAnsi="Times New Roman" w:eastAsia="宋体" w:cs="Times New Roman"/>
                      <w:color w:val="auto"/>
                      <w:sz w:val="18"/>
                      <w:szCs w:val="18"/>
                      <w:highlight w:val="none"/>
                      <w:lang w:eastAsia="zh-CN"/>
                    </w:rPr>
                    <w:t>m³</w:t>
                  </w:r>
                </w:p>
              </w:tc>
              <w:tc>
                <w:tcPr>
                  <w:tcW w:w="2841" w:type="dxa"/>
                  <w:vMerge w:val="continue"/>
                  <w:tcBorders>
                    <w:tl2br w:val="nil"/>
                    <w:tr2bl w:val="nil"/>
                  </w:tcBorders>
                  <w:vAlign w:val="center"/>
                </w:tcPr>
                <w:p w14:paraId="15D2AC3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2DDCD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5539742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08956D2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shd w:val="clear" w:color="auto" w:fill="auto"/>
                  <w:vAlign w:val="center"/>
                </w:tcPr>
                <w:p w14:paraId="22E55B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氨</w:t>
                  </w:r>
                </w:p>
              </w:tc>
              <w:tc>
                <w:tcPr>
                  <w:tcW w:w="964" w:type="dxa"/>
                  <w:tcBorders>
                    <w:tl2br w:val="nil"/>
                    <w:tr2bl w:val="nil"/>
                  </w:tcBorders>
                  <w:shd w:val="clear" w:color="auto" w:fill="auto"/>
                  <w:vAlign w:val="center"/>
                </w:tcPr>
                <w:p w14:paraId="16176A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2.3</w:t>
                  </w:r>
                </w:p>
              </w:tc>
              <w:tc>
                <w:tcPr>
                  <w:tcW w:w="1151" w:type="dxa"/>
                  <w:tcBorders>
                    <w:tl2br w:val="nil"/>
                    <w:tr2bl w:val="nil"/>
                  </w:tcBorders>
                  <w:vAlign w:val="center"/>
                </w:tcPr>
                <w:p w14:paraId="358FF6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rPr>
                    <w:t>mg/</w:t>
                  </w:r>
                  <w:r>
                    <w:rPr>
                      <w:rFonts w:hint="default" w:ascii="Times New Roman" w:hAnsi="Times New Roman" w:eastAsia="宋体" w:cs="Times New Roman"/>
                      <w:color w:val="auto"/>
                      <w:sz w:val="18"/>
                      <w:szCs w:val="18"/>
                      <w:highlight w:val="none"/>
                      <w:lang w:eastAsia="zh-CN"/>
                    </w:rPr>
                    <w:t>m³</w:t>
                  </w:r>
                </w:p>
              </w:tc>
              <w:tc>
                <w:tcPr>
                  <w:tcW w:w="2841" w:type="dxa"/>
                  <w:vMerge w:val="continue"/>
                  <w:tcBorders>
                    <w:tl2br w:val="nil"/>
                    <w:tr2bl w:val="nil"/>
                  </w:tcBorders>
                  <w:vAlign w:val="center"/>
                </w:tcPr>
                <w:p w14:paraId="19FE711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55629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0C3071A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3E5CA11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shd w:val="clear" w:color="auto" w:fill="auto"/>
                  <w:vAlign w:val="center"/>
                </w:tcPr>
                <w:p w14:paraId="4E7A60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汞及其化合物</w:t>
                  </w:r>
                </w:p>
              </w:tc>
              <w:tc>
                <w:tcPr>
                  <w:tcW w:w="964" w:type="dxa"/>
                  <w:tcBorders>
                    <w:tl2br w:val="nil"/>
                    <w:tr2bl w:val="nil"/>
                  </w:tcBorders>
                  <w:shd w:val="clear" w:color="auto" w:fill="auto"/>
                  <w:vAlign w:val="center"/>
                </w:tcPr>
                <w:p w14:paraId="5694A5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0.03</w:t>
                  </w:r>
                </w:p>
              </w:tc>
              <w:tc>
                <w:tcPr>
                  <w:tcW w:w="1151" w:type="dxa"/>
                  <w:tcBorders>
                    <w:tl2br w:val="nil"/>
                    <w:tr2bl w:val="nil"/>
                  </w:tcBorders>
                  <w:vAlign w:val="center"/>
                </w:tcPr>
                <w:p w14:paraId="3A26EB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rPr>
                    <w:t>mg/</w:t>
                  </w:r>
                  <w:r>
                    <w:rPr>
                      <w:rFonts w:hint="default" w:ascii="Times New Roman" w:hAnsi="Times New Roman" w:eastAsia="宋体" w:cs="Times New Roman"/>
                      <w:color w:val="auto"/>
                      <w:sz w:val="18"/>
                      <w:szCs w:val="18"/>
                      <w:highlight w:val="none"/>
                      <w:lang w:eastAsia="zh-CN"/>
                    </w:rPr>
                    <w:t>m³</w:t>
                  </w:r>
                </w:p>
              </w:tc>
              <w:tc>
                <w:tcPr>
                  <w:tcW w:w="2841" w:type="dxa"/>
                  <w:vMerge w:val="continue"/>
                  <w:tcBorders>
                    <w:tl2br w:val="nil"/>
                    <w:tr2bl w:val="nil"/>
                  </w:tcBorders>
                  <w:vAlign w:val="center"/>
                </w:tcPr>
                <w:p w14:paraId="01819A7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1C303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5DEE8C2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77697EE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shd w:val="clear" w:color="auto" w:fill="auto"/>
                  <w:vAlign w:val="center"/>
                </w:tcPr>
                <w:p w14:paraId="01619E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基准氧含量</w:t>
                  </w:r>
                  <w:r>
                    <w:rPr>
                      <w:rFonts w:hint="default" w:ascii="Times New Roman" w:hAnsi="Times New Roman" w:cs="Times New Roman"/>
                      <w:snapToGrid w:val="0"/>
                      <w:color w:val="auto"/>
                      <w:sz w:val="18"/>
                      <w:szCs w:val="18"/>
                      <w:highlight w:val="none"/>
                      <w:lang w:val="en-US" w:eastAsia="zh-CN"/>
                    </w:rPr>
                    <w:t>（</w:t>
                  </w:r>
                  <w:r>
                    <w:rPr>
                      <w:rFonts w:hint="default" w:ascii="Times New Roman" w:hAnsi="Times New Roman" w:eastAsia="宋体" w:cs="Times New Roman"/>
                      <w:snapToGrid w:val="0"/>
                      <w:color w:val="auto"/>
                      <w:sz w:val="18"/>
                      <w:szCs w:val="18"/>
                      <w:highlight w:val="none"/>
                      <w:lang w:val="en-US" w:eastAsia="zh-CN"/>
                    </w:rPr>
                    <w:t>O</w:t>
                  </w:r>
                  <w:r>
                    <w:rPr>
                      <w:rFonts w:hint="default" w:ascii="Times New Roman" w:hAnsi="Times New Roman" w:eastAsia="宋体" w:cs="Times New Roman"/>
                      <w:snapToGrid w:val="0"/>
                      <w:color w:val="auto"/>
                      <w:sz w:val="18"/>
                      <w:szCs w:val="18"/>
                      <w:highlight w:val="none"/>
                      <w:vertAlign w:val="subscript"/>
                      <w:lang w:val="en-US" w:eastAsia="zh-CN"/>
                    </w:rPr>
                    <w:t>2</w:t>
                  </w:r>
                  <w:r>
                    <w:rPr>
                      <w:rFonts w:hint="default" w:ascii="Times New Roman" w:hAnsi="Times New Roman" w:cs="Times New Roman"/>
                      <w:snapToGrid w:val="0"/>
                      <w:color w:val="auto"/>
                      <w:sz w:val="18"/>
                      <w:szCs w:val="18"/>
                      <w:highlight w:val="none"/>
                      <w:vertAlign w:val="subscript"/>
                      <w:lang w:val="en-US" w:eastAsia="zh-CN"/>
                    </w:rPr>
                    <w:t>）</w:t>
                  </w:r>
                </w:p>
              </w:tc>
              <w:tc>
                <w:tcPr>
                  <w:tcW w:w="964" w:type="dxa"/>
                  <w:tcBorders>
                    <w:tl2br w:val="nil"/>
                    <w:tr2bl w:val="nil"/>
                  </w:tcBorders>
                  <w:shd w:val="clear" w:color="auto" w:fill="auto"/>
                  <w:vAlign w:val="center"/>
                </w:tcPr>
                <w:p w14:paraId="5554F4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9%</w:t>
                  </w:r>
                </w:p>
              </w:tc>
              <w:tc>
                <w:tcPr>
                  <w:tcW w:w="1151" w:type="dxa"/>
                  <w:tcBorders>
                    <w:tl2br w:val="nil"/>
                    <w:tr2bl w:val="nil"/>
                  </w:tcBorders>
                  <w:vAlign w:val="center"/>
                </w:tcPr>
                <w:p w14:paraId="200404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2841" w:type="dxa"/>
                  <w:vMerge w:val="continue"/>
                  <w:tcBorders>
                    <w:tl2br w:val="nil"/>
                    <w:tr2bl w:val="nil"/>
                  </w:tcBorders>
                  <w:vAlign w:val="center"/>
                </w:tcPr>
                <w:p w14:paraId="272C588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550D3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69ACA2B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66C474ED">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shd w:val="clear" w:color="auto" w:fill="auto"/>
                  <w:vAlign w:val="center"/>
                </w:tcPr>
                <w:p w14:paraId="73560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烟气黑度</w:t>
                  </w:r>
                </w:p>
              </w:tc>
              <w:tc>
                <w:tcPr>
                  <w:tcW w:w="964" w:type="dxa"/>
                  <w:tcBorders>
                    <w:tl2br w:val="nil"/>
                    <w:tr2bl w:val="nil"/>
                  </w:tcBorders>
                  <w:shd w:val="clear" w:color="auto" w:fill="auto"/>
                  <w:vAlign w:val="center"/>
                </w:tcPr>
                <w:p w14:paraId="75D58C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≤1(</w:t>
                  </w:r>
                </w:p>
              </w:tc>
              <w:tc>
                <w:tcPr>
                  <w:tcW w:w="1151" w:type="dxa"/>
                  <w:tcBorders>
                    <w:tl2br w:val="nil"/>
                    <w:tr2bl w:val="nil"/>
                  </w:tcBorders>
                  <w:vAlign w:val="center"/>
                </w:tcPr>
                <w:p w14:paraId="71887DD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snapToGrid w:val="0"/>
                      <w:color w:val="auto"/>
                      <w:sz w:val="18"/>
                      <w:szCs w:val="18"/>
                      <w:highlight w:val="none"/>
                      <w:lang w:val="en-US" w:eastAsia="zh-CN"/>
                    </w:rPr>
                    <w:t>级</w:t>
                  </w:r>
                </w:p>
              </w:tc>
              <w:tc>
                <w:tcPr>
                  <w:tcW w:w="2841" w:type="dxa"/>
                  <w:vMerge w:val="continue"/>
                  <w:tcBorders>
                    <w:tl2br w:val="nil"/>
                    <w:tr2bl w:val="nil"/>
                  </w:tcBorders>
                  <w:vAlign w:val="center"/>
                </w:tcPr>
                <w:p w14:paraId="778B40E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4DD4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160C61E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cs="Times New Roman"/>
                      <w:b w:val="0"/>
                      <w:bCs w:val="0"/>
                      <w:color w:val="auto"/>
                      <w:sz w:val="18"/>
                      <w:szCs w:val="18"/>
                      <w:highlight w:val="none"/>
                      <w:lang w:val="en-US" w:eastAsia="zh-CN"/>
                    </w:rPr>
                  </w:pPr>
                </w:p>
              </w:tc>
              <w:tc>
                <w:tcPr>
                  <w:tcW w:w="998" w:type="dxa"/>
                  <w:tcBorders>
                    <w:tl2br w:val="nil"/>
                    <w:tr2bl w:val="nil"/>
                  </w:tcBorders>
                  <w:vAlign w:val="center"/>
                </w:tcPr>
                <w:p w14:paraId="63D2E02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烘干过程</w:t>
                  </w:r>
                </w:p>
              </w:tc>
              <w:tc>
                <w:tcPr>
                  <w:tcW w:w="1140" w:type="dxa"/>
                  <w:tcBorders>
                    <w:tl2br w:val="nil"/>
                    <w:tr2bl w:val="nil"/>
                  </w:tcBorders>
                  <w:shd w:val="clear" w:color="auto" w:fill="auto"/>
                  <w:vAlign w:val="center"/>
                </w:tcPr>
                <w:p w14:paraId="4345EEC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颗粒物</w:t>
                  </w:r>
                </w:p>
              </w:tc>
              <w:tc>
                <w:tcPr>
                  <w:tcW w:w="964" w:type="dxa"/>
                  <w:tcBorders>
                    <w:tl2br w:val="nil"/>
                    <w:tr2bl w:val="nil"/>
                  </w:tcBorders>
                  <w:shd w:val="clear" w:color="auto" w:fill="auto"/>
                  <w:vAlign w:val="center"/>
                </w:tcPr>
                <w:p w14:paraId="736DE46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10</w:t>
                  </w:r>
                </w:p>
              </w:tc>
              <w:tc>
                <w:tcPr>
                  <w:tcW w:w="1151" w:type="dxa"/>
                  <w:tcBorders>
                    <w:tl2br w:val="nil"/>
                    <w:tr2bl w:val="nil"/>
                  </w:tcBorders>
                  <w:vAlign w:val="center"/>
                </w:tcPr>
                <w:p w14:paraId="03D2119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mg/m</w:t>
                  </w:r>
                  <w:r>
                    <w:rPr>
                      <w:rFonts w:hint="default" w:ascii="Times New Roman" w:hAnsi="Times New Roman" w:eastAsia="宋体" w:cs="Times New Roman"/>
                      <w:b w:val="0"/>
                      <w:bCs w:val="0"/>
                      <w:color w:val="auto"/>
                      <w:sz w:val="18"/>
                      <w:szCs w:val="18"/>
                      <w:highlight w:val="none"/>
                      <w:vertAlign w:val="superscript"/>
                    </w:rPr>
                    <w:t>3</w:t>
                  </w:r>
                </w:p>
              </w:tc>
              <w:tc>
                <w:tcPr>
                  <w:tcW w:w="2841" w:type="dxa"/>
                  <w:vMerge w:val="restart"/>
                  <w:tcBorders>
                    <w:tl2br w:val="nil"/>
                    <w:tr2bl w:val="nil"/>
                  </w:tcBorders>
                  <w:vAlign w:val="center"/>
                </w:tcPr>
                <w:p w14:paraId="776D09A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w:t>
                  </w:r>
                </w:p>
              </w:tc>
            </w:tr>
            <w:tr w14:paraId="4993D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346B012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 w:val="18"/>
                      <w:szCs w:val="18"/>
                      <w:highlight w:val="none"/>
                      <w:lang w:val="en-US" w:eastAsia="zh-CN"/>
                    </w:rPr>
                  </w:pPr>
                </w:p>
              </w:tc>
              <w:tc>
                <w:tcPr>
                  <w:tcW w:w="998" w:type="dxa"/>
                  <w:tcBorders>
                    <w:tl2br w:val="nil"/>
                    <w:tr2bl w:val="nil"/>
                  </w:tcBorders>
                  <w:vAlign w:val="center"/>
                </w:tcPr>
                <w:p w14:paraId="1EC4B7FD">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color w:val="auto"/>
                      <w:sz w:val="18"/>
                      <w:szCs w:val="18"/>
                      <w:highlight w:val="none"/>
                      <w:lang w:val="en-US" w:eastAsia="zh-CN"/>
                    </w:rPr>
                    <w:t>燃烧颗粒生产线撕碎、造粒废气</w:t>
                  </w:r>
                </w:p>
              </w:tc>
              <w:tc>
                <w:tcPr>
                  <w:tcW w:w="1140" w:type="dxa"/>
                  <w:tcBorders>
                    <w:tl2br w:val="nil"/>
                    <w:tr2bl w:val="nil"/>
                  </w:tcBorders>
                  <w:vAlign w:val="center"/>
                </w:tcPr>
                <w:p w14:paraId="12AE825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颗粒物</w:t>
                  </w:r>
                </w:p>
              </w:tc>
              <w:tc>
                <w:tcPr>
                  <w:tcW w:w="964" w:type="dxa"/>
                  <w:tcBorders>
                    <w:tl2br w:val="nil"/>
                    <w:tr2bl w:val="nil"/>
                  </w:tcBorders>
                  <w:vAlign w:val="center"/>
                </w:tcPr>
                <w:p w14:paraId="3054457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10</w:t>
                  </w:r>
                </w:p>
              </w:tc>
              <w:tc>
                <w:tcPr>
                  <w:tcW w:w="1151" w:type="dxa"/>
                  <w:tcBorders>
                    <w:tl2br w:val="nil"/>
                    <w:tr2bl w:val="nil"/>
                  </w:tcBorders>
                  <w:vAlign w:val="center"/>
                </w:tcPr>
                <w:p w14:paraId="08135B7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mg/m</w:t>
                  </w:r>
                  <w:r>
                    <w:rPr>
                      <w:rFonts w:hint="default" w:ascii="Times New Roman" w:hAnsi="Times New Roman" w:eastAsia="宋体" w:cs="Times New Roman"/>
                      <w:b w:val="0"/>
                      <w:bCs w:val="0"/>
                      <w:color w:val="auto"/>
                      <w:sz w:val="18"/>
                      <w:szCs w:val="18"/>
                      <w:highlight w:val="none"/>
                      <w:vertAlign w:val="superscript"/>
                    </w:rPr>
                    <w:t>3</w:t>
                  </w:r>
                </w:p>
              </w:tc>
              <w:tc>
                <w:tcPr>
                  <w:tcW w:w="2841" w:type="dxa"/>
                  <w:vMerge w:val="continue"/>
                  <w:tcBorders>
                    <w:tl2br w:val="nil"/>
                    <w:tr2bl w:val="nil"/>
                  </w:tcBorders>
                  <w:vAlign w:val="center"/>
                </w:tcPr>
                <w:p w14:paraId="45254B2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5D81A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98" w:type="dxa"/>
                  <w:vMerge w:val="continue"/>
                  <w:tcBorders>
                    <w:tl2br w:val="nil"/>
                    <w:tr2bl w:val="nil"/>
                  </w:tcBorders>
                  <w:vAlign w:val="center"/>
                </w:tcPr>
                <w:p w14:paraId="42E858C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 w:val="18"/>
                      <w:szCs w:val="18"/>
                      <w:highlight w:val="none"/>
                      <w:lang w:eastAsia="zh-CN"/>
                    </w:rPr>
                  </w:pPr>
                </w:p>
              </w:tc>
              <w:tc>
                <w:tcPr>
                  <w:tcW w:w="998" w:type="dxa"/>
                  <w:tcBorders>
                    <w:tl2br w:val="nil"/>
                    <w:tr2bl w:val="nil"/>
                  </w:tcBorders>
                  <w:vAlign w:val="center"/>
                </w:tcPr>
                <w:p w14:paraId="6EF7935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免烧砖工序</w:t>
                  </w:r>
                  <w:r>
                    <w:rPr>
                      <w:rFonts w:hint="default" w:ascii="Times New Roman" w:hAnsi="Times New Roman" w:cs="Times New Roman"/>
                      <w:color w:val="auto"/>
                      <w:sz w:val="18"/>
                      <w:szCs w:val="18"/>
                      <w:highlight w:val="none"/>
                      <w:lang w:val="en-US" w:eastAsia="zh-CN"/>
                    </w:rPr>
                    <w:t>破碎</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搅拌</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水泥仓、粉煤灰仓废气</w:t>
                  </w:r>
                </w:p>
              </w:tc>
              <w:tc>
                <w:tcPr>
                  <w:tcW w:w="1140" w:type="dxa"/>
                  <w:tcBorders>
                    <w:tl2br w:val="nil"/>
                    <w:tr2bl w:val="nil"/>
                  </w:tcBorders>
                  <w:vAlign w:val="center"/>
                </w:tcPr>
                <w:p w14:paraId="166F08B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颗粒物</w:t>
                  </w:r>
                </w:p>
              </w:tc>
              <w:tc>
                <w:tcPr>
                  <w:tcW w:w="964" w:type="dxa"/>
                  <w:tcBorders>
                    <w:tl2br w:val="nil"/>
                    <w:tr2bl w:val="nil"/>
                  </w:tcBorders>
                  <w:vAlign w:val="center"/>
                </w:tcPr>
                <w:p w14:paraId="5741D38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10</w:t>
                  </w:r>
                </w:p>
              </w:tc>
              <w:tc>
                <w:tcPr>
                  <w:tcW w:w="1151" w:type="dxa"/>
                  <w:tcBorders>
                    <w:tl2br w:val="nil"/>
                    <w:tr2bl w:val="nil"/>
                  </w:tcBorders>
                  <w:vAlign w:val="center"/>
                </w:tcPr>
                <w:p w14:paraId="1A18AE5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rightChars="0" w:firstLine="0" w:firstLineChars="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mg/m</w:t>
                  </w:r>
                  <w:r>
                    <w:rPr>
                      <w:rFonts w:hint="default" w:ascii="Times New Roman" w:hAnsi="Times New Roman" w:eastAsia="宋体" w:cs="Times New Roman"/>
                      <w:b w:val="0"/>
                      <w:bCs w:val="0"/>
                      <w:color w:val="auto"/>
                      <w:sz w:val="18"/>
                      <w:szCs w:val="18"/>
                      <w:highlight w:val="none"/>
                      <w:vertAlign w:val="superscript"/>
                    </w:rPr>
                    <w:t>3</w:t>
                  </w:r>
                </w:p>
              </w:tc>
              <w:tc>
                <w:tcPr>
                  <w:tcW w:w="2841" w:type="dxa"/>
                  <w:vMerge w:val="continue"/>
                  <w:tcBorders>
                    <w:tl2br w:val="nil"/>
                    <w:tr2bl w:val="nil"/>
                  </w:tcBorders>
                  <w:vAlign w:val="center"/>
                </w:tcPr>
                <w:p w14:paraId="0E78FF1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3F8F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jc w:val="center"/>
              </w:trPr>
              <w:tc>
                <w:tcPr>
                  <w:tcW w:w="998" w:type="dxa"/>
                  <w:vMerge w:val="restart"/>
                  <w:tcBorders>
                    <w:tl2br w:val="nil"/>
                    <w:tr2bl w:val="nil"/>
                  </w:tcBorders>
                  <w:vAlign w:val="center"/>
                </w:tcPr>
                <w:p w14:paraId="29B27FB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无组织</w:t>
                  </w:r>
                </w:p>
              </w:tc>
              <w:tc>
                <w:tcPr>
                  <w:tcW w:w="998" w:type="dxa"/>
                  <w:vMerge w:val="restart"/>
                  <w:tcBorders>
                    <w:tl2br w:val="nil"/>
                    <w:tr2bl w:val="nil"/>
                  </w:tcBorders>
                  <w:vAlign w:val="center"/>
                </w:tcPr>
                <w:p w14:paraId="3D81FAF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厂界</w:t>
                  </w:r>
                </w:p>
              </w:tc>
              <w:tc>
                <w:tcPr>
                  <w:tcW w:w="1140" w:type="dxa"/>
                  <w:tcBorders>
                    <w:tl2br w:val="nil"/>
                    <w:tr2bl w:val="nil"/>
                  </w:tcBorders>
                  <w:vAlign w:val="center"/>
                </w:tcPr>
                <w:p w14:paraId="6387E7C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颗粒物</w:t>
                  </w:r>
                </w:p>
              </w:tc>
              <w:tc>
                <w:tcPr>
                  <w:tcW w:w="964" w:type="dxa"/>
                  <w:tcBorders>
                    <w:tl2br w:val="nil"/>
                    <w:tr2bl w:val="nil"/>
                  </w:tcBorders>
                  <w:vAlign w:val="center"/>
                </w:tcPr>
                <w:p w14:paraId="35F3433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0.5</w:t>
                  </w:r>
                </w:p>
              </w:tc>
              <w:tc>
                <w:tcPr>
                  <w:tcW w:w="1151" w:type="dxa"/>
                  <w:tcBorders>
                    <w:tl2br w:val="nil"/>
                    <w:tr2bl w:val="nil"/>
                  </w:tcBorders>
                  <w:vAlign w:val="center"/>
                </w:tcPr>
                <w:p w14:paraId="1F0E2C4D">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mg/m</w:t>
                  </w:r>
                  <w:r>
                    <w:rPr>
                      <w:rFonts w:hint="default" w:ascii="Times New Roman" w:hAnsi="Times New Roman" w:eastAsia="宋体" w:cs="Times New Roman"/>
                      <w:b w:val="0"/>
                      <w:bCs w:val="0"/>
                      <w:color w:val="auto"/>
                      <w:sz w:val="18"/>
                      <w:szCs w:val="18"/>
                      <w:highlight w:val="none"/>
                      <w:vertAlign w:val="superscript"/>
                    </w:rPr>
                    <w:t>3</w:t>
                  </w:r>
                </w:p>
              </w:tc>
              <w:tc>
                <w:tcPr>
                  <w:tcW w:w="2841" w:type="dxa"/>
                  <w:tcBorders>
                    <w:tl2br w:val="nil"/>
                    <w:tr2bl w:val="nil"/>
                  </w:tcBorders>
                  <w:vAlign w:val="center"/>
                </w:tcPr>
                <w:p w14:paraId="7B0C1BF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表2中浓度限值要求</w:t>
                  </w:r>
                </w:p>
              </w:tc>
            </w:tr>
            <w:tr w14:paraId="1527A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998" w:type="dxa"/>
                  <w:vMerge w:val="continue"/>
                  <w:tcBorders>
                    <w:tl2br w:val="nil"/>
                    <w:tr2bl w:val="nil"/>
                  </w:tcBorders>
                  <w:vAlign w:val="center"/>
                </w:tcPr>
                <w:p w14:paraId="0F2CDA4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5AFC6D6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vAlign w:val="center"/>
                </w:tcPr>
                <w:p w14:paraId="1C43E23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NH</w:t>
                  </w:r>
                  <w:r>
                    <w:rPr>
                      <w:rFonts w:hint="default" w:ascii="Times New Roman" w:hAnsi="Times New Roman" w:eastAsia="宋体" w:cs="Times New Roman"/>
                      <w:b w:val="0"/>
                      <w:bCs w:val="0"/>
                      <w:color w:val="auto"/>
                      <w:sz w:val="18"/>
                      <w:szCs w:val="18"/>
                      <w:highlight w:val="none"/>
                      <w:vertAlign w:val="subscript"/>
                    </w:rPr>
                    <w:t>3</w:t>
                  </w:r>
                </w:p>
              </w:tc>
              <w:tc>
                <w:tcPr>
                  <w:tcW w:w="964" w:type="dxa"/>
                  <w:tcBorders>
                    <w:tl2br w:val="nil"/>
                    <w:tr2bl w:val="nil"/>
                  </w:tcBorders>
                  <w:vAlign w:val="center"/>
                </w:tcPr>
                <w:p w14:paraId="2600798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1.5</w:t>
                  </w:r>
                </w:p>
              </w:tc>
              <w:tc>
                <w:tcPr>
                  <w:tcW w:w="1151" w:type="dxa"/>
                  <w:tcBorders>
                    <w:tl2br w:val="nil"/>
                    <w:tr2bl w:val="nil"/>
                  </w:tcBorders>
                  <w:vAlign w:val="center"/>
                </w:tcPr>
                <w:p w14:paraId="042107D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mg/m</w:t>
                  </w:r>
                  <w:r>
                    <w:rPr>
                      <w:rFonts w:hint="default" w:ascii="Times New Roman" w:hAnsi="Times New Roman" w:eastAsia="宋体" w:cs="Times New Roman"/>
                      <w:b w:val="0"/>
                      <w:bCs w:val="0"/>
                      <w:color w:val="auto"/>
                      <w:sz w:val="18"/>
                      <w:szCs w:val="18"/>
                      <w:highlight w:val="none"/>
                      <w:vertAlign w:val="superscript"/>
                    </w:rPr>
                    <w:t>3</w:t>
                  </w:r>
                </w:p>
              </w:tc>
              <w:tc>
                <w:tcPr>
                  <w:tcW w:w="2841" w:type="dxa"/>
                  <w:vMerge w:val="restart"/>
                  <w:tcBorders>
                    <w:tl2br w:val="nil"/>
                    <w:tr2bl w:val="nil"/>
                  </w:tcBorders>
                  <w:vAlign w:val="center"/>
                </w:tcPr>
                <w:p w14:paraId="2ECEC3F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《恶臭污染物排放标准</w:t>
                  </w:r>
                  <w:r>
                    <w:rPr>
                      <w:rFonts w:hint="eastAsia" w:ascii="Times New Roman"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GB14554-1993</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表1二级标准限值</w:t>
                  </w:r>
                </w:p>
              </w:tc>
            </w:tr>
            <w:tr w14:paraId="744F5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998" w:type="dxa"/>
                  <w:vMerge w:val="continue"/>
                  <w:tcBorders>
                    <w:tl2br w:val="nil"/>
                    <w:tr2bl w:val="nil"/>
                  </w:tcBorders>
                  <w:vAlign w:val="center"/>
                </w:tcPr>
                <w:p w14:paraId="10891C1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72B5AA7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vAlign w:val="center"/>
                </w:tcPr>
                <w:p w14:paraId="6FEA2FD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H</w:t>
                  </w:r>
                  <w:r>
                    <w:rPr>
                      <w:rFonts w:hint="default" w:ascii="Times New Roman" w:hAnsi="Times New Roman" w:eastAsia="宋体" w:cs="Times New Roman"/>
                      <w:b w:val="0"/>
                      <w:bCs w:val="0"/>
                      <w:color w:val="auto"/>
                      <w:sz w:val="18"/>
                      <w:szCs w:val="18"/>
                      <w:highlight w:val="none"/>
                      <w:vertAlign w:val="subscript"/>
                    </w:rPr>
                    <w:t>2</w:t>
                  </w:r>
                  <w:r>
                    <w:rPr>
                      <w:rFonts w:hint="default" w:ascii="Times New Roman" w:hAnsi="Times New Roman" w:eastAsia="宋体" w:cs="Times New Roman"/>
                      <w:b w:val="0"/>
                      <w:bCs w:val="0"/>
                      <w:color w:val="auto"/>
                      <w:sz w:val="18"/>
                      <w:szCs w:val="18"/>
                      <w:highlight w:val="none"/>
                    </w:rPr>
                    <w:t>S</w:t>
                  </w:r>
                </w:p>
              </w:tc>
              <w:tc>
                <w:tcPr>
                  <w:tcW w:w="964" w:type="dxa"/>
                  <w:tcBorders>
                    <w:tl2br w:val="nil"/>
                    <w:tr2bl w:val="nil"/>
                  </w:tcBorders>
                  <w:vAlign w:val="center"/>
                </w:tcPr>
                <w:p w14:paraId="6A96549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0.06</w:t>
                  </w:r>
                </w:p>
              </w:tc>
              <w:tc>
                <w:tcPr>
                  <w:tcW w:w="1151" w:type="dxa"/>
                  <w:tcBorders>
                    <w:tl2br w:val="nil"/>
                    <w:tr2bl w:val="nil"/>
                  </w:tcBorders>
                  <w:vAlign w:val="center"/>
                </w:tcPr>
                <w:p w14:paraId="2F677BB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mg/m</w:t>
                  </w:r>
                  <w:r>
                    <w:rPr>
                      <w:rFonts w:hint="default" w:ascii="Times New Roman" w:hAnsi="Times New Roman" w:eastAsia="宋体" w:cs="Times New Roman"/>
                      <w:b w:val="0"/>
                      <w:bCs w:val="0"/>
                      <w:color w:val="auto"/>
                      <w:sz w:val="18"/>
                      <w:szCs w:val="18"/>
                      <w:highlight w:val="none"/>
                      <w:vertAlign w:val="superscript"/>
                    </w:rPr>
                    <w:t>3</w:t>
                  </w:r>
                </w:p>
              </w:tc>
              <w:tc>
                <w:tcPr>
                  <w:tcW w:w="2841" w:type="dxa"/>
                  <w:vMerge w:val="continue"/>
                  <w:tcBorders>
                    <w:tl2br w:val="nil"/>
                    <w:tr2bl w:val="nil"/>
                  </w:tcBorders>
                  <w:vAlign w:val="center"/>
                </w:tcPr>
                <w:p w14:paraId="364277B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r w14:paraId="176DB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jc w:val="center"/>
              </w:trPr>
              <w:tc>
                <w:tcPr>
                  <w:tcW w:w="998" w:type="dxa"/>
                  <w:vMerge w:val="continue"/>
                  <w:tcBorders>
                    <w:tl2br w:val="nil"/>
                    <w:tr2bl w:val="nil"/>
                  </w:tcBorders>
                  <w:vAlign w:val="center"/>
                </w:tcPr>
                <w:p w14:paraId="5D6C22FD">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998" w:type="dxa"/>
                  <w:vMerge w:val="continue"/>
                  <w:tcBorders>
                    <w:tl2br w:val="nil"/>
                    <w:tr2bl w:val="nil"/>
                  </w:tcBorders>
                  <w:vAlign w:val="center"/>
                </w:tcPr>
                <w:p w14:paraId="76B9020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c>
                <w:tcPr>
                  <w:tcW w:w="1140" w:type="dxa"/>
                  <w:tcBorders>
                    <w:tl2br w:val="nil"/>
                    <w:tr2bl w:val="nil"/>
                  </w:tcBorders>
                  <w:vAlign w:val="center"/>
                </w:tcPr>
                <w:p w14:paraId="2365AE3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臭气浓度</w:t>
                  </w:r>
                  <w:r>
                    <w:rPr>
                      <w:rFonts w:hint="default" w:ascii="Times New Roman" w:hAnsi="Times New Roman" w:eastAsia="宋体" w:cs="Times New Roman"/>
                      <w:b w:val="0"/>
                      <w:bCs w:val="0"/>
                      <w:color w:val="auto"/>
                      <w:sz w:val="18"/>
                      <w:szCs w:val="18"/>
                      <w:highlight w:val="none"/>
                    </w:rPr>
                    <w:cr/>
                  </w:r>
                  <w:r>
                    <w:rPr>
                      <w:rFonts w:hint="default" w:ascii="Times New Roman" w:hAnsi="Times New Roman" w:eastAsia="宋体" w:cs="Times New Roman"/>
                      <w:b w:val="0"/>
                      <w:bCs w:val="0"/>
                      <w:color w:val="auto"/>
                      <w:sz w:val="18"/>
                      <w:szCs w:val="18"/>
                      <w:highlight w:val="none"/>
                    </w:rPr>
                    <w:t>(无量纲)</w:t>
                  </w:r>
                </w:p>
              </w:tc>
              <w:tc>
                <w:tcPr>
                  <w:tcW w:w="964" w:type="dxa"/>
                  <w:tcBorders>
                    <w:tl2br w:val="nil"/>
                    <w:tr2bl w:val="nil"/>
                  </w:tcBorders>
                  <w:vAlign w:val="center"/>
                </w:tcPr>
                <w:p w14:paraId="3283D0C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20</w:t>
                  </w:r>
                </w:p>
              </w:tc>
              <w:tc>
                <w:tcPr>
                  <w:tcW w:w="1151" w:type="dxa"/>
                  <w:tcBorders>
                    <w:tl2br w:val="nil"/>
                    <w:tr2bl w:val="nil"/>
                  </w:tcBorders>
                  <w:vAlign w:val="center"/>
                </w:tcPr>
                <w:p w14:paraId="13FC99A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无量纲</w:t>
                  </w:r>
                </w:p>
              </w:tc>
              <w:tc>
                <w:tcPr>
                  <w:tcW w:w="2841" w:type="dxa"/>
                  <w:vMerge w:val="continue"/>
                  <w:tcBorders>
                    <w:tl2br w:val="nil"/>
                    <w:tr2bl w:val="nil"/>
                  </w:tcBorders>
                  <w:vAlign w:val="center"/>
                </w:tcPr>
                <w:p w14:paraId="36D5F77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textAlignment w:val="auto"/>
                    <w:rPr>
                      <w:rFonts w:hint="default" w:ascii="Times New Roman" w:hAnsi="Times New Roman" w:eastAsia="宋体" w:cs="Times New Roman"/>
                      <w:b w:val="0"/>
                      <w:bCs w:val="0"/>
                      <w:color w:val="auto"/>
                      <w:sz w:val="18"/>
                      <w:szCs w:val="18"/>
                      <w:highlight w:val="none"/>
                    </w:rPr>
                  </w:pPr>
                </w:p>
              </w:tc>
            </w:tr>
          </w:tbl>
          <w:p w14:paraId="425914B3">
            <w:pPr>
              <w:pStyle w:val="121"/>
              <w:keepNext w:val="0"/>
              <w:keepLines w:val="0"/>
              <w:pageBreakBefore w:val="0"/>
              <w:suppressLineNumbers w:val="0"/>
              <w:wordWrap/>
              <w:bidi w:val="0"/>
              <w:adjustRightInd w:val="0"/>
              <w:snapToGrid w:val="0"/>
              <w:spacing w:before="0" w:beforeAutospacing="0" w:after="0" w:afterAutospacing="0" w:line="360" w:lineRule="auto"/>
              <w:ind w:left="0" w:right="0" w:firstLine="480"/>
              <w:rPr>
                <w:rFonts w:hint="default" w:ascii="Times New Roman" w:hAnsi="Times New Roman" w:eastAsia="宋体" w:cs="Times New Roman"/>
                <w:b w:val="0"/>
                <w:szCs w:val="24"/>
                <w:highlight w:val="none"/>
              </w:rPr>
            </w:pPr>
          </w:p>
          <w:p w14:paraId="2ADF782E">
            <w:pPr>
              <w:keepNext w:val="0"/>
              <w:keepLines w:val="0"/>
              <w:pageBreakBefore w:val="0"/>
              <w:suppressLineNumbers w:val="0"/>
              <w:wordWrap/>
              <w:bidi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、噪声：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东、西、南、北</w:t>
            </w:r>
            <w:r>
              <w:rPr>
                <w:rFonts w:hint="default" w:ascii="Times New Roman" w:hAnsi="Times New Roman" w:eastAsia="宋体" w:cs="Times New Roman"/>
                <w:color w:val="000000" w:themeColor="text1"/>
                <w:sz w:val="24"/>
                <w:highlight w:val="none"/>
                <w14:textFill>
                  <w14:solidFill>
                    <w14:schemeClr w14:val="tx1"/>
                  </w14:solidFill>
                </w14:textFill>
              </w:rPr>
              <w:t>厂界噪声执行《工业企业厂界环境噪声排放标准》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GB12348-2008</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类标准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昼间≤6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dB</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A</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夜间</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55</w:t>
            </w:r>
            <w:r>
              <w:rPr>
                <w:rFonts w:hint="default" w:ascii="Times New Roman" w:hAnsi="Times New Roman" w:eastAsia="宋体" w:cs="Times New Roman"/>
                <w:color w:val="000000" w:themeColor="text1"/>
                <w:sz w:val="24"/>
                <w:highlight w:val="none"/>
                <w14:textFill>
                  <w14:solidFill>
                    <w14:schemeClr w14:val="tx1"/>
                  </w14:solidFill>
                </w14:textFill>
              </w:rPr>
              <w:t>dB</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A</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1F48A7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、固废：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一般固废参照执行《中华人民共和国固体废物污染环境防治法</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排污许可证申请与核发技术规范  工业固体废物</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试行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HJ1200-2021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中有关要求进行管理；</w:t>
            </w:r>
            <w:r>
              <w:rPr>
                <w:rFonts w:hint="default" w:ascii="Times New Roman" w:hAnsi="Times New Roman" w:eastAsia="宋体" w:cs="Times New Roman"/>
                <w:color w:val="000000" w:themeColor="text1"/>
                <w:sz w:val="24"/>
                <w:szCs w:val="24"/>
                <w:highlight w:val="none"/>
                <w14:textFill>
                  <w14:solidFill>
                    <w14:schemeClr w14:val="tx1"/>
                  </w14:solidFill>
                </w14:textFill>
              </w:rPr>
              <w:t>危险废物执行《危险废物贮存污染控制标准》</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GB18597-2023</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的规定。</w:t>
            </w:r>
          </w:p>
          <w:p w14:paraId="36146E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4、废水</w:t>
            </w:r>
          </w:p>
          <w:p w14:paraId="1D16C5F2">
            <w:pPr>
              <w:keepNext w:val="0"/>
              <w:keepLines w:val="0"/>
              <w:suppressLineNumbers w:val="0"/>
              <w:autoSpaceDE w:val="0"/>
              <w:autoSpaceDN w:val="0"/>
              <w:adjustRightInd w:val="0"/>
              <w:spacing w:before="0" w:beforeAutospacing="0" w:after="0" w:afterAutospacing="0" w:line="500" w:lineRule="exact"/>
              <w:ind w:left="0" w:right="0" w:firstLine="486" w:firstLineChars="196"/>
              <w:rPr>
                <w:rFonts w:hint="default" w:ascii="Times New Roman" w:hAnsi="Times New Roman" w:cs="Times New Roman"/>
                <w:color w:val="auto"/>
                <w:sz w:val="24"/>
              </w:rPr>
            </w:pPr>
            <w:r>
              <w:rPr>
                <w:rFonts w:hint="default" w:ascii="Times New Roman" w:hAnsi="Times New Roman" w:cs="Times New Roman"/>
                <w:color w:val="auto"/>
                <w:spacing w:val="4"/>
                <w:sz w:val="24"/>
              </w:rPr>
              <w:t>本项目回用水质满足</w:t>
            </w:r>
            <w:r>
              <w:rPr>
                <w:rFonts w:hint="default" w:ascii="Times New Roman" w:hAnsi="Times New Roman" w:cs="Times New Roman"/>
                <w:color w:val="auto"/>
                <w:spacing w:val="4"/>
                <w:sz w:val="24"/>
                <w:lang w:val="zh-CN"/>
              </w:rPr>
              <w:t>《污水综合排放标准》（GB8978-1996）</w:t>
            </w:r>
            <w:r>
              <w:rPr>
                <w:rFonts w:hint="default" w:ascii="Times New Roman" w:hAnsi="Times New Roman" w:cs="Times New Roman"/>
                <w:color w:val="auto"/>
                <w:spacing w:val="4"/>
                <w:sz w:val="24"/>
                <w:lang w:val="en-US" w:eastAsia="zh-CN"/>
              </w:rPr>
              <w:t>表1第一类污染物最高允许排放浓度以及</w:t>
            </w:r>
            <w:r>
              <w:rPr>
                <w:rFonts w:hint="default" w:ascii="Times New Roman" w:hAnsi="Times New Roman" w:cs="Times New Roman"/>
                <w:color w:val="auto"/>
                <w:sz w:val="24"/>
              </w:rPr>
              <w:t>《城市污水再生利用 城市杂用水水质》</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GB/T18920-2020</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表1标准。</w:t>
            </w:r>
          </w:p>
          <w:p w14:paraId="7EA6FC09">
            <w:pPr>
              <w:keepNext w:val="0"/>
              <w:keepLines w:val="0"/>
              <w:suppressLineNumbers w:val="0"/>
              <w:autoSpaceDE w:val="0"/>
              <w:autoSpaceDN w:val="0"/>
              <w:adjustRightInd w:val="0"/>
              <w:spacing w:before="0" w:beforeAutospacing="0" w:after="0" w:afterAutospacing="0" w:line="500" w:lineRule="exact"/>
              <w:ind w:left="0" w:right="0"/>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default" w:ascii="Times New Roman" w:hAnsi="Times New Roman" w:cs="Times New Roman"/>
                <w:b/>
                <w:color w:val="auto"/>
                <w:sz w:val="24"/>
                <w:lang w:val="en-US" w:eastAsia="zh-CN"/>
              </w:rPr>
              <w:t>4</w:t>
            </w:r>
            <w:r>
              <w:rPr>
                <w:rFonts w:hint="default" w:ascii="Times New Roman" w:hAnsi="Times New Roman" w:cs="Times New Roman"/>
                <w:b/>
                <w:color w:val="auto"/>
                <w:sz w:val="24"/>
              </w:rPr>
              <w:t xml:space="preserve">  废水综合排放标准   单位：mg/L</w:t>
            </w:r>
          </w:p>
          <w:tbl>
            <w:tblPr>
              <w:tblStyle w:val="30"/>
              <w:tblpPr w:leftFromText="180" w:rightFromText="180" w:vertAnchor="text" w:horzAnchor="margin" w:tblpXSpec="center" w:tblpY="42"/>
              <w:tblOverlap w:val="never"/>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948"/>
              <w:gridCol w:w="1948"/>
              <w:gridCol w:w="1630"/>
              <w:gridCol w:w="2978"/>
            </w:tblGrid>
            <w:tr w14:paraId="11D7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tcBorders>
                    <w:tl2br w:val="nil"/>
                    <w:tr2bl w:val="nil"/>
                  </w:tcBorders>
                  <w:vAlign w:val="center"/>
                </w:tcPr>
                <w:p w14:paraId="74201DE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位置</w:t>
                  </w:r>
                </w:p>
              </w:tc>
              <w:tc>
                <w:tcPr>
                  <w:tcW w:w="1145" w:type="pct"/>
                  <w:tcBorders>
                    <w:tl2br w:val="nil"/>
                    <w:tr2bl w:val="nil"/>
                  </w:tcBorders>
                  <w:vAlign w:val="center"/>
                </w:tcPr>
                <w:p w14:paraId="34E8E25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污染物</w:t>
                  </w:r>
                </w:p>
              </w:tc>
              <w:tc>
                <w:tcPr>
                  <w:tcW w:w="958" w:type="pct"/>
                  <w:tcBorders>
                    <w:tl2br w:val="nil"/>
                    <w:tr2bl w:val="nil"/>
                  </w:tcBorders>
                  <w:vAlign w:val="center"/>
                </w:tcPr>
                <w:p w14:paraId="3CB631F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zh-CN"/>
                    </w:rPr>
                    <w:t>浓度标准</w:t>
                  </w:r>
                  <w:r>
                    <w:rPr>
                      <w:rFonts w:hint="default" w:ascii="Times New Roman" w:hAnsi="Times New Roman" w:eastAsia="宋体" w:cs="Times New Roman"/>
                      <w:b w:val="0"/>
                      <w:bCs w:val="0"/>
                      <w:color w:val="auto"/>
                      <w:sz w:val="18"/>
                      <w:szCs w:val="18"/>
                      <w:highlight w:val="none"/>
                    </w:rPr>
                    <w:t>mg/L</w:t>
                  </w:r>
                </w:p>
              </w:tc>
              <w:tc>
                <w:tcPr>
                  <w:tcW w:w="1750" w:type="pct"/>
                  <w:tcBorders>
                    <w:tl2br w:val="nil"/>
                    <w:tr2bl w:val="nil"/>
                  </w:tcBorders>
                  <w:vAlign w:val="center"/>
                </w:tcPr>
                <w:p w14:paraId="6C1C8C0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标准名称</w:t>
                  </w:r>
                </w:p>
              </w:tc>
            </w:tr>
            <w:tr w14:paraId="36FD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vMerge w:val="restart"/>
                  <w:tcBorders>
                    <w:tl2br w:val="nil"/>
                    <w:tr2bl w:val="nil"/>
                  </w:tcBorders>
                  <w:vAlign w:val="center"/>
                </w:tcPr>
                <w:p w14:paraId="022DECF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污水处理站出水口</w:t>
                  </w:r>
                </w:p>
              </w:tc>
              <w:tc>
                <w:tcPr>
                  <w:tcW w:w="1145" w:type="pct"/>
                  <w:tcBorders>
                    <w:tl2br w:val="nil"/>
                    <w:tr2bl w:val="nil"/>
                  </w:tcBorders>
                  <w:vAlign w:val="center"/>
                </w:tcPr>
                <w:p w14:paraId="1102A7A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总汞</w:t>
                  </w:r>
                </w:p>
              </w:tc>
              <w:tc>
                <w:tcPr>
                  <w:tcW w:w="958" w:type="pct"/>
                  <w:tcBorders>
                    <w:tl2br w:val="nil"/>
                    <w:tr2bl w:val="nil"/>
                  </w:tcBorders>
                  <w:vAlign w:val="center"/>
                </w:tcPr>
                <w:p w14:paraId="09D3CCC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0.05</w:t>
                  </w:r>
                </w:p>
              </w:tc>
              <w:tc>
                <w:tcPr>
                  <w:tcW w:w="1750" w:type="pct"/>
                  <w:vMerge w:val="restart"/>
                  <w:tcBorders>
                    <w:tl2br w:val="nil"/>
                    <w:tr2bl w:val="nil"/>
                  </w:tcBorders>
                  <w:vAlign w:val="center"/>
                </w:tcPr>
                <w:p w14:paraId="0C13C5B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zh-CN"/>
                    </w:rPr>
                    <w:t>《污水综合排放标准》（GB8978-1996）</w:t>
                  </w:r>
                  <w:r>
                    <w:rPr>
                      <w:rFonts w:hint="default" w:ascii="Times New Roman" w:hAnsi="Times New Roman" w:cs="Times New Roman"/>
                      <w:b w:val="0"/>
                      <w:bCs w:val="0"/>
                      <w:color w:val="auto"/>
                      <w:sz w:val="18"/>
                      <w:szCs w:val="18"/>
                      <w:highlight w:val="none"/>
                      <w:lang w:val="en-US" w:eastAsia="zh-CN"/>
                    </w:rPr>
                    <w:t>表1第一类污染物最高允许排放浓度</w:t>
                  </w:r>
                </w:p>
              </w:tc>
            </w:tr>
            <w:tr w14:paraId="1AF8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vMerge w:val="continue"/>
                  <w:tcBorders>
                    <w:tl2br w:val="nil"/>
                    <w:tr2bl w:val="nil"/>
                  </w:tcBorders>
                  <w:vAlign w:val="center"/>
                </w:tcPr>
                <w:p w14:paraId="41BF068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p>
              </w:tc>
              <w:tc>
                <w:tcPr>
                  <w:tcW w:w="1145" w:type="pct"/>
                  <w:tcBorders>
                    <w:tl2br w:val="nil"/>
                    <w:tr2bl w:val="nil"/>
                  </w:tcBorders>
                  <w:vAlign w:val="center"/>
                </w:tcPr>
                <w:p w14:paraId="496BD8F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总镉</w:t>
                  </w:r>
                </w:p>
              </w:tc>
              <w:tc>
                <w:tcPr>
                  <w:tcW w:w="958" w:type="pct"/>
                  <w:tcBorders>
                    <w:tl2br w:val="nil"/>
                    <w:tr2bl w:val="nil"/>
                  </w:tcBorders>
                  <w:vAlign w:val="center"/>
                </w:tcPr>
                <w:p w14:paraId="30162D74">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0.1</w:t>
                  </w:r>
                </w:p>
              </w:tc>
              <w:tc>
                <w:tcPr>
                  <w:tcW w:w="1750" w:type="pct"/>
                  <w:vMerge w:val="continue"/>
                  <w:tcBorders>
                    <w:tl2br w:val="nil"/>
                    <w:tr2bl w:val="nil"/>
                  </w:tcBorders>
                  <w:vAlign w:val="center"/>
                </w:tcPr>
                <w:p w14:paraId="7750071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47AD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vMerge w:val="continue"/>
                  <w:tcBorders>
                    <w:tl2br w:val="nil"/>
                    <w:tr2bl w:val="nil"/>
                  </w:tcBorders>
                  <w:vAlign w:val="center"/>
                </w:tcPr>
                <w:p w14:paraId="453D794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p>
              </w:tc>
              <w:tc>
                <w:tcPr>
                  <w:tcW w:w="1145" w:type="pct"/>
                  <w:tcBorders>
                    <w:tl2br w:val="nil"/>
                    <w:tr2bl w:val="nil"/>
                  </w:tcBorders>
                  <w:vAlign w:val="center"/>
                </w:tcPr>
                <w:p w14:paraId="457BDA6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总铬</w:t>
                  </w:r>
                </w:p>
              </w:tc>
              <w:tc>
                <w:tcPr>
                  <w:tcW w:w="958" w:type="pct"/>
                  <w:tcBorders>
                    <w:tl2br w:val="nil"/>
                    <w:tr2bl w:val="nil"/>
                  </w:tcBorders>
                  <w:vAlign w:val="center"/>
                </w:tcPr>
                <w:p w14:paraId="0AC306D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1.5</w:t>
                  </w:r>
                </w:p>
              </w:tc>
              <w:tc>
                <w:tcPr>
                  <w:tcW w:w="1750" w:type="pct"/>
                  <w:vMerge w:val="continue"/>
                  <w:tcBorders>
                    <w:tl2br w:val="nil"/>
                    <w:tr2bl w:val="nil"/>
                  </w:tcBorders>
                  <w:vAlign w:val="center"/>
                </w:tcPr>
                <w:p w14:paraId="45A0289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7DC8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7" w:hRule="atLeast"/>
                <w:jc w:val="center"/>
              </w:trPr>
              <w:tc>
                <w:tcPr>
                  <w:tcW w:w="1145" w:type="pct"/>
                  <w:vMerge w:val="continue"/>
                  <w:tcBorders>
                    <w:tl2br w:val="nil"/>
                    <w:tr2bl w:val="nil"/>
                  </w:tcBorders>
                  <w:vAlign w:val="center"/>
                </w:tcPr>
                <w:p w14:paraId="7F666DF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p>
              </w:tc>
              <w:tc>
                <w:tcPr>
                  <w:tcW w:w="1145" w:type="pct"/>
                  <w:tcBorders>
                    <w:tl2br w:val="nil"/>
                    <w:tr2bl w:val="nil"/>
                  </w:tcBorders>
                  <w:vAlign w:val="center"/>
                </w:tcPr>
                <w:p w14:paraId="21DE078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六价铬</w:t>
                  </w:r>
                </w:p>
              </w:tc>
              <w:tc>
                <w:tcPr>
                  <w:tcW w:w="958" w:type="pct"/>
                  <w:tcBorders>
                    <w:tl2br w:val="nil"/>
                    <w:tr2bl w:val="nil"/>
                  </w:tcBorders>
                  <w:vAlign w:val="center"/>
                </w:tcPr>
                <w:p w14:paraId="6B3C104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0.5</w:t>
                  </w:r>
                </w:p>
              </w:tc>
              <w:tc>
                <w:tcPr>
                  <w:tcW w:w="1750" w:type="pct"/>
                  <w:vMerge w:val="continue"/>
                  <w:tcBorders>
                    <w:tl2br w:val="nil"/>
                    <w:tr2bl w:val="nil"/>
                  </w:tcBorders>
                  <w:vAlign w:val="center"/>
                </w:tcPr>
                <w:p w14:paraId="5930675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4301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vMerge w:val="continue"/>
                  <w:tcBorders>
                    <w:tl2br w:val="nil"/>
                    <w:tr2bl w:val="nil"/>
                  </w:tcBorders>
                  <w:vAlign w:val="center"/>
                </w:tcPr>
                <w:p w14:paraId="66F4D89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p>
              </w:tc>
              <w:tc>
                <w:tcPr>
                  <w:tcW w:w="1145" w:type="pct"/>
                  <w:tcBorders>
                    <w:tl2br w:val="nil"/>
                    <w:tr2bl w:val="nil"/>
                  </w:tcBorders>
                  <w:vAlign w:val="center"/>
                </w:tcPr>
                <w:p w14:paraId="1A168F7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总砷</w:t>
                  </w:r>
                </w:p>
              </w:tc>
              <w:tc>
                <w:tcPr>
                  <w:tcW w:w="958" w:type="pct"/>
                  <w:tcBorders>
                    <w:tl2br w:val="nil"/>
                    <w:tr2bl w:val="nil"/>
                  </w:tcBorders>
                  <w:vAlign w:val="center"/>
                </w:tcPr>
                <w:p w14:paraId="0114C8D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0.5</w:t>
                  </w:r>
                </w:p>
              </w:tc>
              <w:tc>
                <w:tcPr>
                  <w:tcW w:w="1750" w:type="pct"/>
                  <w:vMerge w:val="continue"/>
                  <w:tcBorders>
                    <w:tl2br w:val="nil"/>
                    <w:tr2bl w:val="nil"/>
                  </w:tcBorders>
                  <w:vAlign w:val="center"/>
                </w:tcPr>
                <w:p w14:paraId="2FFA3B2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5D76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vMerge w:val="continue"/>
                  <w:tcBorders>
                    <w:tl2br w:val="nil"/>
                    <w:tr2bl w:val="nil"/>
                  </w:tcBorders>
                  <w:vAlign w:val="center"/>
                </w:tcPr>
                <w:p w14:paraId="039212C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p>
              </w:tc>
              <w:tc>
                <w:tcPr>
                  <w:tcW w:w="1145" w:type="pct"/>
                  <w:tcBorders>
                    <w:tl2br w:val="nil"/>
                    <w:tr2bl w:val="nil"/>
                  </w:tcBorders>
                  <w:vAlign w:val="center"/>
                </w:tcPr>
                <w:p w14:paraId="67C7C04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总铅</w:t>
                  </w:r>
                </w:p>
              </w:tc>
              <w:tc>
                <w:tcPr>
                  <w:tcW w:w="958" w:type="pct"/>
                  <w:tcBorders>
                    <w:tl2br w:val="nil"/>
                    <w:tr2bl w:val="nil"/>
                  </w:tcBorders>
                  <w:vAlign w:val="center"/>
                </w:tcPr>
                <w:p w14:paraId="1D30186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1.0</w:t>
                  </w:r>
                </w:p>
              </w:tc>
              <w:tc>
                <w:tcPr>
                  <w:tcW w:w="1750" w:type="pct"/>
                  <w:vMerge w:val="continue"/>
                  <w:tcBorders>
                    <w:tl2br w:val="nil"/>
                    <w:tr2bl w:val="nil"/>
                  </w:tcBorders>
                  <w:vAlign w:val="center"/>
                </w:tcPr>
                <w:p w14:paraId="14DD4CF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264D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145" w:type="pct"/>
                  <w:vMerge w:val="continue"/>
                  <w:tcBorders>
                    <w:tl2br w:val="nil"/>
                    <w:tr2bl w:val="nil"/>
                  </w:tcBorders>
                  <w:vAlign w:val="center"/>
                </w:tcPr>
                <w:p w14:paraId="0737457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cs="Times New Roman"/>
                      <w:b w:val="0"/>
                      <w:bCs w:val="0"/>
                      <w:color w:val="auto"/>
                      <w:sz w:val="18"/>
                      <w:szCs w:val="18"/>
                      <w:highlight w:val="none"/>
                      <w:lang w:val="en-US" w:eastAsia="zh-CN"/>
                    </w:rPr>
                  </w:pPr>
                </w:p>
              </w:tc>
              <w:tc>
                <w:tcPr>
                  <w:tcW w:w="1145" w:type="pct"/>
                  <w:tcBorders>
                    <w:tl2br w:val="nil"/>
                    <w:tr2bl w:val="nil"/>
                  </w:tcBorders>
                  <w:vAlign w:val="center"/>
                </w:tcPr>
                <w:p w14:paraId="737C686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总镍</w:t>
                  </w:r>
                </w:p>
              </w:tc>
              <w:tc>
                <w:tcPr>
                  <w:tcW w:w="958" w:type="pct"/>
                  <w:tcBorders>
                    <w:tl2br w:val="nil"/>
                    <w:tr2bl w:val="nil"/>
                  </w:tcBorders>
                  <w:vAlign w:val="center"/>
                </w:tcPr>
                <w:p w14:paraId="0395C58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1.0</w:t>
                  </w:r>
                </w:p>
              </w:tc>
              <w:tc>
                <w:tcPr>
                  <w:tcW w:w="1750" w:type="pct"/>
                  <w:vMerge w:val="continue"/>
                  <w:tcBorders>
                    <w:tl2br w:val="nil"/>
                    <w:tr2bl w:val="nil"/>
                  </w:tcBorders>
                  <w:vAlign w:val="center"/>
                </w:tcPr>
                <w:p w14:paraId="29A9A2E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2CF2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1145" w:type="pct"/>
                  <w:vMerge w:val="continue"/>
                  <w:tcBorders>
                    <w:tl2br w:val="nil"/>
                    <w:tr2bl w:val="nil"/>
                  </w:tcBorders>
                  <w:vAlign w:val="center"/>
                </w:tcPr>
                <w:p w14:paraId="4DC2CFE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c>
                <w:tcPr>
                  <w:tcW w:w="1145" w:type="pct"/>
                  <w:tcBorders>
                    <w:tl2br w:val="nil"/>
                    <w:tr2bl w:val="nil"/>
                  </w:tcBorders>
                  <w:vAlign w:val="center"/>
                </w:tcPr>
                <w:p w14:paraId="4D5F722A">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p</w:t>
                  </w:r>
                  <w:r>
                    <w:rPr>
                      <w:rFonts w:hint="default" w:ascii="Times New Roman" w:hAnsi="Times New Roman" w:eastAsia="宋体" w:cs="Times New Roman"/>
                      <w:b w:val="0"/>
                      <w:bCs w:val="0"/>
                      <w:color w:val="auto"/>
                      <w:sz w:val="18"/>
                      <w:szCs w:val="18"/>
                      <w:highlight w:val="none"/>
                    </w:rPr>
                    <w:t>H</w:t>
                  </w:r>
                </w:p>
              </w:tc>
              <w:tc>
                <w:tcPr>
                  <w:tcW w:w="958" w:type="pct"/>
                  <w:tcBorders>
                    <w:tl2br w:val="nil"/>
                    <w:tr2bl w:val="nil"/>
                  </w:tcBorders>
                  <w:vAlign w:val="center"/>
                </w:tcPr>
                <w:p w14:paraId="1F6CA13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6-9</w:t>
                  </w:r>
                </w:p>
              </w:tc>
              <w:tc>
                <w:tcPr>
                  <w:tcW w:w="1750" w:type="pct"/>
                  <w:vMerge w:val="restart"/>
                  <w:tcBorders>
                    <w:tl2br w:val="nil"/>
                    <w:tr2bl w:val="nil"/>
                  </w:tcBorders>
                  <w:vAlign w:val="center"/>
                </w:tcPr>
                <w:p w14:paraId="2941024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《城市污水再生利用 城市杂用水水质》</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GB/T 18920-2020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表1标准</w:t>
                  </w:r>
                </w:p>
              </w:tc>
            </w:tr>
            <w:tr w14:paraId="1BA5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1145" w:type="pct"/>
                  <w:vMerge w:val="continue"/>
                  <w:tcBorders>
                    <w:tl2br w:val="nil"/>
                    <w:tr2bl w:val="nil"/>
                  </w:tcBorders>
                  <w:vAlign w:val="center"/>
                </w:tcPr>
                <w:p w14:paraId="09C94EC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p>
              </w:tc>
              <w:tc>
                <w:tcPr>
                  <w:tcW w:w="1145" w:type="pct"/>
                  <w:tcBorders>
                    <w:tl2br w:val="nil"/>
                    <w:tr2bl w:val="nil"/>
                  </w:tcBorders>
                  <w:vAlign w:val="center"/>
                </w:tcPr>
                <w:p w14:paraId="685E2DF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eastAsia="zh-CN"/>
                    </w:rPr>
                    <w:t>色度</w:t>
                  </w:r>
                </w:p>
              </w:tc>
              <w:tc>
                <w:tcPr>
                  <w:tcW w:w="958" w:type="pct"/>
                  <w:tcBorders>
                    <w:tl2br w:val="nil"/>
                    <w:tr2bl w:val="nil"/>
                  </w:tcBorders>
                  <w:vAlign w:val="center"/>
                </w:tcPr>
                <w:p w14:paraId="76B6E31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30</w:t>
                  </w:r>
                </w:p>
              </w:tc>
              <w:tc>
                <w:tcPr>
                  <w:tcW w:w="1750" w:type="pct"/>
                  <w:vMerge w:val="continue"/>
                  <w:tcBorders>
                    <w:tl2br w:val="nil"/>
                    <w:tr2bl w:val="nil"/>
                  </w:tcBorders>
                  <w:vAlign w:val="center"/>
                </w:tcPr>
                <w:p w14:paraId="7F9EB0E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r>
            <w:tr w14:paraId="1F72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1145" w:type="pct"/>
                  <w:vMerge w:val="continue"/>
                  <w:tcBorders>
                    <w:tl2br w:val="nil"/>
                    <w:tr2bl w:val="nil"/>
                  </w:tcBorders>
                  <w:vAlign w:val="center"/>
                </w:tcPr>
                <w:p w14:paraId="5322B91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p>
              </w:tc>
              <w:tc>
                <w:tcPr>
                  <w:tcW w:w="1145" w:type="pct"/>
                  <w:tcBorders>
                    <w:tl2br w:val="nil"/>
                    <w:tr2bl w:val="nil"/>
                  </w:tcBorders>
                  <w:vAlign w:val="center"/>
                </w:tcPr>
                <w:p w14:paraId="18ED4EF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eastAsia="zh-CN"/>
                    </w:rPr>
                    <w:t>嗅</w:t>
                  </w:r>
                </w:p>
              </w:tc>
              <w:tc>
                <w:tcPr>
                  <w:tcW w:w="958" w:type="pct"/>
                  <w:tcBorders>
                    <w:tl2br w:val="nil"/>
                    <w:tr2bl w:val="nil"/>
                  </w:tcBorders>
                  <w:vAlign w:val="center"/>
                </w:tcPr>
                <w:p w14:paraId="0582455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无不快感</w:t>
                  </w:r>
                </w:p>
              </w:tc>
              <w:tc>
                <w:tcPr>
                  <w:tcW w:w="1750" w:type="pct"/>
                  <w:vMerge w:val="continue"/>
                  <w:tcBorders>
                    <w:tl2br w:val="nil"/>
                    <w:tr2bl w:val="nil"/>
                  </w:tcBorders>
                  <w:vAlign w:val="center"/>
                </w:tcPr>
                <w:p w14:paraId="34F55B2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r>
            <w:tr w14:paraId="2BE2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1145" w:type="pct"/>
                  <w:vMerge w:val="continue"/>
                  <w:tcBorders>
                    <w:tl2br w:val="nil"/>
                    <w:tr2bl w:val="nil"/>
                  </w:tcBorders>
                  <w:vAlign w:val="center"/>
                </w:tcPr>
                <w:p w14:paraId="3CD702D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p>
              </w:tc>
              <w:tc>
                <w:tcPr>
                  <w:tcW w:w="1145" w:type="pct"/>
                  <w:tcBorders>
                    <w:tl2br w:val="nil"/>
                    <w:tr2bl w:val="nil"/>
                  </w:tcBorders>
                  <w:vAlign w:val="center"/>
                </w:tcPr>
                <w:p w14:paraId="57CCA22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eastAsia="zh-CN"/>
                    </w:rPr>
                    <w:t>浊度</w:t>
                  </w:r>
                </w:p>
              </w:tc>
              <w:tc>
                <w:tcPr>
                  <w:tcW w:w="958" w:type="pct"/>
                  <w:tcBorders>
                    <w:tl2br w:val="nil"/>
                    <w:tr2bl w:val="nil"/>
                  </w:tcBorders>
                  <w:vAlign w:val="center"/>
                </w:tcPr>
                <w:p w14:paraId="5E42FF4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10</w:t>
                  </w:r>
                </w:p>
              </w:tc>
              <w:tc>
                <w:tcPr>
                  <w:tcW w:w="1750" w:type="pct"/>
                  <w:vMerge w:val="continue"/>
                  <w:tcBorders>
                    <w:tl2br w:val="nil"/>
                    <w:tr2bl w:val="nil"/>
                  </w:tcBorders>
                  <w:vAlign w:val="center"/>
                </w:tcPr>
                <w:p w14:paraId="7AAD38C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r>
            <w:tr w14:paraId="0A6F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12F8C3E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c>
                <w:tcPr>
                  <w:tcW w:w="1145" w:type="pct"/>
                  <w:tcBorders>
                    <w:tl2br w:val="nil"/>
                    <w:tr2bl w:val="nil"/>
                  </w:tcBorders>
                  <w:vAlign w:val="center"/>
                </w:tcPr>
                <w:p w14:paraId="44725A6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BOD</w:t>
                  </w:r>
                  <w:r>
                    <w:rPr>
                      <w:rFonts w:hint="default" w:ascii="Times New Roman" w:hAnsi="Times New Roman" w:eastAsia="宋体" w:cs="Times New Roman"/>
                      <w:b w:val="0"/>
                      <w:bCs w:val="0"/>
                      <w:color w:val="auto"/>
                      <w:sz w:val="18"/>
                      <w:szCs w:val="18"/>
                      <w:highlight w:val="none"/>
                      <w:vertAlign w:val="subscript"/>
                    </w:rPr>
                    <w:t>5</w:t>
                  </w:r>
                </w:p>
              </w:tc>
              <w:tc>
                <w:tcPr>
                  <w:tcW w:w="958" w:type="pct"/>
                  <w:tcBorders>
                    <w:tl2br w:val="nil"/>
                    <w:tr2bl w:val="nil"/>
                  </w:tcBorders>
                  <w:vAlign w:val="center"/>
                </w:tcPr>
                <w:p w14:paraId="4699B7D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10</w:t>
                  </w:r>
                </w:p>
              </w:tc>
              <w:tc>
                <w:tcPr>
                  <w:tcW w:w="1750" w:type="pct"/>
                  <w:vMerge w:val="continue"/>
                  <w:tcBorders>
                    <w:tl2br w:val="nil"/>
                    <w:tr2bl w:val="nil"/>
                  </w:tcBorders>
                  <w:vAlign w:val="center"/>
                </w:tcPr>
                <w:p w14:paraId="1D9B9DC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67AB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3CA5F81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c>
                <w:tcPr>
                  <w:tcW w:w="1145" w:type="pct"/>
                  <w:tcBorders>
                    <w:tl2br w:val="nil"/>
                    <w:tr2bl w:val="nil"/>
                  </w:tcBorders>
                  <w:vAlign w:val="center"/>
                </w:tcPr>
                <w:p w14:paraId="7D1E5A5D">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氨氮</w:t>
                  </w:r>
                </w:p>
              </w:tc>
              <w:tc>
                <w:tcPr>
                  <w:tcW w:w="958" w:type="pct"/>
                  <w:tcBorders>
                    <w:tl2br w:val="nil"/>
                    <w:tr2bl w:val="nil"/>
                  </w:tcBorders>
                  <w:vAlign w:val="center"/>
                </w:tcPr>
                <w:p w14:paraId="0873F21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val="en-US" w:eastAsia="zh-CN"/>
                    </w:rPr>
                    <w:t>8</w:t>
                  </w:r>
                </w:p>
              </w:tc>
              <w:tc>
                <w:tcPr>
                  <w:tcW w:w="1750" w:type="pct"/>
                  <w:vMerge w:val="continue"/>
                  <w:tcBorders>
                    <w:tl2br w:val="nil"/>
                    <w:tr2bl w:val="nil"/>
                  </w:tcBorders>
                  <w:vAlign w:val="center"/>
                </w:tcPr>
                <w:p w14:paraId="4824FB8C">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1D90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31927A52">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c>
                <w:tcPr>
                  <w:tcW w:w="1145" w:type="pct"/>
                  <w:tcBorders>
                    <w:tl2br w:val="nil"/>
                    <w:tr2bl w:val="nil"/>
                  </w:tcBorders>
                  <w:vAlign w:val="center"/>
                </w:tcPr>
                <w:p w14:paraId="6DB02C9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阴离子表面活性剂</w:t>
                  </w:r>
                </w:p>
              </w:tc>
              <w:tc>
                <w:tcPr>
                  <w:tcW w:w="958" w:type="pct"/>
                  <w:tcBorders>
                    <w:tl2br w:val="nil"/>
                    <w:tr2bl w:val="nil"/>
                  </w:tcBorders>
                  <w:vAlign w:val="center"/>
                </w:tcPr>
                <w:p w14:paraId="227D5A98">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0.5</w:t>
                  </w:r>
                </w:p>
              </w:tc>
              <w:tc>
                <w:tcPr>
                  <w:tcW w:w="1750" w:type="pct"/>
                  <w:vMerge w:val="continue"/>
                  <w:tcBorders>
                    <w:tl2br w:val="nil"/>
                    <w:tr2bl w:val="nil"/>
                  </w:tcBorders>
                  <w:vAlign w:val="center"/>
                </w:tcPr>
                <w:p w14:paraId="46DB103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6135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158C53A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c>
                <w:tcPr>
                  <w:tcW w:w="1145" w:type="pct"/>
                  <w:tcBorders>
                    <w:tl2br w:val="nil"/>
                    <w:tr2bl w:val="nil"/>
                  </w:tcBorders>
                  <w:vAlign w:val="center"/>
                </w:tcPr>
                <w:p w14:paraId="746D847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溶解性总固体</w:t>
                  </w:r>
                </w:p>
              </w:tc>
              <w:tc>
                <w:tcPr>
                  <w:tcW w:w="958" w:type="pct"/>
                  <w:tcBorders>
                    <w:tl2br w:val="nil"/>
                    <w:tr2bl w:val="nil"/>
                  </w:tcBorders>
                  <w:vAlign w:val="center"/>
                </w:tcPr>
                <w:p w14:paraId="00D37801">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1000</w:t>
                  </w:r>
                </w:p>
              </w:tc>
              <w:tc>
                <w:tcPr>
                  <w:tcW w:w="1750" w:type="pct"/>
                  <w:vMerge w:val="continue"/>
                  <w:tcBorders>
                    <w:tl2br w:val="nil"/>
                    <w:tr2bl w:val="nil"/>
                  </w:tcBorders>
                  <w:vAlign w:val="center"/>
                </w:tcPr>
                <w:p w14:paraId="0258E296">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1897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14C8D7A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p>
              </w:tc>
              <w:tc>
                <w:tcPr>
                  <w:tcW w:w="1145" w:type="pct"/>
                  <w:tcBorders>
                    <w:tl2br w:val="nil"/>
                    <w:tr2bl w:val="nil"/>
                  </w:tcBorders>
                  <w:vAlign w:val="center"/>
                </w:tcPr>
                <w:p w14:paraId="3424DFA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eastAsia="zh-CN"/>
                    </w:rPr>
                    <w:t>溶解氧≥</w:t>
                  </w:r>
                </w:p>
              </w:tc>
              <w:tc>
                <w:tcPr>
                  <w:tcW w:w="958" w:type="pct"/>
                  <w:tcBorders>
                    <w:tl2br w:val="nil"/>
                    <w:tr2bl w:val="nil"/>
                  </w:tcBorders>
                  <w:vAlign w:val="center"/>
                </w:tcPr>
                <w:p w14:paraId="33259915">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2</w:t>
                  </w:r>
                </w:p>
              </w:tc>
              <w:tc>
                <w:tcPr>
                  <w:tcW w:w="1750" w:type="pct"/>
                  <w:vMerge w:val="continue"/>
                  <w:tcBorders>
                    <w:tl2br w:val="nil"/>
                    <w:tr2bl w:val="nil"/>
                  </w:tcBorders>
                  <w:vAlign w:val="center"/>
                </w:tcPr>
                <w:p w14:paraId="0905CA8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7FF5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76977D7F">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p>
              </w:tc>
              <w:tc>
                <w:tcPr>
                  <w:tcW w:w="1145" w:type="pct"/>
                  <w:tcBorders>
                    <w:tl2br w:val="nil"/>
                    <w:tr2bl w:val="nil"/>
                  </w:tcBorders>
                  <w:vAlign w:val="center"/>
                </w:tcPr>
                <w:p w14:paraId="5E4DA43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eastAsia="zh-CN"/>
                    </w:rPr>
                    <w:t>总氯≥</w:t>
                  </w:r>
                </w:p>
              </w:tc>
              <w:tc>
                <w:tcPr>
                  <w:tcW w:w="958" w:type="pct"/>
                  <w:tcBorders>
                    <w:tl2br w:val="nil"/>
                    <w:tr2bl w:val="nil"/>
                  </w:tcBorders>
                  <w:vAlign w:val="center"/>
                </w:tcPr>
                <w:p w14:paraId="5D4CD133">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1</w:t>
                  </w:r>
                </w:p>
              </w:tc>
              <w:tc>
                <w:tcPr>
                  <w:tcW w:w="1750" w:type="pct"/>
                  <w:vMerge w:val="continue"/>
                  <w:tcBorders>
                    <w:tl2br w:val="nil"/>
                    <w:tr2bl w:val="nil"/>
                  </w:tcBorders>
                  <w:vAlign w:val="center"/>
                </w:tcPr>
                <w:p w14:paraId="009003C0">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r w14:paraId="7365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0" w:hRule="atLeast"/>
                <w:jc w:val="center"/>
              </w:trPr>
              <w:tc>
                <w:tcPr>
                  <w:tcW w:w="1145" w:type="pct"/>
                  <w:vMerge w:val="continue"/>
                  <w:tcBorders>
                    <w:tl2br w:val="nil"/>
                    <w:tr2bl w:val="nil"/>
                  </w:tcBorders>
                  <w:vAlign w:val="center"/>
                </w:tcPr>
                <w:p w14:paraId="1319D8EB">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p>
              </w:tc>
              <w:tc>
                <w:tcPr>
                  <w:tcW w:w="1145" w:type="pct"/>
                  <w:tcBorders>
                    <w:tl2br w:val="nil"/>
                    <w:tr2bl w:val="nil"/>
                  </w:tcBorders>
                  <w:vAlign w:val="center"/>
                </w:tcPr>
                <w:p w14:paraId="7886DAE9">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大肠埃希氏菌</w:t>
                  </w:r>
                </w:p>
              </w:tc>
              <w:tc>
                <w:tcPr>
                  <w:tcW w:w="958" w:type="pct"/>
                  <w:tcBorders>
                    <w:tl2br w:val="nil"/>
                    <w:tr2bl w:val="nil"/>
                  </w:tcBorders>
                  <w:vAlign w:val="center"/>
                </w:tcPr>
                <w:p w14:paraId="5BF2EEB7">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eastAsia="宋体" w:cs="Times New Roman"/>
                      <w:b w:val="0"/>
                      <w:bCs w:val="0"/>
                      <w:color w:val="auto"/>
                      <w:sz w:val="18"/>
                      <w:szCs w:val="18"/>
                      <w:highlight w:val="none"/>
                      <w:lang w:eastAsia="zh-CN"/>
                    </w:rPr>
                    <w:t>无</w:t>
                  </w:r>
                </w:p>
              </w:tc>
              <w:tc>
                <w:tcPr>
                  <w:tcW w:w="1750" w:type="pct"/>
                  <w:vMerge w:val="continue"/>
                  <w:tcBorders>
                    <w:tl2br w:val="nil"/>
                    <w:tr2bl w:val="nil"/>
                  </w:tcBorders>
                  <w:vAlign w:val="center"/>
                </w:tcPr>
                <w:p w14:paraId="39BDD80E">
                  <w:pPr>
                    <w:pStyle w:val="5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Times New Roman" w:hAnsi="Times New Roman" w:eastAsia="宋体" w:cs="Times New Roman"/>
                      <w:b w:val="0"/>
                      <w:bCs w:val="0"/>
                      <w:color w:val="auto"/>
                      <w:sz w:val="18"/>
                      <w:szCs w:val="18"/>
                      <w:highlight w:val="none"/>
                      <w:lang w:val="zh-CN"/>
                    </w:rPr>
                  </w:pPr>
                </w:p>
              </w:tc>
            </w:tr>
          </w:tbl>
          <w:p w14:paraId="75E208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r>
      <w:tr w14:paraId="7E0F33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5" w:hRule="atLeast"/>
          <w:jc w:val="center"/>
        </w:trPr>
        <w:tc>
          <w:tcPr>
            <w:tcW w:w="199" w:type="pct"/>
            <w:noWrap w:val="0"/>
            <w:vAlign w:val="center"/>
          </w:tcPr>
          <w:p w14:paraId="7EEDC21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总量</w:t>
            </w:r>
          </w:p>
          <w:p w14:paraId="2D36940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控制</w:t>
            </w:r>
          </w:p>
          <w:p w14:paraId="7C8A602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4"/>
                <w:szCs w:val="24"/>
                <w:highlight w:val="none"/>
                <w14:textFill>
                  <w14:solidFill>
                    <w14:schemeClr w14:val="tx1"/>
                  </w14:solidFill>
                </w14:textFill>
              </w:rPr>
              <w:t>指标</w:t>
            </w:r>
          </w:p>
        </w:tc>
        <w:tc>
          <w:tcPr>
            <w:tcW w:w="4800" w:type="pct"/>
            <w:noWrap w:val="0"/>
            <w:vAlign w:val="center"/>
          </w:tcPr>
          <w:p w14:paraId="444A778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i w:val="0"/>
                <w:iCs w:val="0"/>
                <w:color w:val="000000"/>
                <w:sz w:val="24"/>
                <w:szCs w:val="24"/>
                <w:highlight w:val="none"/>
              </w:rPr>
            </w:pPr>
            <w:r>
              <w:rPr>
                <w:rFonts w:hint="default" w:ascii="Times New Roman" w:hAnsi="Times New Roman" w:eastAsia="宋体" w:cs="Times New Roman"/>
                <w:i w:val="0"/>
                <w:iCs w:val="0"/>
                <w:color w:val="000000"/>
                <w:sz w:val="24"/>
                <w:szCs w:val="24"/>
                <w:highlight w:val="none"/>
              </w:rPr>
              <w:t>根据《建设项目主要污染物排放总量指标审核及管理暂行办法》的相关要求，总量核算以污染物排放标准中的排放浓度限值为基准，计算总量指标。</w:t>
            </w:r>
          </w:p>
          <w:p w14:paraId="3382C49C">
            <w:pPr>
              <w:pStyle w:val="2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i w:val="0"/>
                <w:iCs w:val="0"/>
                <w:color w:val="000000"/>
                <w:sz w:val="24"/>
                <w:szCs w:val="24"/>
                <w:highlight w:val="none"/>
              </w:rPr>
            </w:pPr>
            <w:r>
              <w:rPr>
                <w:rFonts w:hint="default" w:ascii="Times New Roman" w:hAnsi="Times New Roman" w:eastAsia="宋体" w:cs="Times New Roman"/>
                <w:i w:val="0"/>
                <w:iCs w:val="0"/>
                <w:color w:val="000000"/>
                <w:sz w:val="24"/>
                <w:szCs w:val="24"/>
                <w:highlight w:val="none"/>
              </w:rPr>
              <w:t>（1）废气</w:t>
            </w:r>
            <w:r>
              <w:rPr>
                <w:rFonts w:hint="default" w:ascii="Times New Roman" w:hAnsi="Times New Roman" w:eastAsia="宋体" w:cs="Times New Roman"/>
                <w:i w:val="0"/>
                <w:iCs w:val="0"/>
                <w:color w:val="000000"/>
                <w:sz w:val="24"/>
                <w:szCs w:val="24"/>
                <w:highlight w:val="none"/>
                <w:lang w:eastAsia="zh-CN"/>
              </w:rPr>
              <w:t>：</w:t>
            </w:r>
          </w:p>
          <w:p w14:paraId="1B231A71">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val="en-US" w:eastAsia="zh-CN"/>
              </w:rPr>
              <w:t>燃烧替代燃烧颗粒对滚筒式干燥机进行加热，加热方式为间接加热，因此替代燃烧颗粒燃烧废气参考生物质锅炉，废气</w:t>
            </w:r>
            <w:r>
              <w:rPr>
                <w:rFonts w:hint="default" w:ascii="Times New Roman" w:hAnsi="Times New Roman" w:eastAsia="宋体" w:cs="Times New Roman"/>
                <w:color w:val="auto"/>
                <w:sz w:val="24"/>
                <w:szCs w:val="24"/>
                <w:highlight w:val="none"/>
              </w:rPr>
              <w:t>中SO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rPr>
              <w:t>x</w:t>
            </w:r>
            <w:r>
              <w:rPr>
                <w:rFonts w:hint="default" w:ascii="Times New Roman" w:hAnsi="Times New Roman" w:eastAsia="宋体" w:cs="Times New Roman"/>
                <w:color w:val="auto"/>
                <w:sz w:val="24"/>
                <w:szCs w:val="24"/>
                <w:highlight w:val="none"/>
                <w:lang w:val="en-US" w:eastAsia="zh-CN"/>
              </w:rPr>
              <w:t>排放参照执行河北省《锅炉大气污染物排放标准》</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DB13/5161-2020</w:t>
            </w:r>
            <w:r>
              <w:rPr>
                <w:rFonts w:hint="default" w:ascii="Times New Roman" w:hAnsi="Times New Roman" w:cs="Times New Roman"/>
                <w:color w:val="auto"/>
                <w:sz w:val="24"/>
                <w:szCs w:val="24"/>
                <w:highlight w:val="none"/>
                <w:lang w:val="en-US" w:eastAsia="zh-CN"/>
              </w:rPr>
              <w:t>）表1大气污染物排放限值中燃生物质成型燃料锅炉小于20t/h（14MW）锅炉标准要求</w:t>
            </w:r>
            <w:r>
              <w:rPr>
                <w:rFonts w:hint="default" w:ascii="Times New Roman" w:hAnsi="Times New Roman" w:eastAsia="宋体" w:cs="Times New Roman"/>
                <w:color w:val="auto"/>
                <w:sz w:val="24"/>
                <w:szCs w:val="24"/>
                <w:highlight w:val="none"/>
              </w:rPr>
              <w:t>，即SO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0mg/</w:t>
            </w:r>
            <w:r>
              <w:rPr>
                <w:rFonts w:hint="default" w:ascii="Times New Roman" w:hAnsi="Times New Roman" w:eastAsia="宋体" w:cs="Times New Roman"/>
                <w:color w:val="auto"/>
                <w:sz w:val="24"/>
                <w:szCs w:val="24"/>
                <w:highlight w:val="none"/>
                <w:lang w:eastAsia="zh-CN"/>
              </w:rPr>
              <w:t>m³</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rPr>
              <w:t>x≤</w:t>
            </w:r>
            <w:r>
              <w:rPr>
                <w:rFonts w:hint="default" w:ascii="Times New Roman" w:hAnsi="Times New Roman"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0mg/</w:t>
            </w:r>
            <w:r>
              <w:rPr>
                <w:rFonts w:hint="default" w:ascii="Times New Roman" w:hAnsi="Times New Roman" w:eastAsia="宋体" w:cs="Times New Roman"/>
                <w:color w:val="auto"/>
                <w:sz w:val="24"/>
                <w:szCs w:val="24"/>
                <w:highlight w:val="none"/>
                <w:lang w:eastAsia="zh-CN"/>
              </w:rPr>
              <w:t>m³</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由于生产过程存在热损失，按照热能转换效率80%计算，330万大卡的燃烧机需要热量为412.5万大卡，本项目自产的替代燃烧颗粒最低热值为1434大卡/千克，则每小时需消耗替代燃烧颗粒约2877千克。</w:t>
            </w:r>
          </w:p>
          <w:p w14:paraId="00079285">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根据《排放源统计调查产排污核算方法和系数手册》4430 工业锅炉（热力生产和供应行业）产污系数表-生物质工业锅炉产污系数可知，废气量为6240立方米/吨-原料，则燃烧机燃烧废气量为17952.48立方米/时，年工作小时数为7200时。</w:t>
            </w:r>
          </w:p>
          <w:p w14:paraId="7C586B3E">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auto"/>
                <w:sz w:val="24"/>
                <w:szCs w:val="24"/>
                <w:highlight w:val="none"/>
              </w:rPr>
              <w:t>则</w:t>
            </w:r>
            <w:r>
              <w:rPr>
                <w:rFonts w:hint="default" w:ascii="Times New Roman" w:hAnsi="Times New Roman" w:eastAsia="宋体" w:cs="Times New Roman"/>
                <w:color w:val="auto"/>
                <w:sz w:val="24"/>
                <w:szCs w:val="24"/>
                <w:highlight w:val="none"/>
                <w:lang w:val="en-US" w:eastAsia="zh-CN"/>
              </w:rPr>
              <w:t>大气污染源排放量核算见下表。</w:t>
            </w:r>
          </w:p>
          <w:p w14:paraId="78C4BCBA">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二氧化硫：</w:t>
            </w:r>
            <w:r>
              <w:rPr>
                <w:rFonts w:hint="default" w:ascii="Times New Roman" w:hAnsi="Times New Roman" w:eastAsia="宋体" w:cs="Times New Roman"/>
                <w:color w:val="auto"/>
                <w:sz w:val="24"/>
                <w:szCs w:val="24"/>
                <w:highlight w:val="none"/>
                <w:lang w:val="en-US" w:eastAsia="zh-CN"/>
              </w:rPr>
              <w:t>17952.48</w:t>
            </w:r>
            <w:r>
              <w:rPr>
                <w:rFonts w:hint="default" w:ascii="Times New Roman" w:hAnsi="Times New Roman" w:eastAsia="宋体" w:cs="Times New Roman"/>
                <w:color w:val="000000"/>
                <w:sz w:val="24"/>
                <w:szCs w:val="24"/>
                <w:highlight w:val="none"/>
                <w:lang w:val="en-US" w:eastAsia="zh-CN"/>
              </w:rPr>
              <w:t>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/h×7200h×30</w:t>
            </w:r>
            <w:r>
              <w:rPr>
                <w:rFonts w:hint="default" w:ascii="Times New Roman" w:hAnsi="Times New Roman" w:eastAsia="宋体" w:cs="Times New Roman"/>
                <w:color w:val="000000"/>
                <w:kern w:val="0"/>
                <w:sz w:val="24"/>
                <w:szCs w:val="24"/>
                <w:highlight w:val="none"/>
              </w:rPr>
              <w:t>mg/m</w:t>
            </w:r>
            <w:r>
              <w:rPr>
                <w:rFonts w:hint="default" w:ascii="Times New Roman" w:hAnsi="Times New Roman" w:eastAsia="宋体" w:cs="Times New Roman"/>
                <w:color w:val="000000"/>
                <w:kern w:val="0"/>
                <w:sz w:val="24"/>
                <w:szCs w:val="24"/>
                <w:highlight w:val="none"/>
                <w:vertAlign w:val="superscript"/>
              </w:rPr>
              <w:t>3</w:t>
            </w:r>
            <w:r>
              <w:rPr>
                <w:rFonts w:hint="default" w:ascii="Times New Roman" w:hAnsi="Times New Roman" w:eastAsia="宋体" w:cs="Times New Roman"/>
                <w:color w:val="000000"/>
                <w:kern w:val="0"/>
                <w:sz w:val="24"/>
                <w:szCs w:val="24"/>
                <w:highlight w:val="none"/>
                <w:vertAlign w:val="baseline"/>
                <w:lang w:val="en-US" w:eastAsia="zh-CN"/>
              </w:rPr>
              <w:t>×10</w:t>
            </w:r>
            <w:r>
              <w:rPr>
                <w:rFonts w:hint="default" w:ascii="Times New Roman" w:hAnsi="Times New Roman" w:eastAsia="宋体" w:cs="Times New Roman"/>
                <w:color w:val="000000"/>
                <w:kern w:val="0"/>
                <w:sz w:val="24"/>
                <w:szCs w:val="24"/>
                <w:highlight w:val="none"/>
                <w:vertAlign w:val="superscript"/>
                <w:lang w:val="en-US" w:eastAsia="zh-CN"/>
              </w:rPr>
              <w:t>-9</w:t>
            </w:r>
            <w:r>
              <w:rPr>
                <w:rFonts w:hint="default" w:ascii="Times New Roman" w:hAnsi="Times New Roman" w:eastAsia="宋体" w:cs="Times New Roman"/>
                <w:color w:val="000000"/>
                <w:sz w:val="24"/>
                <w:szCs w:val="24"/>
                <w:highlight w:val="none"/>
                <w:lang w:val="en-US" w:eastAsia="zh-CN"/>
              </w:rPr>
              <w:t>=3.878t/a；</w:t>
            </w:r>
          </w:p>
          <w:p w14:paraId="1A02D95F">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氮氧化物：</w:t>
            </w:r>
            <w:r>
              <w:rPr>
                <w:rFonts w:hint="default" w:ascii="Times New Roman" w:hAnsi="Times New Roman" w:eastAsia="宋体" w:cs="Times New Roman"/>
                <w:color w:val="auto"/>
                <w:sz w:val="24"/>
                <w:szCs w:val="24"/>
                <w:highlight w:val="none"/>
                <w:lang w:val="en-US" w:eastAsia="zh-CN"/>
              </w:rPr>
              <w:t>17952.48</w:t>
            </w:r>
            <w:r>
              <w:rPr>
                <w:rFonts w:hint="default" w:ascii="Times New Roman" w:hAnsi="Times New Roman" w:eastAsia="宋体" w:cs="Times New Roman"/>
                <w:color w:val="000000"/>
                <w:sz w:val="24"/>
                <w:szCs w:val="24"/>
                <w:highlight w:val="none"/>
                <w:lang w:val="en-US" w:eastAsia="zh-CN"/>
              </w:rPr>
              <w:t>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/h×7200h×150</w:t>
            </w:r>
            <w:r>
              <w:rPr>
                <w:rFonts w:hint="default" w:ascii="Times New Roman" w:hAnsi="Times New Roman" w:eastAsia="宋体" w:cs="Times New Roman"/>
                <w:color w:val="000000"/>
                <w:kern w:val="0"/>
                <w:sz w:val="24"/>
                <w:szCs w:val="24"/>
                <w:highlight w:val="none"/>
              </w:rPr>
              <w:t>mg/m</w:t>
            </w:r>
            <w:r>
              <w:rPr>
                <w:rFonts w:hint="default" w:ascii="Times New Roman" w:hAnsi="Times New Roman" w:eastAsia="宋体" w:cs="Times New Roman"/>
                <w:color w:val="000000"/>
                <w:kern w:val="0"/>
                <w:sz w:val="24"/>
                <w:szCs w:val="24"/>
                <w:highlight w:val="none"/>
                <w:vertAlign w:val="superscript"/>
              </w:rPr>
              <w:t>3</w:t>
            </w:r>
            <w:r>
              <w:rPr>
                <w:rFonts w:hint="default" w:ascii="Times New Roman" w:hAnsi="Times New Roman" w:eastAsia="宋体" w:cs="Times New Roman"/>
                <w:color w:val="000000"/>
                <w:kern w:val="0"/>
                <w:sz w:val="24"/>
                <w:szCs w:val="24"/>
                <w:highlight w:val="none"/>
                <w:vertAlign w:val="baseline"/>
                <w:lang w:val="en-US" w:eastAsia="zh-CN"/>
              </w:rPr>
              <w:t>×10</w:t>
            </w:r>
            <w:r>
              <w:rPr>
                <w:rFonts w:hint="default" w:ascii="Times New Roman" w:hAnsi="Times New Roman" w:eastAsia="宋体" w:cs="Times New Roman"/>
                <w:color w:val="000000"/>
                <w:kern w:val="0"/>
                <w:sz w:val="24"/>
                <w:szCs w:val="24"/>
                <w:highlight w:val="none"/>
                <w:vertAlign w:val="superscript"/>
                <w:lang w:val="en-US" w:eastAsia="zh-CN"/>
              </w:rPr>
              <w:t>-9</w:t>
            </w:r>
            <w:r>
              <w:rPr>
                <w:rFonts w:hint="default" w:ascii="Times New Roman" w:hAnsi="Times New Roman" w:eastAsia="宋体" w:cs="Times New Roman"/>
                <w:color w:val="000000"/>
                <w:sz w:val="24"/>
                <w:szCs w:val="24"/>
                <w:highlight w:val="none"/>
                <w:lang w:val="en-US" w:eastAsia="zh-CN"/>
              </w:rPr>
              <w:t>=19.389t/a；</w:t>
            </w:r>
          </w:p>
          <w:p w14:paraId="72CBB70F">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废水</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本项目</w:t>
            </w:r>
            <w:r>
              <w:rPr>
                <w:rFonts w:hint="default" w:ascii="Times New Roman" w:hAnsi="Times New Roman" w:cs="Times New Roman"/>
                <w:color w:val="000000"/>
                <w:sz w:val="24"/>
                <w:szCs w:val="24"/>
                <w:highlight w:val="none"/>
                <w:lang w:val="en-US" w:eastAsia="zh-CN"/>
              </w:rPr>
              <w:t>生产废水全部回用，外排废水仅为职工生活污水，不计入总量</w:t>
            </w:r>
            <w:r>
              <w:rPr>
                <w:rFonts w:hint="default" w:ascii="Times New Roman" w:hAnsi="Times New Roman" w:eastAsia="宋体" w:cs="Times New Roman"/>
                <w:color w:val="000000"/>
                <w:sz w:val="24"/>
                <w:szCs w:val="24"/>
                <w:highlight w:val="none"/>
              </w:rPr>
              <w:t>。</w:t>
            </w:r>
          </w:p>
          <w:p w14:paraId="124B5B2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则本项目总量控制指标为：SO</w:t>
            </w:r>
            <w:r>
              <w:rPr>
                <w:rFonts w:hint="default" w:ascii="Times New Roman" w:hAnsi="Times New Roman" w:eastAsia="宋体" w:cs="Times New Roman"/>
                <w:color w:val="000000"/>
                <w:sz w:val="24"/>
                <w:szCs w:val="24"/>
                <w:highlight w:val="none"/>
                <w:vertAlign w:val="subscript"/>
              </w:rPr>
              <w:t>2</w:t>
            </w:r>
            <w:r>
              <w:rPr>
                <w:rFonts w:hint="default" w:ascii="Times New Roman" w:hAnsi="Times New Roman" w:eastAsia="宋体" w:cs="Times New Roman"/>
                <w:color w:val="000000"/>
                <w:sz w:val="24"/>
                <w:szCs w:val="24"/>
                <w:highlight w:val="none"/>
                <w:lang w:val="en-US" w:eastAsia="zh-CN"/>
              </w:rPr>
              <w:t>3.878</w:t>
            </w:r>
            <w:r>
              <w:rPr>
                <w:rFonts w:hint="default" w:ascii="Times New Roman" w:hAnsi="Times New Roman" w:eastAsia="宋体" w:cs="Times New Roman"/>
                <w:color w:val="000000"/>
                <w:sz w:val="24"/>
                <w:szCs w:val="24"/>
                <w:highlight w:val="none"/>
              </w:rPr>
              <w:t>t/a、NOx</w:t>
            </w:r>
            <w:r>
              <w:rPr>
                <w:rFonts w:hint="default" w:ascii="Times New Roman" w:hAnsi="Times New Roman" w:eastAsia="宋体" w:cs="Times New Roman"/>
                <w:color w:val="000000"/>
                <w:sz w:val="24"/>
                <w:szCs w:val="24"/>
                <w:highlight w:val="none"/>
                <w:lang w:val="en-US" w:eastAsia="zh-CN"/>
              </w:rPr>
              <w:t>19.389</w:t>
            </w:r>
            <w:r>
              <w:rPr>
                <w:rFonts w:hint="default" w:ascii="Times New Roman" w:hAnsi="Times New Roman" w:eastAsia="宋体" w:cs="Times New Roman"/>
                <w:color w:val="000000"/>
                <w:sz w:val="24"/>
                <w:szCs w:val="24"/>
                <w:highlight w:val="none"/>
              </w:rPr>
              <w:t>t/a、COD0t/a、NH</w:t>
            </w:r>
            <w:r>
              <w:rPr>
                <w:rFonts w:hint="default" w:ascii="Times New Roman" w:hAnsi="Times New Roman" w:eastAsia="宋体" w:cs="Times New Roman"/>
                <w:color w:val="000000"/>
                <w:sz w:val="24"/>
                <w:szCs w:val="24"/>
                <w:highlight w:val="none"/>
                <w:vertAlign w:val="subscript"/>
              </w:rPr>
              <w:t>3</w:t>
            </w:r>
            <w:r>
              <w:rPr>
                <w:rFonts w:hint="default" w:ascii="Times New Roman" w:hAnsi="Times New Roman" w:eastAsia="宋体" w:cs="Times New Roman"/>
                <w:color w:val="000000"/>
                <w:sz w:val="24"/>
                <w:szCs w:val="24"/>
                <w:highlight w:val="none"/>
              </w:rPr>
              <w:t>-N0t/a</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其他污染物预测排放量：颗粒物7.05t/a、汞0.004t/a、氨1.338t/a、硫化氢0.052t/a</w:t>
            </w:r>
            <w:r>
              <w:rPr>
                <w:rFonts w:hint="default" w:ascii="Times New Roman" w:hAnsi="Times New Roman" w:eastAsia="宋体" w:cs="Times New Roman"/>
                <w:color w:val="000000"/>
                <w:sz w:val="24"/>
                <w:szCs w:val="24"/>
                <w:highlight w:val="none"/>
              </w:rPr>
              <w:t>。</w:t>
            </w:r>
          </w:p>
          <w:p w14:paraId="1E1A8C8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textAlignment w:val="auto"/>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p>
          <w:p w14:paraId="169463D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textAlignment w:val="auto"/>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p>
          <w:p w14:paraId="1C7752E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textAlignment w:val="auto"/>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p>
          <w:p w14:paraId="4D3977A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textAlignment w:val="auto"/>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p>
        </w:tc>
      </w:tr>
    </w:tbl>
    <w:p w14:paraId="50F5F508">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4"/>
          <w:szCs w:val="24"/>
          <w:highlight w:val="none"/>
          <w14:textFill>
            <w14:solidFill>
              <w14:schemeClr w14:val="tx1"/>
            </w14:solidFill>
          </w14:textFill>
        </w:rPr>
      </w:pPr>
      <w:r>
        <w:rPr>
          <w:rFonts w:hint="default" w:ascii="Times New Roman" w:hAnsi="Times New Roman" w:eastAsia="黑体" w:cs="Times New Roman"/>
          <w:snapToGrid w:val="0"/>
          <w:color w:val="000000" w:themeColor="text1"/>
          <w:spacing w:val="0"/>
          <w:sz w:val="24"/>
          <w:szCs w:val="24"/>
          <w:highlight w:val="green"/>
          <w14:textFill>
            <w14:solidFill>
              <w14:schemeClr w14:val="tx1"/>
            </w14:solidFill>
          </w14:textFill>
        </w:rPr>
        <w:br w:type="page"/>
      </w:r>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四、主要环境影响和保护措施</w:t>
      </w:r>
    </w:p>
    <w:tbl>
      <w:tblPr>
        <w:tblStyle w:val="30"/>
        <w:tblW w:w="89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555"/>
      </w:tblGrid>
      <w:tr w14:paraId="49360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9" w:hRule="atLeast"/>
          <w:jc w:val="center"/>
        </w:trPr>
        <w:tc>
          <w:tcPr>
            <w:tcW w:w="425" w:type="dxa"/>
            <w:noWrap w:val="0"/>
            <w:tcMar>
              <w:left w:w="28" w:type="dxa"/>
              <w:right w:w="28" w:type="dxa"/>
            </w:tcMar>
            <w:vAlign w:val="center"/>
          </w:tcPr>
          <w:p w14:paraId="57762385">
            <w:pPr>
              <w:pStyle w:val="26"/>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kern w:val="2"/>
                <w:sz w:val="24"/>
                <w:szCs w:val="24"/>
                <w:highlight w:val="none"/>
                <w14:textFill>
                  <w14:solidFill>
                    <w14:schemeClr w14:val="tx1"/>
                  </w14:solidFill>
                </w14:textFill>
              </w:rPr>
              <w:t>施工期环境保护措施</w:t>
            </w:r>
          </w:p>
        </w:tc>
        <w:tc>
          <w:tcPr>
            <w:tcW w:w="8555" w:type="dxa"/>
            <w:noWrap w:val="0"/>
            <w:vAlign w:val="center"/>
          </w:tcPr>
          <w:p w14:paraId="434526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本项目利用现有车间，仅涉及少量设备安装，不涉及土方等施工，因此施工期对环境影响较小</w:t>
            </w:r>
            <w:r>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t>，不再分析施工期环境影响</w:t>
            </w: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w:t>
            </w:r>
          </w:p>
        </w:tc>
      </w:tr>
      <w:tr w14:paraId="10CD4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5" w:type="dxa"/>
            <w:noWrap w:val="0"/>
            <w:tcMar>
              <w:left w:w="28" w:type="dxa"/>
              <w:right w:w="28" w:type="dxa"/>
            </w:tcMar>
            <w:vAlign w:val="center"/>
          </w:tcPr>
          <w:p w14:paraId="2DE9D932">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t>运营</w:t>
            </w:r>
          </w:p>
          <w:p w14:paraId="0C2E0442">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t>期环</w:t>
            </w:r>
          </w:p>
          <w:p w14:paraId="1C460C3D">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t>境影</w:t>
            </w:r>
          </w:p>
          <w:p w14:paraId="0E019E7F">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t>响和</w:t>
            </w:r>
          </w:p>
          <w:p w14:paraId="38021767">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t>保护</w:t>
            </w:r>
          </w:p>
          <w:p w14:paraId="04D11FC6">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14:textFill>
                  <w14:solidFill>
                    <w14:schemeClr w14:val="tx1"/>
                  </w14:solidFill>
                </w14:textFill>
              </w:rPr>
              <w:t>措施</w:t>
            </w:r>
          </w:p>
        </w:tc>
        <w:tc>
          <w:tcPr>
            <w:tcW w:w="8555" w:type="dxa"/>
            <w:noWrap w:val="0"/>
            <w:vAlign w:val="center"/>
          </w:tcPr>
          <w:p w14:paraId="325F874C">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rightChars="0" w:firstLine="482" w:firstLineChars="200"/>
              <w:textAlignment w:val="auto"/>
              <w:rPr>
                <w:rFonts w:hint="default" w:ascii="Times New Roman" w:hAnsi="Times New Roman" w:eastAsia="宋体" w:cs="Times New Roman"/>
                <w:b/>
                <w:bCs/>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4"/>
                <w:szCs w:val="24"/>
                <w:highlight w:val="none"/>
                <w:lang w:val="en-US" w:eastAsia="zh-CN"/>
                <w14:textFill>
                  <w14:solidFill>
                    <w14:schemeClr w14:val="tx1"/>
                  </w14:solidFill>
                </w14:textFill>
              </w:rPr>
              <w:t>1、废气</w:t>
            </w:r>
          </w:p>
          <w:p w14:paraId="5E864624">
            <w:pPr>
              <w:pStyle w:val="12"/>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本项目运营期</w:t>
            </w:r>
            <w:r>
              <w:rPr>
                <w:rFonts w:hint="default" w:ascii="Times New Roman" w:hAnsi="Times New Roman" w:cs="Times New Roman"/>
                <w:color w:val="000000"/>
                <w:kern w:val="2"/>
                <w:sz w:val="24"/>
                <w:szCs w:val="24"/>
                <w:highlight w:val="none"/>
                <w:lang w:val="en-US" w:eastAsia="zh-CN" w:bidi="ar-SA"/>
              </w:rPr>
              <w:t>有组织</w:t>
            </w:r>
            <w:r>
              <w:rPr>
                <w:rFonts w:hint="default" w:ascii="Times New Roman" w:hAnsi="Times New Roman" w:eastAsia="宋体" w:cs="Times New Roman"/>
                <w:color w:val="000000"/>
                <w:kern w:val="2"/>
                <w:sz w:val="24"/>
                <w:szCs w:val="24"/>
                <w:highlight w:val="none"/>
                <w:lang w:val="en-US" w:eastAsia="zh-CN" w:bidi="ar-SA"/>
              </w:rPr>
              <w:t>废气主要</w:t>
            </w:r>
            <w:r>
              <w:rPr>
                <w:rFonts w:hint="default" w:ascii="Times New Roman" w:hAnsi="Times New Roman" w:cs="Times New Roman"/>
                <w:color w:val="000000"/>
                <w:kern w:val="2"/>
                <w:sz w:val="24"/>
                <w:szCs w:val="24"/>
                <w:highlight w:val="none"/>
                <w:lang w:val="en-US" w:eastAsia="zh-CN" w:bidi="ar-SA"/>
              </w:rPr>
              <w:t>有四种：固废烘干生产线烘干废气，固废烘干生产线替代颗粒燃烧废气，营养土生产线物料堆存、发酵废气，免烧砖生产线废气，无组织排放废气为原料卸料、储存过程产生的废气</w:t>
            </w:r>
            <w:r>
              <w:rPr>
                <w:rFonts w:hint="default" w:ascii="Times New Roman" w:hAnsi="Times New Roman" w:eastAsia="宋体" w:cs="Times New Roman"/>
                <w:color w:val="000000"/>
                <w:kern w:val="2"/>
                <w:sz w:val="24"/>
                <w:szCs w:val="24"/>
                <w:highlight w:val="none"/>
                <w:lang w:val="en-US" w:eastAsia="zh-CN" w:bidi="ar-SA"/>
              </w:rPr>
              <w:t>。</w:t>
            </w:r>
          </w:p>
          <w:p w14:paraId="12BBA28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（一）营养土生产线废气</w:t>
            </w:r>
          </w:p>
          <w:p w14:paraId="76C3575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项目湿料库原料储存废气、营养土发酵废气、污水处理站恶臭气体经收集后引至同一套</w:t>
            </w:r>
            <w:r>
              <w:rPr>
                <w:rFonts w:hint="default" w:ascii="Times New Roman" w:hAnsi="Times New Roman" w:cs="Times New Roman"/>
                <w:color w:val="auto"/>
                <w:kern w:val="24"/>
                <w:sz w:val="24"/>
                <w:szCs w:val="24"/>
                <w:highlight w:val="none"/>
                <w:lang w:eastAsia="zh-CN"/>
              </w:rPr>
              <w:t>“</w:t>
            </w:r>
            <w:r>
              <w:rPr>
                <w:rFonts w:hint="default" w:ascii="Times New Roman" w:hAnsi="Times New Roman" w:eastAsia="宋体" w:cs="Times New Roman"/>
                <w:color w:val="auto"/>
                <w:sz w:val="24"/>
                <w:lang w:val="en-US" w:eastAsia="zh-CN"/>
              </w:rPr>
              <w:t>生物除臭塔+</w:t>
            </w:r>
            <w:r>
              <w:rPr>
                <w:rFonts w:hint="default" w:ascii="Times New Roman" w:hAnsi="Times New Roman" w:cs="Times New Roman"/>
                <w:color w:val="auto"/>
                <w:kern w:val="24"/>
                <w:sz w:val="24"/>
                <w:szCs w:val="24"/>
                <w:highlight w:val="none"/>
                <w:lang w:val="en-US" w:eastAsia="zh-CN"/>
              </w:rPr>
              <w:t>活性炭吸附”装置进行处理，处理后废气经15m高排气筒DA001排放。</w:t>
            </w:r>
          </w:p>
          <w:p w14:paraId="48AC00C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本项目原料</w:t>
            </w:r>
            <w:r>
              <w:rPr>
                <w:rFonts w:hint="default" w:ascii="Times New Roman" w:hAnsi="Times New Roman" w:cs="Times New Roman"/>
                <w:color w:val="auto"/>
                <w:sz w:val="24"/>
                <w:szCs w:val="24"/>
                <w:highlight w:val="none"/>
                <w:lang w:eastAsia="zh-CN"/>
              </w:rPr>
              <w:t>酒糟、畜禽粪污、城镇污水污泥、</w:t>
            </w:r>
            <w:r>
              <w:rPr>
                <w:rFonts w:hint="default" w:ascii="Times New Roman" w:hAnsi="Times New Roman" w:cs="Times New Roman"/>
                <w:color w:val="auto"/>
                <w:sz w:val="24"/>
                <w:szCs w:val="24"/>
                <w:highlight w:val="none"/>
                <w:lang w:val="en-US" w:eastAsia="zh-CN"/>
              </w:rPr>
              <w:t>清淤污泥</w:t>
            </w:r>
            <w:r>
              <w:rPr>
                <w:rFonts w:hint="default" w:ascii="Times New Roman" w:hAnsi="Times New Roman" w:cs="Times New Roman"/>
                <w:color w:val="auto"/>
                <w:sz w:val="24"/>
                <w:szCs w:val="24"/>
                <w:highlight w:val="none"/>
                <w:lang w:eastAsia="zh-CN"/>
              </w:rPr>
              <w:t>、糖渣、中药渣</w:t>
            </w:r>
            <w:r>
              <w:rPr>
                <w:rFonts w:hint="default" w:ascii="Times New Roman" w:hAnsi="Times New Roman" w:cs="Times New Roman"/>
                <w:color w:val="auto"/>
                <w:sz w:val="24"/>
                <w:szCs w:val="24"/>
                <w:highlight w:val="none"/>
                <w:lang w:val="en-US" w:eastAsia="zh-CN"/>
              </w:rPr>
              <w:t>等储存在湿原料库内，</w:t>
            </w:r>
            <w:r>
              <w:rPr>
                <w:rFonts w:hint="default" w:ascii="Times New Roman" w:hAnsi="Times New Roman" w:cs="Times New Roman"/>
                <w:color w:val="auto"/>
                <w:sz w:val="24"/>
                <w:szCs w:val="24"/>
                <w:lang w:val="en-US" w:eastAsia="zh-CN"/>
              </w:rPr>
              <w:t>储存量</w:t>
            </w:r>
            <w:r>
              <w:rPr>
                <w:rFonts w:hint="default" w:ascii="Times New Roman" w:hAnsi="Times New Roman" w:cs="Times New Roman"/>
                <w:color w:val="auto"/>
                <w:kern w:val="24"/>
                <w:sz w:val="24"/>
                <w:szCs w:val="24"/>
                <w:highlight w:val="none"/>
                <w:lang w:val="en-US" w:eastAsia="zh-CN"/>
              </w:rPr>
              <w:t>合计</w:t>
            </w:r>
            <w:r>
              <w:rPr>
                <w:rFonts w:hint="default" w:ascii="Times New Roman" w:hAnsi="Times New Roman" w:cs="Times New Roman"/>
                <w:color w:val="auto"/>
                <w:kern w:val="24"/>
                <w:sz w:val="24"/>
                <w:szCs w:val="24"/>
                <w:highlight w:val="none"/>
                <w:lang w:eastAsia="zh-CN"/>
              </w:rPr>
              <w:t>为</w:t>
            </w:r>
            <w:r>
              <w:rPr>
                <w:rFonts w:hint="default" w:ascii="Times New Roman" w:hAnsi="Times New Roman" w:cs="Times New Roman"/>
                <w:color w:val="auto"/>
                <w:kern w:val="24"/>
                <w:sz w:val="24"/>
                <w:szCs w:val="24"/>
                <w:highlight w:val="none"/>
                <w:lang w:val="en-US" w:eastAsia="zh-CN"/>
              </w:rPr>
              <w:t>273500t，</w:t>
            </w:r>
            <w:r>
              <w:rPr>
                <w:rFonts w:hint="default" w:ascii="Times New Roman" w:hAnsi="Times New Roman" w:cs="Times New Roman"/>
                <w:color w:val="auto"/>
                <w:sz w:val="24"/>
                <w:szCs w:val="24"/>
                <w:lang w:val="en-US" w:eastAsia="zh-CN"/>
              </w:rPr>
              <w:t>存储于湿原料库，在堆存过程中会产生恶臭</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rPr>
              <w:t>NH</w:t>
            </w:r>
            <w:r>
              <w:rPr>
                <w:rFonts w:hint="default" w:ascii="Times New Roman" w:hAnsi="Times New Roman" w:eastAsia="宋体" w:cs="Times New Roman"/>
                <w:color w:val="auto"/>
                <w:sz w:val="24"/>
                <w:szCs w:val="24"/>
                <w:vertAlign w:val="subscript"/>
              </w:rPr>
              <w:t>3</w:t>
            </w:r>
            <w:r>
              <w:rPr>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sz w:val="24"/>
                <w:szCs w:val="24"/>
              </w:rPr>
              <w:t>H</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S</w:t>
            </w:r>
            <w:r>
              <w:rPr>
                <w:rFonts w:hint="default" w:ascii="Times New Roman" w:hAnsi="Times New Roman" w:eastAsia="宋体" w:cs="Times New Roman"/>
                <w:color w:val="auto"/>
                <w:sz w:val="24"/>
                <w:szCs w:val="24"/>
                <w:lang w:eastAsia="zh-CN"/>
              </w:rPr>
              <w:t>、臭气浓度</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kern w:val="0"/>
                <w:sz w:val="24"/>
                <w:lang w:val="en-US" w:eastAsia="zh-CN"/>
              </w:rPr>
              <w:t>根据设计单位提供资料，臭气产生量占原料量的百万分之一，其中，NH</w:t>
            </w:r>
            <w:r>
              <w:rPr>
                <w:rFonts w:hint="default" w:ascii="Times New Roman" w:hAnsi="Times New Roman" w:cs="Times New Roman"/>
                <w:color w:val="auto"/>
                <w:kern w:val="0"/>
                <w:sz w:val="24"/>
                <w:vertAlign w:val="subscript"/>
                <w:lang w:val="en-US" w:eastAsia="zh-CN"/>
              </w:rPr>
              <w:t>3</w:t>
            </w:r>
            <w:r>
              <w:rPr>
                <w:rFonts w:hint="default" w:ascii="Times New Roman" w:hAnsi="Times New Roman" w:cs="Times New Roman"/>
                <w:color w:val="auto"/>
                <w:kern w:val="0"/>
                <w:sz w:val="24"/>
                <w:lang w:val="en-US" w:eastAsia="zh-CN"/>
              </w:rPr>
              <w:t>占90%，则本项目</w:t>
            </w:r>
            <w:r>
              <w:rPr>
                <w:rFonts w:hint="default" w:ascii="Times New Roman" w:hAnsi="Times New Roman" w:cs="Times New Roman"/>
                <w:bCs/>
                <w:color w:val="auto"/>
                <w:kern w:val="0"/>
                <w:sz w:val="24"/>
              </w:rPr>
              <w:t>NH</w:t>
            </w:r>
            <w:r>
              <w:rPr>
                <w:rFonts w:hint="default" w:ascii="Times New Roman" w:hAnsi="Times New Roman" w:cs="Times New Roman"/>
                <w:bCs/>
                <w:color w:val="auto"/>
                <w:kern w:val="0"/>
                <w:sz w:val="24"/>
                <w:vertAlign w:val="subscript"/>
              </w:rPr>
              <w:t>3</w:t>
            </w:r>
            <w:r>
              <w:rPr>
                <w:rFonts w:hint="default" w:ascii="Times New Roman" w:hAnsi="Times New Roman" w:cs="Times New Roman"/>
                <w:bCs/>
                <w:color w:val="auto"/>
                <w:kern w:val="0"/>
                <w:sz w:val="24"/>
              </w:rPr>
              <w:t>产生</w:t>
            </w:r>
            <w:r>
              <w:rPr>
                <w:rFonts w:hint="default" w:ascii="Times New Roman" w:hAnsi="Times New Roman" w:cs="Times New Roman"/>
                <w:bCs/>
                <w:color w:val="auto"/>
                <w:kern w:val="0"/>
                <w:sz w:val="24"/>
                <w:lang w:val="en-US" w:eastAsia="zh-CN"/>
              </w:rPr>
              <w:t>量为0.1854t/a，H</w:t>
            </w:r>
            <w:r>
              <w:rPr>
                <w:rFonts w:hint="default" w:ascii="Times New Roman" w:hAnsi="Times New Roman" w:cs="Times New Roman"/>
                <w:bCs/>
                <w:color w:val="auto"/>
                <w:kern w:val="0"/>
                <w:sz w:val="24"/>
                <w:vertAlign w:val="subscript"/>
                <w:lang w:val="en-US" w:eastAsia="zh-CN"/>
              </w:rPr>
              <w:t>2</w:t>
            </w:r>
            <w:r>
              <w:rPr>
                <w:rFonts w:hint="default" w:ascii="Times New Roman" w:hAnsi="Times New Roman" w:cs="Times New Roman"/>
                <w:bCs/>
                <w:color w:val="auto"/>
                <w:kern w:val="0"/>
                <w:sz w:val="24"/>
                <w:lang w:val="en-US" w:eastAsia="zh-CN"/>
              </w:rPr>
              <w:t>S</w:t>
            </w:r>
            <w:r>
              <w:rPr>
                <w:rFonts w:hint="default" w:ascii="Times New Roman" w:hAnsi="Times New Roman" w:cs="Times New Roman"/>
                <w:bCs/>
                <w:color w:val="auto"/>
                <w:kern w:val="0"/>
                <w:sz w:val="24"/>
              </w:rPr>
              <w:t>产生</w:t>
            </w:r>
            <w:r>
              <w:rPr>
                <w:rFonts w:hint="default" w:ascii="Times New Roman" w:hAnsi="Times New Roman" w:cs="Times New Roman"/>
                <w:bCs/>
                <w:color w:val="auto"/>
                <w:kern w:val="0"/>
                <w:sz w:val="24"/>
                <w:lang w:val="en-US" w:eastAsia="zh-CN"/>
              </w:rPr>
              <w:t>量为0.0206t/a</w:t>
            </w:r>
            <w:r>
              <w:rPr>
                <w:rFonts w:hint="default" w:ascii="Times New Roman" w:hAnsi="Times New Roman" w:cs="Times New Roman"/>
                <w:bCs/>
                <w:color w:val="auto"/>
                <w:kern w:val="0"/>
                <w:sz w:val="24"/>
              </w:rPr>
              <w:t>。</w:t>
            </w:r>
            <w:r>
              <w:rPr>
                <w:rFonts w:hint="default"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lang w:val="en-US" w:eastAsia="zh-CN"/>
              </w:rPr>
              <w:t>湿料原料库全封闭</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顶部设置喷淋系统</w:t>
            </w:r>
            <w:r>
              <w:rPr>
                <w:rFonts w:hint="default" w:ascii="Times New Roman" w:hAnsi="Times New Roman" w:eastAsia="宋体" w:cs="Times New Roman"/>
                <w:color w:val="auto"/>
                <w:sz w:val="24"/>
                <w:szCs w:val="24"/>
                <w:highlight w:val="none"/>
                <w:lang w:eastAsia="zh-CN"/>
              </w:rPr>
              <w:t>定期喷洒除臭剂</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车间墙壁设置吸风口</w:t>
            </w:r>
            <w:r>
              <w:rPr>
                <w:rFonts w:hint="eastAsia" w:cs="Times New Roman"/>
                <w:color w:val="auto"/>
                <w:sz w:val="24"/>
                <w:szCs w:val="24"/>
                <w:highlight w:val="none"/>
                <w:lang w:val="en-US" w:eastAsia="zh-CN"/>
              </w:rPr>
              <w:t>，将</w:t>
            </w:r>
            <w:r>
              <w:rPr>
                <w:rFonts w:hint="default" w:ascii="Times New Roman" w:hAnsi="Times New Roman" w:cs="Times New Roman"/>
                <w:color w:val="auto"/>
                <w:sz w:val="24"/>
                <w:lang w:eastAsia="zh-CN"/>
              </w:rPr>
              <w:t>收集的废气引入一套</w:t>
            </w:r>
            <w:r>
              <w:rPr>
                <w:rFonts w:hint="default" w:ascii="Times New Roman" w:hAnsi="Times New Roman" w:cs="Times New Roman"/>
                <w:color w:val="auto"/>
                <w:sz w:val="24"/>
                <w:lang w:val="en-US" w:eastAsia="zh-CN"/>
              </w:rPr>
              <w:t>废气处理装置。</w:t>
            </w:r>
          </w:p>
          <w:p w14:paraId="0D933D6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FF0000"/>
                <w:sz w:val="24"/>
                <w:szCs w:val="24"/>
                <w:highlight w:val="none"/>
                <w:lang w:eastAsia="zh-CN"/>
              </w:rPr>
            </w:pPr>
            <w:r>
              <w:rPr>
                <w:rFonts w:hint="default" w:ascii="Times New Roman" w:hAnsi="Times New Roman" w:cs="Times New Roman"/>
                <w:color w:val="auto"/>
                <w:sz w:val="24"/>
                <w:szCs w:val="24"/>
                <w:highlight w:val="none"/>
                <w:lang w:eastAsia="zh-CN"/>
              </w:rPr>
              <w:t>本项目污水处理站会产生恶臭气体，所有池体加盖密封，定期投加除臭剂，并设集气管，废气经引风管</w:t>
            </w:r>
            <w:r>
              <w:rPr>
                <w:rFonts w:hint="default" w:ascii="Times New Roman" w:hAnsi="Times New Roman" w:cs="Times New Roman"/>
                <w:color w:val="auto"/>
                <w:sz w:val="24"/>
                <w:szCs w:val="24"/>
                <w:highlight w:val="none"/>
                <w:lang w:val="en-US" w:eastAsia="zh-CN"/>
              </w:rPr>
              <w:t>引入</w:t>
            </w:r>
            <w:r>
              <w:rPr>
                <w:rFonts w:hint="default" w:ascii="Times New Roman" w:hAnsi="Times New Roman" w:cs="Times New Roman"/>
                <w:color w:val="auto"/>
                <w:kern w:val="24"/>
                <w:sz w:val="24"/>
                <w:szCs w:val="24"/>
                <w:highlight w:val="none"/>
                <w:lang w:eastAsia="zh-CN"/>
              </w:rPr>
              <w:t>“</w:t>
            </w:r>
            <w:r>
              <w:rPr>
                <w:rFonts w:hint="default" w:ascii="Times New Roman" w:hAnsi="Times New Roman" w:eastAsia="宋体" w:cs="Times New Roman"/>
                <w:color w:val="auto"/>
                <w:sz w:val="24"/>
                <w:lang w:val="en-US" w:eastAsia="zh-CN"/>
              </w:rPr>
              <w:t>生物除臭塔+</w:t>
            </w:r>
            <w:r>
              <w:rPr>
                <w:rFonts w:hint="default" w:ascii="Times New Roman" w:hAnsi="Times New Roman" w:cs="Times New Roman"/>
                <w:color w:val="auto"/>
                <w:kern w:val="24"/>
                <w:sz w:val="24"/>
                <w:szCs w:val="24"/>
                <w:highlight w:val="none"/>
                <w:lang w:val="en-US" w:eastAsia="zh-CN"/>
              </w:rPr>
              <w:t>活性炭吸附”装置进行处理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参考美国EPA对城市污水处理厂恶臭污染物产生情况的研究，每处理1g的BOD</w:t>
            </w:r>
            <w:r>
              <w:rPr>
                <w:rFonts w:hint="default" w:ascii="Times New Roman" w:hAnsi="Times New Roman" w:eastAsia="宋体" w:cs="Times New Roman"/>
                <w:color w:val="auto"/>
                <w:sz w:val="24"/>
                <w:szCs w:val="24"/>
                <w:highlight w:val="none"/>
                <w:vertAlign w:val="subscript"/>
                <w:lang w:val="en-US" w:eastAsia="zh-CN"/>
              </w:rPr>
              <w:t>5</w:t>
            </w:r>
            <w:r>
              <w:rPr>
                <w:rFonts w:hint="default" w:ascii="Times New Roman" w:hAnsi="Times New Roman" w:eastAsia="宋体" w:cs="Times New Roman"/>
                <w:color w:val="auto"/>
                <w:sz w:val="24"/>
                <w:szCs w:val="24"/>
                <w:highlight w:val="none"/>
              </w:rPr>
              <w:t>可产生0.0031g的NH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rPr>
              <w:t>和0.00012g的H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rPr>
              <w:t>S，本项目污水处理</w:t>
            </w:r>
            <w:r>
              <w:rPr>
                <w:rFonts w:hint="default" w:ascii="Times New Roman" w:hAnsi="Times New Roman" w:cs="Times New Roman"/>
                <w:color w:val="auto"/>
                <w:sz w:val="24"/>
                <w:szCs w:val="24"/>
                <w:highlight w:val="none"/>
                <w:lang w:eastAsia="zh-CN"/>
              </w:rPr>
              <w:t>站</w:t>
            </w:r>
            <w:r>
              <w:rPr>
                <w:rFonts w:hint="default" w:ascii="Times New Roman" w:hAnsi="Times New Roman" w:eastAsia="宋体" w:cs="Times New Roman"/>
                <w:color w:val="auto"/>
                <w:sz w:val="24"/>
                <w:szCs w:val="24"/>
                <w:highlight w:val="none"/>
                <w:lang w:eastAsia="zh-CN"/>
              </w:rPr>
              <w:t>年</w:t>
            </w:r>
            <w:r>
              <w:rPr>
                <w:rFonts w:hint="default" w:ascii="Times New Roman" w:hAnsi="Times New Roman" w:eastAsia="宋体" w:cs="Times New Roman"/>
                <w:color w:val="auto"/>
                <w:sz w:val="24"/>
                <w:szCs w:val="24"/>
                <w:highlight w:val="none"/>
              </w:rPr>
              <w:t>处理污水量为</w:t>
            </w:r>
            <w:r>
              <w:rPr>
                <w:rFonts w:hint="default" w:ascii="Times New Roman" w:hAnsi="Times New Roman" w:cs="Times New Roman"/>
                <w:color w:val="auto"/>
                <w:sz w:val="24"/>
                <w:highlight w:val="none"/>
                <w:lang w:val="en-US" w:eastAsia="zh-CN"/>
              </w:rPr>
              <w:t>8814</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rPr>
              <w:t>/a，BOD</w:t>
            </w:r>
            <w:r>
              <w:rPr>
                <w:rFonts w:hint="default" w:ascii="Times New Roman" w:hAnsi="Times New Roman" w:eastAsia="宋体" w:cs="Times New Roman"/>
                <w:color w:val="auto"/>
                <w:sz w:val="24"/>
                <w:szCs w:val="24"/>
                <w:highlight w:val="none"/>
                <w:vertAlign w:val="subscript"/>
                <w:lang w:val="en-US" w:eastAsia="zh-CN"/>
              </w:rPr>
              <w:t>5</w:t>
            </w:r>
            <w:r>
              <w:rPr>
                <w:rFonts w:hint="default" w:ascii="Times New Roman" w:hAnsi="Times New Roman" w:cs="Times New Roman"/>
                <w:color w:val="auto"/>
                <w:sz w:val="24"/>
                <w:szCs w:val="24"/>
                <w:highlight w:val="none"/>
                <w:lang w:eastAsia="zh-CN"/>
              </w:rPr>
              <w:t>的处理量为</w:t>
            </w:r>
            <w:r>
              <w:rPr>
                <w:rFonts w:hint="default" w:ascii="Times New Roman" w:hAnsi="Times New Roman" w:cs="Times New Roman"/>
                <w:color w:val="auto"/>
                <w:sz w:val="24"/>
                <w:szCs w:val="24"/>
                <w:highlight w:val="none"/>
                <w:lang w:val="en-US" w:eastAsia="zh-CN"/>
              </w:rPr>
              <w:t>2.753t/a，</w:t>
            </w:r>
            <w:r>
              <w:rPr>
                <w:rFonts w:hint="default" w:ascii="Times New Roman" w:hAnsi="Times New Roman" w:eastAsia="宋体" w:cs="Times New Roman"/>
                <w:color w:val="auto"/>
                <w:sz w:val="24"/>
                <w:szCs w:val="24"/>
                <w:highlight w:val="none"/>
              </w:rPr>
              <w:t>经计算，污水处理站NH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rPr>
              <w:t>、H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rPr>
              <w:t>S产生量分别为</w:t>
            </w:r>
            <w:r>
              <w:rPr>
                <w:rFonts w:hint="default" w:ascii="Times New Roman" w:hAnsi="Times New Roman" w:cs="Times New Roman"/>
                <w:color w:val="auto"/>
                <w:sz w:val="24"/>
                <w:szCs w:val="24"/>
                <w:highlight w:val="none"/>
                <w:lang w:val="en-US" w:eastAsia="zh-CN"/>
              </w:rPr>
              <w:t>0.009</w:t>
            </w:r>
            <w:r>
              <w:rPr>
                <w:rFonts w:hint="default" w:ascii="Times New Roman" w:hAnsi="Times New Roman" w:cs="Times New Roman"/>
                <w:color w:val="auto"/>
                <w:sz w:val="24"/>
                <w:szCs w:val="24"/>
                <w:highlight w:val="none"/>
                <w:vertAlign w:val="baseline"/>
                <w:lang w:val="en-US" w:eastAsia="zh-CN"/>
              </w:rPr>
              <w:t>t</w:t>
            </w:r>
            <w:r>
              <w:rPr>
                <w:rFonts w:hint="default"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cs="Times New Roman"/>
                <w:color w:val="auto"/>
                <w:sz w:val="24"/>
                <w:szCs w:val="24"/>
                <w:highlight w:val="none"/>
                <w:vertAlign w:val="baseline"/>
                <w:lang w:val="en-US" w:eastAsia="zh-CN"/>
              </w:rPr>
              <w:t>a</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0.0003</w:t>
            </w:r>
            <w:r>
              <w:rPr>
                <w:rFonts w:hint="default" w:ascii="Times New Roman" w:hAnsi="Times New Roman" w:cs="Times New Roman"/>
                <w:color w:val="auto"/>
                <w:sz w:val="24"/>
                <w:szCs w:val="24"/>
                <w:highlight w:val="none"/>
                <w:vertAlign w:val="baseline"/>
                <w:lang w:val="en-US" w:eastAsia="zh-CN"/>
              </w:rPr>
              <w:t>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eastAsia="zh-CN"/>
              </w:rPr>
              <w:t>。</w:t>
            </w:r>
          </w:p>
          <w:p w14:paraId="731F158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color w:val="auto"/>
                <w:sz w:val="24"/>
                <w:szCs w:val="24"/>
                <w:lang w:val="en-US" w:eastAsia="zh-CN"/>
              </w:rPr>
              <w:t>本项目设置营养土生产线一条，采用发酵池发酵，年产营养土14万吨，发酵池在发酵过</w:t>
            </w:r>
            <w:r>
              <w:rPr>
                <w:rFonts w:hint="eastAsia" w:cs="Times New Roman"/>
                <w:color w:val="auto"/>
                <w:sz w:val="24"/>
                <w:szCs w:val="24"/>
                <w:lang w:val="en-US" w:eastAsia="zh-CN"/>
              </w:rPr>
              <w:t>程中</w:t>
            </w:r>
            <w:r>
              <w:rPr>
                <w:rFonts w:hint="default" w:ascii="Times New Roman" w:hAnsi="Times New Roman" w:cs="Times New Roman"/>
                <w:color w:val="auto"/>
                <w:sz w:val="24"/>
                <w:szCs w:val="24"/>
                <w:lang w:val="en-US" w:eastAsia="zh-CN"/>
              </w:rPr>
              <w:t>会有臭气产生，参考2019年4月发布的第二次全国污染源普查工作配套发放的工业源系数手册（试用版）中的《2625有机肥料及微生物废料制造行业系数手册》熟化过程中非罐式发酵NH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的产污系数为0.073kg/t-产品，则本项目NH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的产生量为10.22t/a。NH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和H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S二者的产生量具有一定关联性，一般情况NH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S=20:1~3:1，由于本项目为好氧发酵，好氧条件下NH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产生量较多，而H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S产生量较少，以NH</w:t>
            </w:r>
            <w:r>
              <w:rPr>
                <w:rFonts w:hint="default" w:ascii="Times New Roman" w:hAnsi="Times New Roman" w:cs="Times New Roman"/>
                <w:color w:val="auto"/>
                <w:sz w:val="24"/>
                <w:szCs w:val="24"/>
                <w:vertAlign w:val="subscript"/>
                <w:lang w:val="en-US" w:eastAsia="zh-CN"/>
              </w:rPr>
              <w:t>3</w:t>
            </w:r>
            <w:r>
              <w:rPr>
                <w:rFonts w:hint="default" w:ascii="Times New Roman" w:hAnsi="Times New Roman" w:cs="Times New Roman"/>
                <w:color w:val="auto"/>
                <w:sz w:val="24"/>
                <w:szCs w:val="24"/>
                <w:lang w:val="en-US" w:eastAsia="zh-CN"/>
              </w:rPr>
              <w:t>的1/20估算发酵期间H</w:t>
            </w:r>
            <w:r>
              <w:rPr>
                <w:rFonts w:hint="default" w:ascii="Times New Roman" w:hAnsi="Times New Roman" w:cs="Times New Roman"/>
                <w:color w:val="auto"/>
                <w:sz w:val="24"/>
                <w:szCs w:val="24"/>
                <w:vertAlign w:val="subscript"/>
                <w:lang w:val="en-US" w:eastAsia="zh-CN"/>
              </w:rPr>
              <w:t>2</w:t>
            </w:r>
            <w:r>
              <w:rPr>
                <w:rFonts w:hint="default" w:ascii="Times New Roman" w:hAnsi="Times New Roman" w:cs="Times New Roman"/>
                <w:color w:val="auto"/>
                <w:sz w:val="24"/>
                <w:szCs w:val="24"/>
                <w:lang w:val="en-US" w:eastAsia="zh-CN"/>
              </w:rPr>
              <w:t>S产生量为0.511t/a。</w:t>
            </w:r>
          </w:p>
          <w:p w14:paraId="447F008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根据设计单位提供资料可知，本项目在湿原料库、发酵车间内定期喷洒除臭剂，且车间密闭性较好，因此，恶臭气体产生量较小。仅在车间墙壁设置吸风口，定期将车间内废气同一套</w:t>
            </w:r>
            <w:r>
              <w:rPr>
                <w:rFonts w:hint="default" w:ascii="Times New Roman" w:hAnsi="Times New Roman" w:cs="Times New Roman"/>
                <w:color w:val="auto"/>
                <w:kern w:val="24"/>
                <w:sz w:val="24"/>
                <w:szCs w:val="24"/>
                <w:highlight w:val="none"/>
                <w:lang w:eastAsia="zh-CN"/>
              </w:rPr>
              <w:t>“</w:t>
            </w:r>
            <w:r>
              <w:rPr>
                <w:rFonts w:hint="default" w:ascii="Times New Roman" w:hAnsi="Times New Roman" w:eastAsia="宋体" w:cs="Times New Roman"/>
                <w:color w:val="auto"/>
                <w:sz w:val="24"/>
                <w:lang w:val="en-US" w:eastAsia="zh-CN"/>
              </w:rPr>
              <w:t>生物除臭塔+</w:t>
            </w:r>
            <w:r>
              <w:rPr>
                <w:rFonts w:hint="default" w:ascii="Times New Roman" w:hAnsi="Times New Roman" w:cs="Times New Roman"/>
                <w:color w:val="auto"/>
                <w:kern w:val="24"/>
                <w:sz w:val="24"/>
                <w:szCs w:val="24"/>
                <w:highlight w:val="none"/>
                <w:lang w:val="en-US" w:eastAsia="zh-CN"/>
              </w:rPr>
              <w:t>活性炭吸附”装置进行处理，根据设计单位设计，废气处理能力为</w:t>
            </w:r>
            <w:r>
              <w:rPr>
                <w:rFonts w:hint="default" w:ascii="Times New Roman" w:hAnsi="Times New Roman" w:eastAsia="宋体" w:cs="Times New Roman"/>
                <w:snapToGrid w:val="0"/>
                <w:color w:val="000000"/>
                <w:kern w:val="0"/>
                <w:sz w:val="24"/>
                <w:szCs w:val="24"/>
                <w:highlight w:val="none"/>
                <w:lang w:val="en-US" w:eastAsia="zh-CN"/>
              </w:rPr>
              <w:t>40000</w:t>
            </w:r>
            <w:r>
              <w:rPr>
                <w:rFonts w:hint="default" w:ascii="Times New Roman" w:hAnsi="Times New Roman" w:eastAsia="宋体" w:cs="Times New Roman"/>
                <w:snapToGrid w:val="0"/>
                <w:color w:val="000000"/>
                <w:kern w:val="0"/>
                <w:sz w:val="24"/>
                <w:szCs w:val="24"/>
                <w:highlight w:val="none"/>
                <w:lang w:eastAsia="zh-CN"/>
              </w:rPr>
              <w:t>m</w:t>
            </w:r>
            <w:r>
              <w:rPr>
                <w:rFonts w:hint="default" w:ascii="Times New Roman" w:hAnsi="Times New Roman" w:eastAsia="宋体" w:cs="Times New Roman"/>
                <w:snapToGrid w:val="0"/>
                <w:color w:val="000000"/>
                <w:kern w:val="0"/>
                <w:sz w:val="24"/>
                <w:szCs w:val="24"/>
                <w:highlight w:val="none"/>
                <w:vertAlign w:val="superscript"/>
                <w:lang w:eastAsia="zh-CN"/>
              </w:rPr>
              <w:t>3</w:t>
            </w:r>
            <w:r>
              <w:rPr>
                <w:rFonts w:hint="default" w:ascii="Times New Roman" w:hAnsi="Times New Roman" w:eastAsia="宋体" w:cs="Times New Roman"/>
                <w:snapToGrid w:val="0"/>
                <w:color w:val="000000"/>
                <w:kern w:val="0"/>
                <w:sz w:val="24"/>
                <w:szCs w:val="24"/>
                <w:highlight w:val="none"/>
                <w:lang w:eastAsia="zh-CN"/>
              </w:rPr>
              <w:t>/h，能够满足</w:t>
            </w:r>
            <w:r>
              <w:rPr>
                <w:rFonts w:hint="default" w:ascii="Times New Roman" w:hAnsi="Times New Roman" w:eastAsia="宋体" w:cs="Times New Roman"/>
                <w:snapToGrid w:val="0"/>
                <w:color w:val="000000"/>
                <w:kern w:val="0"/>
                <w:sz w:val="24"/>
                <w:szCs w:val="24"/>
                <w:highlight w:val="none"/>
                <w:lang w:val="en-US" w:eastAsia="zh-CN"/>
              </w:rPr>
              <w:t>废气治理</w:t>
            </w:r>
            <w:r>
              <w:rPr>
                <w:rFonts w:hint="default" w:ascii="Times New Roman" w:hAnsi="Times New Roman" w:eastAsia="宋体" w:cs="Times New Roman"/>
                <w:snapToGrid w:val="0"/>
                <w:color w:val="000000"/>
                <w:kern w:val="0"/>
                <w:sz w:val="24"/>
                <w:szCs w:val="24"/>
                <w:highlight w:val="none"/>
                <w:lang w:eastAsia="zh-CN"/>
              </w:rPr>
              <w:t>所需风量需求。</w:t>
            </w:r>
          </w:p>
          <w:p w14:paraId="04CA22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项目废气收集效率整体按95%计算，氨与硫化氢产生</w:t>
            </w:r>
            <w:r>
              <w:rPr>
                <w:rFonts w:hint="default" w:ascii="Times New Roman" w:hAnsi="Times New Roman" w:cs="Times New Roman"/>
                <w:color w:val="auto"/>
                <w:kern w:val="2"/>
                <w:sz w:val="24"/>
                <w:szCs w:val="24"/>
                <w:highlight w:val="none"/>
                <w:lang w:val="en-US" w:eastAsia="zh-CN" w:bidi="ar-SA"/>
              </w:rPr>
              <w:t>量分别为10.414</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0.532</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收集</w:t>
            </w:r>
            <w:r>
              <w:rPr>
                <w:rFonts w:hint="default" w:ascii="Times New Roman" w:hAnsi="Times New Roman" w:cs="Times New Roman"/>
                <w:color w:val="auto"/>
                <w:kern w:val="2"/>
                <w:sz w:val="24"/>
                <w:szCs w:val="24"/>
                <w:highlight w:val="none"/>
                <w:lang w:val="en-US" w:eastAsia="zh-CN" w:bidi="ar-SA"/>
              </w:rPr>
              <w:t>量分别为9.893</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0.505</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000000"/>
                <w:sz w:val="24"/>
                <w:szCs w:val="24"/>
                <w:highlight w:val="none"/>
                <w:lang w:val="en-US" w:eastAsia="zh-CN"/>
              </w:rPr>
              <w:t>进入废气处理装置速率分别为1.374kg/h、0.070kg/h，处理效率按95%，则氨与硫化氢排放浓度分别为1.718mg/m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、0.088mg/m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，排放速率分别为0.069kg/h、0.004kg/h，排放量分别为0.495t/a、0.025t/a。</w:t>
            </w:r>
            <w:r>
              <w:rPr>
                <w:rFonts w:hint="default" w:ascii="Times New Roman" w:hAnsi="Times New Roman" w:eastAsia="宋体" w:cs="Times New Roman"/>
                <w:snapToGrid w:val="0"/>
                <w:color w:val="auto"/>
                <w:kern w:val="0"/>
                <w:sz w:val="24"/>
                <w:szCs w:val="24"/>
                <w:highlight w:val="none"/>
                <w:lang w:eastAsia="zh-CN"/>
              </w:rPr>
              <w:t>满足《恶臭污染物排放标准》（GB14554-1993）表2二级标准限值，</w:t>
            </w:r>
            <w:r>
              <w:rPr>
                <w:rFonts w:hint="default" w:ascii="Times New Roman" w:hAnsi="Times New Roman" w:eastAsia="宋体" w:cs="Times New Roman"/>
                <w:snapToGrid w:val="0"/>
                <w:color w:val="auto"/>
                <w:kern w:val="0"/>
                <w:sz w:val="24"/>
                <w:szCs w:val="24"/>
                <w:highlight w:val="none"/>
                <w:lang w:val="en-US" w:eastAsia="zh-CN"/>
              </w:rPr>
              <w:t>即</w:t>
            </w:r>
            <w:r>
              <w:rPr>
                <w:rFonts w:hint="default" w:ascii="Times New Roman" w:hAnsi="Times New Roman" w:eastAsia="宋体" w:cs="Times New Roman"/>
                <w:snapToGrid w:val="0"/>
                <w:color w:val="auto"/>
                <w:kern w:val="0"/>
                <w:sz w:val="24"/>
                <w:szCs w:val="24"/>
                <w:highlight w:val="none"/>
                <w:lang w:eastAsia="zh-CN"/>
              </w:rPr>
              <w:t>NH3</w:t>
            </w:r>
            <w:r>
              <w:rPr>
                <w:rFonts w:hint="eastAsia"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eastAsia="zh-CN"/>
              </w:rPr>
              <w:t>4.9kg/h、H2S：4.9kg/h、</w:t>
            </w:r>
            <w:r>
              <w:rPr>
                <w:rFonts w:hint="default" w:ascii="Times New Roman" w:hAnsi="Times New Roman" w:eastAsia="宋体" w:cs="Times New Roman"/>
                <w:snapToGrid w:val="0"/>
                <w:color w:val="auto"/>
                <w:kern w:val="0"/>
                <w:sz w:val="24"/>
                <w:szCs w:val="24"/>
                <w:highlight w:val="none"/>
                <w:lang w:val="en-US" w:eastAsia="zh-CN"/>
              </w:rPr>
              <w:t>臭气浓度2000</w:t>
            </w:r>
            <w:r>
              <w:rPr>
                <w:rFonts w:hint="default" w:ascii="Times New Roman" w:hAnsi="Times New Roman" w:cs="Times New Roman"/>
                <w:snapToGrid w:val="0"/>
                <w:color w:val="auto"/>
                <w:kern w:val="0"/>
                <w:sz w:val="24"/>
                <w:szCs w:val="24"/>
                <w:highlight w:val="none"/>
                <w:lang w:val="en-US" w:eastAsia="zh-CN"/>
              </w:rPr>
              <w:t>（</w:t>
            </w:r>
            <w:r>
              <w:rPr>
                <w:rFonts w:hint="default" w:ascii="Times New Roman" w:hAnsi="Times New Roman" w:eastAsia="宋体" w:cs="Times New Roman"/>
                <w:snapToGrid w:val="0"/>
                <w:color w:val="auto"/>
                <w:kern w:val="0"/>
                <w:sz w:val="24"/>
                <w:szCs w:val="24"/>
                <w:highlight w:val="none"/>
                <w:lang w:eastAsia="zh-CN"/>
              </w:rPr>
              <w:t>无量纲</w:t>
            </w:r>
            <w:r>
              <w:rPr>
                <w:rFonts w:hint="default" w:ascii="Times New Roman" w:hAnsi="Times New Roman"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vertAlign w:val="baseline"/>
                <w:lang w:val="en-US" w:eastAsia="zh-CN"/>
              </w:rPr>
              <w:t>。</w:t>
            </w:r>
          </w:p>
          <w:p w14:paraId="01EC709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snapToGrid w:val="0"/>
                <w:color w:val="000000"/>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未捕集的氨、硫化氢在车间内无组织排放，氨、硫化氢无组织排放量分别为0.521t/a（0.072kg/h）、0.027t/a（0.004kg/h）。</w:t>
            </w:r>
          </w:p>
          <w:p w14:paraId="76FA908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（二）</w:t>
            </w:r>
            <w:r>
              <w:rPr>
                <w:rFonts w:hint="default" w:ascii="Times New Roman" w:hAnsi="Times New Roman" w:cs="Times New Roman"/>
                <w:color w:val="000000"/>
                <w:kern w:val="2"/>
                <w:sz w:val="24"/>
                <w:szCs w:val="24"/>
                <w:highlight w:val="none"/>
                <w:lang w:val="en-US" w:eastAsia="zh-CN" w:bidi="ar-SA"/>
              </w:rPr>
              <w:t>固废烘干生产线烘干废气</w:t>
            </w:r>
          </w:p>
          <w:p w14:paraId="23E1BF0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本项目固废烘干过程废气、替代燃料颗粒生产过程中撕碎废气、造粒废气、搅拌废气引入同一套低温等离子+塑烧板除尘器装置处理，处理后经同一排气筒DA002排放。</w:t>
            </w:r>
          </w:p>
          <w:p w14:paraId="2F539C1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4"/>
                <w:sz w:val="24"/>
                <w:szCs w:val="24"/>
                <w:highlight w:val="none"/>
                <w:lang w:eastAsia="zh-CN"/>
              </w:rPr>
            </w:pPr>
            <w:r>
              <w:rPr>
                <w:rFonts w:hint="default" w:ascii="Times New Roman" w:hAnsi="Times New Roman" w:cs="Times New Roman"/>
                <w:color w:val="auto"/>
                <w:sz w:val="24"/>
                <w:lang w:val="en-US" w:eastAsia="zh-CN"/>
              </w:rPr>
              <w:t>固废</w:t>
            </w:r>
            <w:r>
              <w:rPr>
                <w:rFonts w:hint="default" w:ascii="Times New Roman" w:hAnsi="Times New Roman" w:cs="Times New Roman"/>
                <w:color w:val="auto"/>
                <w:sz w:val="24"/>
                <w:lang w:eastAsia="zh-CN"/>
              </w:rPr>
              <w:t>烘干时会产生</w:t>
            </w:r>
            <w:r>
              <w:rPr>
                <w:rFonts w:hint="default" w:ascii="Times New Roman" w:hAnsi="Times New Roman" w:cs="Times New Roman"/>
                <w:color w:val="auto"/>
                <w:sz w:val="24"/>
                <w:szCs w:val="24"/>
                <w:highlight w:val="none"/>
                <w:lang w:val="en-US" w:eastAsia="zh-CN"/>
              </w:rPr>
              <w:t>颗粒物，项目</w:t>
            </w:r>
            <w:r>
              <w:rPr>
                <w:rFonts w:hint="default" w:ascii="Times New Roman" w:hAnsi="Times New Roman" w:cs="Times New Roman"/>
                <w:color w:val="auto"/>
                <w:sz w:val="24"/>
                <w:lang w:eastAsia="zh-CN"/>
              </w:rPr>
              <w:t>在烘干机排气孔处设集气管，收集的废气引入一套</w:t>
            </w:r>
            <w:r>
              <w:rPr>
                <w:rFonts w:hint="default" w:ascii="Times New Roman" w:hAnsi="Times New Roman" w:cs="Times New Roman"/>
                <w:color w:val="auto"/>
                <w:sz w:val="24"/>
                <w:lang w:val="en-US" w:eastAsia="zh-CN"/>
              </w:rPr>
              <w:t>低温等离子+</w:t>
            </w:r>
            <w:r>
              <w:rPr>
                <w:rFonts w:hint="default" w:ascii="Times New Roman" w:hAnsi="Times New Roman" w:cs="Times New Roman"/>
                <w:color w:val="auto"/>
                <w:kern w:val="24"/>
                <w:sz w:val="24"/>
                <w:szCs w:val="24"/>
                <w:highlight w:val="none"/>
                <w:lang w:eastAsia="zh-CN"/>
              </w:rPr>
              <w:t>塑烧板除尘器</w:t>
            </w:r>
            <w:r>
              <w:rPr>
                <w:rFonts w:hint="default" w:ascii="Times New Roman" w:hAnsi="Times New Roman" w:cs="Times New Roman"/>
                <w:color w:val="auto"/>
                <w:kern w:val="24"/>
                <w:sz w:val="24"/>
                <w:szCs w:val="24"/>
                <w:highlight w:val="none"/>
                <w:lang w:val="en-US" w:eastAsia="zh-CN"/>
              </w:rPr>
              <w:t>装置进行处理，处理后废气经15m高排气筒DA002排放</w:t>
            </w:r>
            <w:r>
              <w:rPr>
                <w:rFonts w:hint="default" w:ascii="Times New Roman" w:hAnsi="Times New Roman" w:cs="Times New Roman"/>
                <w:color w:val="auto"/>
                <w:kern w:val="24"/>
                <w:sz w:val="24"/>
                <w:szCs w:val="24"/>
                <w:highlight w:val="none"/>
                <w:lang w:eastAsia="zh-CN"/>
              </w:rPr>
              <w:t>。</w:t>
            </w:r>
          </w:p>
          <w:p w14:paraId="3E4B83C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①烘干废气</w:t>
            </w:r>
          </w:p>
          <w:p w14:paraId="131BA54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szCs w:val="24"/>
                <w:highlight w:val="none"/>
                <w:lang w:val="en-US" w:eastAsia="zh-CN"/>
              </w:rPr>
              <w:t>本项目烘干原料主要为</w:t>
            </w:r>
            <w:r>
              <w:rPr>
                <w:rFonts w:hint="default" w:ascii="Times New Roman" w:hAnsi="Times New Roman" w:cs="Times New Roman"/>
                <w:color w:val="auto"/>
                <w:sz w:val="24"/>
                <w:szCs w:val="24"/>
                <w:lang w:val="en-US" w:eastAsia="zh-CN"/>
              </w:rPr>
              <w:t>发酵后的替代燃料颗粒原料、脱硫石膏、提铜渣浆、作物秸秆、林业废物等，年处理量合计为210000吨，烘干过程中产生的颗粒物以原材料的</w:t>
            </w:r>
            <w:r>
              <w:rPr>
                <w:rFonts w:hint="default" w:ascii="Times New Roman" w:hAnsi="Times New Roman" w:cs="Times New Roman"/>
                <w:color w:val="auto"/>
                <w:sz w:val="24"/>
              </w:rPr>
              <w:t>0.01%计算，</w:t>
            </w:r>
            <w:r>
              <w:rPr>
                <w:rFonts w:hint="default" w:ascii="Times New Roman" w:hAnsi="Times New Roman" w:cs="Times New Roman"/>
                <w:color w:val="auto"/>
                <w:sz w:val="24"/>
                <w:lang w:eastAsia="zh-CN"/>
              </w:rPr>
              <w:t>则颗粒物产生量为</w:t>
            </w:r>
            <w:r>
              <w:rPr>
                <w:rFonts w:hint="default" w:ascii="Times New Roman" w:hAnsi="Times New Roman" w:cs="Times New Roman"/>
                <w:color w:val="auto"/>
                <w:sz w:val="24"/>
                <w:lang w:val="en-US" w:eastAsia="zh-CN"/>
              </w:rPr>
              <w:t>21t/a。由于被烘干固废中涉及的酒糟、中药渣（水提中药渣）等可能含有异味，本次按照臭气浓度进行考虑。</w:t>
            </w:r>
          </w:p>
          <w:p w14:paraId="5B663AC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②</w:t>
            </w:r>
            <w:r>
              <w:rPr>
                <w:rFonts w:hint="default" w:ascii="Times New Roman" w:hAnsi="Times New Roman" w:cs="Times New Roman"/>
                <w:color w:val="auto"/>
                <w:sz w:val="24"/>
              </w:rPr>
              <w:t>农业废物</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林业废物、园林垃圾上料、</w:t>
            </w:r>
            <w:r>
              <w:rPr>
                <w:rFonts w:hint="default" w:ascii="Times New Roman" w:hAnsi="Times New Roman" w:cs="Times New Roman"/>
                <w:color w:val="auto"/>
                <w:sz w:val="24"/>
              </w:rPr>
              <w:t>破碎</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造粒、搅拌</w:t>
            </w:r>
            <w:r>
              <w:rPr>
                <w:rFonts w:hint="default" w:ascii="Times New Roman" w:hAnsi="Times New Roman" w:cs="Times New Roman"/>
                <w:color w:val="auto"/>
                <w:sz w:val="24"/>
              </w:rPr>
              <w:t>废气</w:t>
            </w:r>
          </w:p>
          <w:p w14:paraId="3C2C0F7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参照《排放源统计调查产排污核算方法和系数手册》2542生物质致密成型燃料加工行业系数表中，作物秸秆等生物质原料剪切、破碎、筛分、造粒颗粒物产污系数为6.69×10</w:t>
            </w:r>
            <w:r>
              <w:rPr>
                <w:rFonts w:hint="default" w:ascii="Times New Roman" w:hAnsi="Times New Roman" w:eastAsia="宋体"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lang w:val="en-US" w:eastAsia="zh-CN"/>
              </w:rPr>
              <w:t>吨/吨</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产品，本项目</w:t>
            </w:r>
            <w:r>
              <w:rPr>
                <w:rFonts w:hint="default" w:ascii="Times New Roman" w:hAnsi="Times New Roman" w:cs="Times New Roman"/>
                <w:color w:val="auto"/>
                <w:sz w:val="24"/>
                <w:szCs w:val="24"/>
                <w:highlight w:val="none"/>
                <w:lang w:val="en-US" w:eastAsia="zh-CN"/>
              </w:rPr>
              <w:t>替代燃烧颗粒生产线需要破碎的</w:t>
            </w:r>
            <w:r>
              <w:rPr>
                <w:rFonts w:hint="default" w:ascii="Times New Roman" w:hAnsi="Times New Roman" w:eastAsia="宋体" w:cs="Times New Roman"/>
                <w:color w:val="auto"/>
                <w:sz w:val="24"/>
                <w:szCs w:val="24"/>
                <w:highlight w:val="none"/>
                <w:lang w:val="en-US" w:eastAsia="zh-CN"/>
              </w:rPr>
              <w:t>作物秸秆、林业废物、园林垃圾</w:t>
            </w:r>
            <w:r>
              <w:rPr>
                <w:rFonts w:hint="default" w:ascii="Times New Roman" w:hAnsi="Times New Roman" w:cs="Times New Roman"/>
                <w:color w:val="auto"/>
                <w:sz w:val="24"/>
                <w:szCs w:val="24"/>
                <w:highlight w:val="none"/>
                <w:lang w:val="en-US" w:eastAsia="zh-CN"/>
              </w:rPr>
              <w:t>总用量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val="en-US" w:eastAsia="zh-CN"/>
              </w:rPr>
              <w:t>67500</w:t>
            </w:r>
            <w:r>
              <w:rPr>
                <w:rFonts w:hint="default" w:ascii="Times New Roman" w:hAnsi="Times New Roman" w:eastAsia="宋体" w:cs="Times New Roman"/>
                <w:color w:val="auto"/>
                <w:sz w:val="24"/>
                <w:szCs w:val="24"/>
                <w:highlight w:val="none"/>
                <w:lang w:val="en-US" w:eastAsia="zh-CN"/>
              </w:rPr>
              <w:t>万t/a，则</w:t>
            </w:r>
            <w:r>
              <w:rPr>
                <w:rFonts w:hint="default" w:ascii="Times New Roman" w:hAnsi="Times New Roman" w:cs="Times New Roman"/>
                <w:color w:val="auto"/>
                <w:sz w:val="24"/>
                <w:lang w:val="en-US" w:eastAsia="zh-CN"/>
              </w:rPr>
              <w:t>上料、</w:t>
            </w:r>
            <w:r>
              <w:rPr>
                <w:rFonts w:hint="default" w:ascii="Times New Roman" w:hAnsi="Times New Roman" w:cs="Times New Roman"/>
                <w:color w:val="auto"/>
                <w:sz w:val="24"/>
              </w:rPr>
              <w:t>破碎</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造粒、搅拌</w:t>
            </w:r>
            <w:r>
              <w:rPr>
                <w:rFonts w:hint="default" w:ascii="Times New Roman" w:hAnsi="Times New Roman" w:eastAsia="宋体" w:cs="Times New Roman"/>
                <w:color w:val="auto"/>
                <w:sz w:val="24"/>
                <w:szCs w:val="24"/>
                <w:highlight w:val="none"/>
                <w:lang w:val="en-US" w:eastAsia="zh-CN"/>
              </w:rPr>
              <w:t>工艺颗粒物产生量约为</w:t>
            </w:r>
            <w:r>
              <w:rPr>
                <w:rFonts w:hint="default" w:ascii="Times New Roman" w:hAnsi="Times New Roman" w:cs="Times New Roman"/>
                <w:color w:val="auto"/>
                <w:sz w:val="24"/>
                <w:szCs w:val="24"/>
                <w:highlight w:val="none"/>
                <w:lang w:val="en-US" w:eastAsia="zh-CN"/>
              </w:rPr>
              <w:t>45.1575</w:t>
            </w:r>
            <w:r>
              <w:rPr>
                <w:rFonts w:hint="default" w:ascii="Times New Roman" w:hAnsi="Times New Roman" w:eastAsia="宋体" w:cs="Times New Roman"/>
                <w:color w:val="auto"/>
                <w:sz w:val="24"/>
                <w:szCs w:val="24"/>
                <w:highlight w:val="none"/>
                <w:lang w:val="en-US" w:eastAsia="zh-CN"/>
              </w:rPr>
              <w:t>t/a。</w:t>
            </w:r>
          </w:p>
          <w:p w14:paraId="656F06C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烘干机密闭，设置引风管道；</w:t>
            </w:r>
            <w:r>
              <w:rPr>
                <w:rFonts w:hint="default" w:ascii="Times New Roman" w:hAnsi="Times New Roman" w:eastAsia="宋体" w:cs="Times New Roman"/>
                <w:color w:val="auto"/>
                <w:sz w:val="24"/>
                <w:szCs w:val="24"/>
                <w:highlight w:val="none"/>
                <w:lang w:val="en-US" w:eastAsia="zh-CN"/>
              </w:rPr>
              <w:t>分别在</w:t>
            </w:r>
            <w:r>
              <w:rPr>
                <w:rFonts w:hint="default" w:ascii="Times New Roman" w:hAnsi="Times New Roman" w:cs="Times New Roman"/>
                <w:color w:val="auto"/>
                <w:sz w:val="24"/>
                <w:szCs w:val="24"/>
                <w:highlight w:val="none"/>
                <w:lang w:val="en-US" w:eastAsia="zh-CN"/>
              </w:rPr>
              <w:t>上料斗、</w:t>
            </w:r>
            <w:r>
              <w:rPr>
                <w:rFonts w:hint="default" w:ascii="Times New Roman" w:hAnsi="Times New Roman" w:eastAsia="宋体" w:cs="Times New Roman"/>
                <w:color w:val="auto"/>
                <w:sz w:val="24"/>
                <w:szCs w:val="24"/>
                <w:highlight w:val="none"/>
                <w:lang w:val="en-US" w:eastAsia="zh-CN"/>
              </w:rPr>
              <w:t>撕碎机、破碎机、搅拌机</w:t>
            </w:r>
            <w:r>
              <w:rPr>
                <w:rFonts w:hint="default" w:ascii="Times New Roman" w:hAnsi="Times New Roman" w:cs="Times New Roman"/>
                <w:color w:val="auto"/>
                <w:sz w:val="24"/>
                <w:szCs w:val="24"/>
                <w:highlight w:val="none"/>
                <w:lang w:val="en-US" w:eastAsia="zh-CN"/>
              </w:rPr>
              <w:t>、造粒机</w:t>
            </w:r>
            <w:r>
              <w:rPr>
                <w:rFonts w:hint="default" w:ascii="Times New Roman" w:hAnsi="Times New Roman" w:eastAsia="宋体" w:cs="Times New Roman"/>
                <w:color w:val="auto"/>
                <w:sz w:val="24"/>
                <w:szCs w:val="24"/>
                <w:highlight w:val="none"/>
                <w:lang w:val="en-US" w:eastAsia="zh-CN"/>
              </w:rPr>
              <w:t>上方设置集气罩，收集后经“低温等离子+塑烧板除尘器”装置进行处理，处理后废气经15m高排气筒DA002排放。</w:t>
            </w:r>
          </w:p>
          <w:p w14:paraId="32B65023">
            <w:pPr>
              <w:keepNext w:val="0"/>
              <w:keepLines w:val="0"/>
              <w:suppressLineNumbers w:val="0"/>
              <w:adjustRightInd w:val="0"/>
              <w:snapToGrid w:val="0"/>
              <w:spacing w:before="0" w:beforeAutospacing="0" w:after="0" w:afterAutospacing="0"/>
              <w:ind w:left="0" w:right="0" w:firstLine="422" w:firstLineChars="20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en-US" w:eastAsia="zh-CN"/>
              </w:rPr>
              <w:t>1</w:t>
            </w:r>
            <w:r>
              <w:rPr>
                <w:rFonts w:hint="default" w:ascii="Times New Roman" w:hAnsi="Times New Roman" w:eastAsia="宋体" w:cs="Times New Roman"/>
                <w:b/>
                <w:color w:val="auto"/>
                <w:sz w:val="21"/>
                <w:szCs w:val="21"/>
                <w:highlight w:val="none"/>
                <w:lang w:val="en-US" w:eastAsia="zh-CN"/>
              </w:rPr>
              <w:t xml:space="preserve">   本项目</w:t>
            </w:r>
            <w:r>
              <w:rPr>
                <w:rFonts w:hint="default" w:ascii="Times New Roman" w:hAnsi="Times New Roman" w:eastAsia="宋体" w:cs="Times New Roman"/>
                <w:b/>
                <w:color w:val="auto"/>
                <w:sz w:val="21"/>
                <w:szCs w:val="21"/>
                <w:highlight w:val="none"/>
              </w:rPr>
              <w:t>风量情况一览表</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805"/>
              <w:gridCol w:w="1076"/>
              <w:gridCol w:w="1954"/>
              <w:gridCol w:w="798"/>
              <w:gridCol w:w="968"/>
              <w:gridCol w:w="968"/>
              <w:gridCol w:w="968"/>
            </w:tblGrid>
            <w:tr w14:paraId="7094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472" w:type="pct"/>
                  <w:tcBorders>
                    <w:tl2br w:val="nil"/>
                    <w:tr2bl w:val="nil"/>
                  </w:tcBorders>
                  <w:noWrap w:val="0"/>
                  <w:vAlign w:val="center"/>
                </w:tcPr>
                <w:p w14:paraId="3F045C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序号</w:t>
                  </w:r>
                </w:p>
              </w:tc>
              <w:tc>
                <w:tcPr>
                  <w:tcW w:w="483" w:type="pct"/>
                  <w:tcBorders>
                    <w:tl2br w:val="nil"/>
                    <w:tr2bl w:val="nil"/>
                  </w:tcBorders>
                  <w:noWrap w:val="0"/>
                  <w:vAlign w:val="center"/>
                </w:tcPr>
                <w:p w14:paraId="010FE9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设备名称</w:t>
                  </w:r>
                </w:p>
              </w:tc>
              <w:tc>
                <w:tcPr>
                  <w:tcW w:w="646" w:type="pct"/>
                  <w:tcBorders>
                    <w:tl2br w:val="nil"/>
                    <w:tr2bl w:val="nil"/>
                  </w:tcBorders>
                  <w:noWrap w:val="0"/>
                  <w:vAlign w:val="center"/>
                </w:tcPr>
                <w:p w14:paraId="573CDE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设备数量（台/套）</w:t>
                  </w:r>
                </w:p>
              </w:tc>
              <w:tc>
                <w:tcPr>
                  <w:tcW w:w="1173" w:type="pct"/>
                  <w:tcBorders>
                    <w:tl2br w:val="nil"/>
                    <w:tr2bl w:val="nil"/>
                  </w:tcBorders>
                  <w:noWrap w:val="0"/>
                  <w:vAlign w:val="center"/>
                </w:tcPr>
                <w:p w14:paraId="31F66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废气收集措施</w:t>
                  </w:r>
                </w:p>
              </w:tc>
              <w:tc>
                <w:tcPr>
                  <w:tcW w:w="479" w:type="pct"/>
                  <w:tcBorders>
                    <w:tl2br w:val="nil"/>
                    <w:tr2bl w:val="nil"/>
                  </w:tcBorders>
                  <w:noWrap w:val="0"/>
                  <w:vAlign w:val="center"/>
                </w:tcPr>
                <w:p w14:paraId="2F27AC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收集点位数量（个）</w:t>
                  </w:r>
                </w:p>
              </w:tc>
              <w:tc>
                <w:tcPr>
                  <w:tcW w:w="581" w:type="pct"/>
                  <w:tcBorders>
                    <w:tl2br w:val="nil"/>
                    <w:tr2bl w:val="nil"/>
                  </w:tcBorders>
                  <w:noWrap w:val="0"/>
                  <w:vAlign w:val="center"/>
                </w:tcPr>
                <w:p w14:paraId="4B182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单个收集措施风量（m³/h）</w:t>
                  </w:r>
                </w:p>
              </w:tc>
              <w:tc>
                <w:tcPr>
                  <w:tcW w:w="581" w:type="pct"/>
                  <w:tcBorders>
                    <w:tl2br w:val="nil"/>
                    <w:tr2bl w:val="nil"/>
                  </w:tcBorders>
                  <w:noWrap w:val="0"/>
                  <w:vAlign w:val="center"/>
                </w:tcPr>
                <w:p w14:paraId="3033D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风量（m³/h）</w:t>
                  </w:r>
                </w:p>
              </w:tc>
              <w:tc>
                <w:tcPr>
                  <w:tcW w:w="581" w:type="pct"/>
                  <w:tcBorders>
                    <w:tl2br w:val="nil"/>
                    <w:tr2bl w:val="nil"/>
                  </w:tcBorders>
                  <w:noWrap w:val="0"/>
                  <w:vAlign w:val="center"/>
                </w:tcPr>
                <w:p w14:paraId="3AE1C7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合计风量（m³/h）</w:t>
                  </w:r>
                </w:p>
              </w:tc>
            </w:tr>
            <w:tr w14:paraId="2067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72" w:type="pct"/>
                  <w:vMerge w:val="restart"/>
                  <w:tcBorders>
                    <w:tl2br w:val="nil"/>
                    <w:tr2bl w:val="nil"/>
                  </w:tcBorders>
                  <w:noWrap w:val="0"/>
                  <w:vAlign w:val="center"/>
                </w:tcPr>
                <w:p w14:paraId="782D3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DA002</w:t>
                  </w:r>
                </w:p>
              </w:tc>
              <w:tc>
                <w:tcPr>
                  <w:tcW w:w="483" w:type="pct"/>
                  <w:tcBorders>
                    <w:tl2br w:val="nil"/>
                    <w:tr2bl w:val="nil"/>
                  </w:tcBorders>
                  <w:noWrap w:val="0"/>
                  <w:vAlign w:val="center"/>
                </w:tcPr>
                <w:p w14:paraId="16A25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烘干机</w:t>
                  </w:r>
                </w:p>
              </w:tc>
              <w:tc>
                <w:tcPr>
                  <w:tcW w:w="646" w:type="pct"/>
                  <w:tcBorders>
                    <w:tl2br w:val="nil"/>
                    <w:tr2bl w:val="nil"/>
                  </w:tcBorders>
                  <w:noWrap w:val="0"/>
                  <w:vAlign w:val="center"/>
                </w:tcPr>
                <w:p w14:paraId="628D55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1173" w:type="pct"/>
                  <w:tcBorders>
                    <w:tl2br w:val="nil"/>
                    <w:tr2bl w:val="nil"/>
                  </w:tcBorders>
                  <w:noWrap w:val="0"/>
                  <w:vAlign w:val="center"/>
                </w:tcPr>
                <w:p w14:paraId="5A03F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集气管管道内径60cm</w:t>
                  </w:r>
                </w:p>
              </w:tc>
              <w:tc>
                <w:tcPr>
                  <w:tcW w:w="479" w:type="pct"/>
                  <w:tcBorders>
                    <w:tl2br w:val="nil"/>
                    <w:tr2bl w:val="nil"/>
                  </w:tcBorders>
                  <w:noWrap w:val="0"/>
                  <w:vAlign w:val="center"/>
                </w:tcPr>
                <w:p w14:paraId="545BF3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581" w:type="pct"/>
                  <w:tcBorders>
                    <w:tl2br w:val="nil"/>
                    <w:tr2bl w:val="nil"/>
                  </w:tcBorders>
                  <w:noWrap w:val="0"/>
                  <w:vAlign w:val="center"/>
                </w:tcPr>
                <w:p w14:paraId="06D173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10682</w:t>
                  </w:r>
                </w:p>
              </w:tc>
              <w:tc>
                <w:tcPr>
                  <w:tcW w:w="581" w:type="pct"/>
                  <w:tcBorders>
                    <w:tl2br w:val="nil"/>
                    <w:tr2bl w:val="nil"/>
                  </w:tcBorders>
                  <w:noWrap w:val="0"/>
                  <w:vAlign w:val="center"/>
                </w:tcPr>
                <w:p w14:paraId="222809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10682</w:t>
                  </w:r>
                </w:p>
              </w:tc>
              <w:tc>
                <w:tcPr>
                  <w:tcW w:w="581" w:type="pct"/>
                  <w:vMerge w:val="restart"/>
                  <w:tcBorders>
                    <w:tl2br w:val="nil"/>
                    <w:tr2bl w:val="nil"/>
                  </w:tcBorders>
                  <w:noWrap w:val="0"/>
                  <w:vAlign w:val="center"/>
                </w:tcPr>
                <w:p w14:paraId="7D9E7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62522</w:t>
                  </w:r>
                </w:p>
              </w:tc>
            </w:tr>
            <w:tr w14:paraId="7AF3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72" w:type="pct"/>
                  <w:vMerge w:val="continue"/>
                  <w:tcBorders>
                    <w:tl2br w:val="nil"/>
                    <w:tr2bl w:val="nil"/>
                  </w:tcBorders>
                  <w:noWrap w:val="0"/>
                  <w:vAlign w:val="center"/>
                </w:tcPr>
                <w:p w14:paraId="2FEFD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c>
                <w:tcPr>
                  <w:tcW w:w="483" w:type="pct"/>
                  <w:tcBorders>
                    <w:tl2br w:val="nil"/>
                    <w:tr2bl w:val="nil"/>
                  </w:tcBorders>
                  <w:noWrap w:val="0"/>
                  <w:vAlign w:val="center"/>
                </w:tcPr>
                <w:p w14:paraId="1EE1F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撕碎机</w:t>
                  </w:r>
                </w:p>
              </w:tc>
              <w:tc>
                <w:tcPr>
                  <w:tcW w:w="646" w:type="pct"/>
                  <w:tcBorders>
                    <w:tl2br w:val="nil"/>
                    <w:tr2bl w:val="nil"/>
                  </w:tcBorders>
                  <w:noWrap w:val="0"/>
                  <w:vAlign w:val="center"/>
                </w:tcPr>
                <w:p w14:paraId="2B27DA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1173" w:type="pct"/>
                  <w:tcBorders>
                    <w:tl2br w:val="nil"/>
                    <w:tr2bl w:val="nil"/>
                  </w:tcBorders>
                  <w:noWrap w:val="0"/>
                  <w:vAlign w:val="center"/>
                </w:tcPr>
                <w:p w14:paraId="0A78E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集气罩尺寸1m×2m</w:t>
                  </w:r>
                </w:p>
              </w:tc>
              <w:tc>
                <w:tcPr>
                  <w:tcW w:w="479" w:type="pct"/>
                  <w:tcBorders>
                    <w:tl2br w:val="nil"/>
                    <w:tr2bl w:val="nil"/>
                  </w:tcBorders>
                  <w:noWrap w:val="0"/>
                  <w:vAlign w:val="center"/>
                </w:tcPr>
                <w:p w14:paraId="372A41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2</w:t>
                  </w:r>
                </w:p>
              </w:tc>
              <w:tc>
                <w:tcPr>
                  <w:tcW w:w="581" w:type="pct"/>
                  <w:tcBorders>
                    <w:tl2br w:val="nil"/>
                    <w:tr2bl w:val="nil"/>
                  </w:tcBorders>
                  <w:noWrap w:val="0"/>
                  <w:vAlign w:val="center"/>
                </w:tcPr>
                <w:p w14:paraId="03F4B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6480</w:t>
                  </w:r>
                </w:p>
              </w:tc>
              <w:tc>
                <w:tcPr>
                  <w:tcW w:w="581" w:type="pct"/>
                  <w:tcBorders>
                    <w:tl2br w:val="nil"/>
                    <w:tr2bl w:val="nil"/>
                  </w:tcBorders>
                  <w:noWrap w:val="0"/>
                  <w:vAlign w:val="center"/>
                </w:tcPr>
                <w:p w14:paraId="2776DA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12960</w:t>
                  </w:r>
                </w:p>
              </w:tc>
              <w:tc>
                <w:tcPr>
                  <w:tcW w:w="581" w:type="pct"/>
                  <w:vMerge w:val="continue"/>
                  <w:tcBorders>
                    <w:tl2br w:val="nil"/>
                    <w:tr2bl w:val="nil"/>
                  </w:tcBorders>
                  <w:noWrap w:val="0"/>
                  <w:vAlign w:val="center"/>
                </w:tcPr>
                <w:p w14:paraId="49779D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r>
            <w:tr w14:paraId="6BB5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72" w:type="pct"/>
                  <w:vMerge w:val="continue"/>
                  <w:tcBorders>
                    <w:tl2br w:val="nil"/>
                    <w:tr2bl w:val="nil"/>
                  </w:tcBorders>
                  <w:noWrap w:val="0"/>
                  <w:vAlign w:val="center"/>
                </w:tcPr>
                <w:p w14:paraId="5EAF3E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c>
                <w:tcPr>
                  <w:tcW w:w="483" w:type="pct"/>
                  <w:tcBorders>
                    <w:tl2br w:val="nil"/>
                    <w:tr2bl w:val="nil"/>
                  </w:tcBorders>
                  <w:noWrap w:val="0"/>
                  <w:vAlign w:val="center"/>
                </w:tcPr>
                <w:p w14:paraId="15DDED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粉碎机</w:t>
                  </w:r>
                </w:p>
              </w:tc>
              <w:tc>
                <w:tcPr>
                  <w:tcW w:w="646" w:type="pct"/>
                  <w:tcBorders>
                    <w:tl2br w:val="nil"/>
                    <w:tr2bl w:val="nil"/>
                  </w:tcBorders>
                  <w:noWrap w:val="0"/>
                  <w:vAlign w:val="center"/>
                </w:tcPr>
                <w:p w14:paraId="46FC8C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1173" w:type="pct"/>
                  <w:tcBorders>
                    <w:tl2br w:val="nil"/>
                    <w:tr2bl w:val="nil"/>
                  </w:tcBorders>
                  <w:noWrap w:val="0"/>
                  <w:vAlign w:val="center"/>
                </w:tcPr>
                <w:p w14:paraId="73991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集气罩尺寸1m×2m</w:t>
                  </w:r>
                </w:p>
              </w:tc>
              <w:tc>
                <w:tcPr>
                  <w:tcW w:w="479" w:type="pct"/>
                  <w:tcBorders>
                    <w:tl2br w:val="nil"/>
                    <w:tr2bl w:val="nil"/>
                  </w:tcBorders>
                  <w:noWrap w:val="0"/>
                  <w:vAlign w:val="center"/>
                </w:tcPr>
                <w:p w14:paraId="6A3E59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581" w:type="pct"/>
                  <w:tcBorders>
                    <w:tl2br w:val="nil"/>
                    <w:tr2bl w:val="nil"/>
                  </w:tcBorders>
                  <w:noWrap w:val="0"/>
                  <w:vAlign w:val="center"/>
                </w:tcPr>
                <w:p w14:paraId="62A89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6480</w:t>
                  </w:r>
                </w:p>
              </w:tc>
              <w:tc>
                <w:tcPr>
                  <w:tcW w:w="581" w:type="pct"/>
                  <w:tcBorders>
                    <w:tl2br w:val="nil"/>
                    <w:tr2bl w:val="nil"/>
                  </w:tcBorders>
                  <w:noWrap w:val="0"/>
                  <w:vAlign w:val="center"/>
                </w:tcPr>
                <w:p w14:paraId="5F536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6480</w:t>
                  </w:r>
                </w:p>
              </w:tc>
              <w:tc>
                <w:tcPr>
                  <w:tcW w:w="581" w:type="pct"/>
                  <w:vMerge w:val="continue"/>
                  <w:tcBorders>
                    <w:tl2br w:val="nil"/>
                    <w:tr2bl w:val="nil"/>
                  </w:tcBorders>
                  <w:noWrap w:val="0"/>
                  <w:vAlign w:val="center"/>
                </w:tcPr>
                <w:p w14:paraId="6CBA09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r>
            <w:tr w14:paraId="4E03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72" w:type="pct"/>
                  <w:vMerge w:val="continue"/>
                  <w:tcBorders>
                    <w:tl2br w:val="nil"/>
                    <w:tr2bl w:val="nil"/>
                  </w:tcBorders>
                  <w:noWrap w:val="0"/>
                  <w:vAlign w:val="center"/>
                </w:tcPr>
                <w:p w14:paraId="30A7E8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c>
                <w:tcPr>
                  <w:tcW w:w="483" w:type="pct"/>
                  <w:tcBorders>
                    <w:tl2br w:val="nil"/>
                    <w:tr2bl w:val="nil"/>
                  </w:tcBorders>
                  <w:noWrap w:val="0"/>
                  <w:vAlign w:val="center"/>
                </w:tcPr>
                <w:p w14:paraId="6F11E9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搅拌机</w:t>
                  </w:r>
                </w:p>
              </w:tc>
              <w:tc>
                <w:tcPr>
                  <w:tcW w:w="646" w:type="pct"/>
                  <w:tcBorders>
                    <w:tl2br w:val="nil"/>
                    <w:tr2bl w:val="nil"/>
                  </w:tcBorders>
                  <w:noWrap w:val="0"/>
                  <w:vAlign w:val="center"/>
                </w:tcPr>
                <w:p w14:paraId="210FDF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2</w:t>
                  </w:r>
                </w:p>
              </w:tc>
              <w:tc>
                <w:tcPr>
                  <w:tcW w:w="1173" w:type="pct"/>
                  <w:tcBorders>
                    <w:tl2br w:val="nil"/>
                    <w:tr2bl w:val="nil"/>
                  </w:tcBorders>
                  <w:noWrap w:val="0"/>
                  <w:vAlign w:val="center"/>
                </w:tcPr>
                <w:p w14:paraId="3A2840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集气罩尺寸1m×2m</w:t>
                  </w:r>
                </w:p>
              </w:tc>
              <w:tc>
                <w:tcPr>
                  <w:tcW w:w="479" w:type="pct"/>
                  <w:tcBorders>
                    <w:tl2br w:val="nil"/>
                    <w:tr2bl w:val="nil"/>
                  </w:tcBorders>
                  <w:noWrap w:val="0"/>
                  <w:vAlign w:val="center"/>
                </w:tcPr>
                <w:p w14:paraId="5649B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2</w:t>
                  </w:r>
                </w:p>
              </w:tc>
              <w:tc>
                <w:tcPr>
                  <w:tcW w:w="581" w:type="pct"/>
                  <w:tcBorders>
                    <w:tl2br w:val="nil"/>
                    <w:tr2bl w:val="nil"/>
                  </w:tcBorders>
                  <w:noWrap w:val="0"/>
                  <w:vAlign w:val="center"/>
                </w:tcPr>
                <w:p w14:paraId="72660E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6480</w:t>
                  </w:r>
                </w:p>
              </w:tc>
              <w:tc>
                <w:tcPr>
                  <w:tcW w:w="581" w:type="pct"/>
                  <w:tcBorders>
                    <w:tl2br w:val="nil"/>
                    <w:tr2bl w:val="nil"/>
                  </w:tcBorders>
                  <w:noWrap w:val="0"/>
                  <w:vAlign w:val="center"/>
                </w:tcPr>
                <w:p w14:paraId="2BA51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12960</w:t>
                  </w:r>
                </w:p>
              </w:tc>
              <w:tc>
                <w:tcPr>
                  <w:tcW w:w="581" w:type="pct"/>
                  <w:vMerge w:val="continue"/>
                  <w:tcBorders>
                    <w:tl2br w:val="nil"/>
                    <w:tr2bl w:val="nil"/>
                  </w:tcBorders>
                  <w:noWrap w:val="0"/>
                  <w:vAlign w:val="center"/>
                </w:tcPr>
                <w:p w14:paraId="27839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r>
            <w:tr w14:paraId="1D3F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72" w:type="pct"/>
                  <w:vMerge w:val="continue"/>
                  <w:tcBorders>
                    <w:tl2br w:val="nil"/>
                    <w:tr2bl w:val="nil"/>
                  </w:tcBorders>
                  <w:noWrap w:val="0"/>
                  <w:vAlign w:val="center"/>
                </w:tcPr>
                <w:p w14:paraId="13F37B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c>
                <w:tcPr>
                  <w:tcW w:w="483" w:type="pct"/>
                  <w:tcBorders>
                    <w:tl2br w:val="nil"/>
                    <w:tr2bl w:val="nil"/>
                  </w:tcBorders>
                  <w:noWrap w:val="0"/>
                  <w:vAlign w:val="center"/>
                </w:tcPr>
                <w:p w14:paraId="5C3A16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造粒机</w:t>
                  </w:r>
                </w:p>
              </w:tc>
              <w:tc>
                <w:tcPr>
                  <w:tcW w:w="646" w:type="pct"/>
                  <w:tcBorders>
                    <w:tl2br w:val="nil"/>
                    <w:tr2bl w:val="nil"/>
                  </w:tcBorders>
                  <w:noWrap w:val="0"/>
                  <w:vAlign w:val="center"/>
                </w:tcPr>
                <w:p w14:paraId="028D8F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1173" w:type="pct"/>
                  <w:tcBorders>
                    <w:tl2br w:val="nil"/>
                    <w:tr2bl w:val="nil"/>
                  </w:tcBorders>
                  <w:noWrap w:val="0"/>
                  <w:vAlign w:val="center"/>
                </w:tcPr>
                <w:p w14:paraId="59BCD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集气罩尺寸1m×2m</w:t>
                  </w:r>
                </w:p>
              </w:tc>
              <w:tc>
                <w:tcPr>
                  <w:tcW w:w="479" w:type="pct"/>
                  <w:tcBorders>
                    <w:tl2br w:val="nil"/>
                    <w:tr2bl w:val="nil"/>
                  </w:tcBorders>
                  <w:noWrap w:val="0"/>
                  <w:vAlign w:val="center"/>
                </w:tcPr>
                <w:p w14:paraId="65D49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1</w:t>
                  </w:r>
                </w:p>
              </w:tc>
              <w:tc>
                <w:tcPr>
                  <w:tcW w:w="581" w:type="pct"/>
                  <w:tcBorders>
                    <w:tl2br w:val="nil"/>
                    <w:tr2bl w:val="nil"/>
                  </w:tcBorders>
                  <w:noWrap w:val="0"/>
                  <w:vAlign w:val="center"/>
                </w:tcPr>
                <w:p w14:paraId="0C14FE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6480</w:t>
                  </w:r>
                </w:p>
              </w:tc>
              <w:tc>
                <w:tcPr>
                  <w:tcW w:w="581" w:type="pct"/>
                  <w:tcBorders>
                    <w:tl2br w:val="nil"/>
                    <w:tr2bl w:val="nil"/>
                  </w:tcBorders>
                  <w:noWrap w:val="0"/>
                  <w:vAlign w:val="center"/>
                </w:tcPr>
                <w:p w14:paraId="591B8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6480</w:t>
                  </w:r>
                </w:p>
              </w:tc>
              <w:tc>
                <w:tcPr>
                  <w:tcW w:w="581" w:type="pct"/>
                  <w:vMerge w:val="continue"/>
                  <w:tcBorders>
                    <w:tl2br w:val="nil"/>
                    <w:tr2bl w:val="nil"/>
                  </w:tcBorders>
                  <w:noWrap w:val="0"/>
                  <w:vAlign w:val="center"/>
                </w:tcPr>
                <w:p w14:paraId="51CA53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r>
            <w:tr w14:paraId="0CF7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72" w:type="pct"/>
                  <w:vMerge w:val="continue"/>
                  <w:tcBorders>
                    <w:tl2br w:val="nil"/>
                    <w:tr2bl w:val="nil"/>
                  </w:tcBorders>
                  <w:noWrap w:val="0"/>
                  <w:vAlign w:val="center"/>
                </w:tcPr>
                <w:p w14:paraId="3A1F4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c>
                <w:tcPr>
                  <w:tcW w:w="483" w:type="pct"/>
                  <w:tcBorders>
                    <w:tl2br w:val="nil"/>
                    <w:tr2bl w:val="nil"/>
                  </w:tcBorders>
                  <w:noWrap w:val="0"/>
                  <w:vAlign w:val="center"/>
                </w:tcPr>
                <w:p w14:paraId="16434A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上料斗</w:t>
                  </w:r>
                </w:p>
              </w:tc>
              <w:tc>
                <w:tcPr>
                  <w:tcW w:w="646" w:type="pct"/>
                  <w:tcBorders>
                    <w:tl2br w:val="nil"/>
                    <w:tr2bl w:val="nil"/>
                  </w:tcBorders>
                  <w:noWrap w:val="0"/>
                  <w:vAlign w:val="center"/>
                </w:tcPr>
                <w:p w14:paraId="6A94D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2</w:t>
                  </w:r>
                </w:p>
              </w:tc>
              <w:tc>
                <w:tcPr>
                  <w:tcW w:w="1173" w:type="pct"/>
                  <w:tcBorders>
                    <w:tl2br w:val="nil"/>
                    <w:tr2bl w:val="nil"/>
                  </w:tcBorders>
                  <w:noWrap w:val="0"/>
                  <w:vAlign w:val="center"/>
                </w:tcPr>
                <w:p w14:paraId="678BA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集气罩尺寸1m×2m</w:t>
                  </w:r>
                </w:p>
              </w:tc>
              <w:tc>
                <w:tcPr>
                  <w:tcW w:w="479" w:type="pct"/>
                  <w:tcBorders>
                    <w:tl2br w:val="nil"/>
                    <w:tr2bl w:val="nil"/>
                  </w:tcBorders>
                  <w:noWrap w:val="0"/>
                  <w:vAlign w:val="center"/>
                </w:tcPr>
                <w:p w14:paraId="6D926A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r>
                    <w:rPr>
                      <w:rFonts w:hint="default" w:ascii="Times New Roman" w:hAnsi="Times New Roman" w:eastAsia="宋体" w:cs="Times New Roman"/>
                      <w:b w:val="0"/>
                      <w:bCs/>
                      <w:color w:val="auto"/>
                      <w:sz w:val="18"/>
                      <w:szCs w:val="18"/>
                      <w:lang w:val="en-US" w:eastAsia="zh-CN"/>
                    </w:rPr>
                    <w:t>2</w:t>
                  </w:r>
                </w:p>
              </w:tc>
              <w:tc>
                <w:tcPr>
                  <w:tcW w:w="581" w:type="pct"/>
                  <w:tcBorders>
                    <w:tl2br w:val="nil"/>
                    <w:tr2bl w:val="nil"/>
                  </w:tcBorders>
                  <w:shd w:val="clear" w:color="auto" w:fill="auto"/>
                  <w:noWrap w:val="0"/>
                  <w:vAlign w:val="center"/>
                </w:tcPr>
                <w:p w14:paraId="155A19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18"/>
                      <w:szCs w:val="18"/>
                      <w:lang w:val="en-US" w:eastAsia="zh-CN" w:bidi="ar-SA"/>
                    </w:rPr>
                  </w:pPr>
                  <w:r>
                    <w:rPr>
                      <w:rFonts w:hint="default" w:ascii="Times New Roman" w:hAnsi="Times New Roman" w:eastAsia="宋体" w:cs="Times New Roman"/>
                      <w:b w:val="0"/>
                      <w:bCs/>
                      <w:color w:val="auto"/>
                      <w:sz w:val="18"/>
                      <w:szCs w:val="18"/>
                      <w:lang w:val="en-US" w:eastAsia="zh-CN"/>
                    </w:rPr>
                    <w:t>6480</w:t>
                  </w:r>
                </w:p>
              </w:tc>
              <w:tc>
                <w:tcPr>
                  <w:tcW w:w="581" w:type="pct"/>
                  <w:tcBorders>
                    <w:tl2br w:val="nil"/>
                    <w:tr2bl w:val="nil"/>
                  </w:tcBorders>
                  <w:shd w:val="clear" w:color="auto" w:fill="auto"/>
                  <w:noWrap w:val="0"/>
                  <w:vAlign w:val="center"/>
                </w:tcPr>
                <w:p w14:paraId="17EE0F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18"/>
                      <w:szCs w:val="18"/>
                      <w:lang w:val="en-US" w:eastAsia="zh-CN" w:bidi="ar-SA"/>
                    </w:rPr>
                  </w:pPr>
                  <w:r>
                    <w:rPr>
                      <w:rFonts w:hint="default" w:ascii="Times New Roman" w:hAnsi="Times New Roman" w:eastAsia="宋体" w:cs="Times New Roman"/>
                      <w:b w:val="0"/>
                      <w:bCs/>
                      <w:color w:val="auto"/>
                      <w:sz w:val="18"/>
                      <w:szCs w:val="18"/>
                      <w:lang w:val="en-US" w:eastAsia="zh-CN"/>
                    </w:rPr>
                    <w:t>12960</w:t>
                  </w:r>
                </w:p>
              </w:tc>
              <w:tc>
                <w:tcPr>
                  <w:tcW w:w="581" w:type="pct"/>
                  <w:vMerge w:val="continue"/>
                  <w:tcBorders>
                    <w:tl2br w:val="nil"/>
                    <w:tr2bl w:val="nil"/>
                  </w:tcBorders>
                  <w:noWrap w:val="0"/>
                  <w:vAlign w:val="center"/>
                </w:tcPr>
                <w:p w14:paraId="56349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sz w:val="18"/>
                      <w:szCs w:val="18"/>
                      <w:lang w:val="en-US" w:eastAsia="zh-CN"/>
                    </w:rPr>
                  </w:pPr>
                </w:p>
              </w:tc>
            </w:tr>
          </w:tbl>
          <w:p w14:paraId="6B63F2D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rPr>
              <w:t>项目</w:t>
            </w:r>
            <w:r>
              <w:rPr>
                <w:rFonts w:hint="default" w:ascii="Times New Roman" w:hAnsi="Times New Roman" w:eastAsia="宋体" w:cs="Times New Roman"/>
                <w:color w:val="000000"/>
                <w:sz w:val="24"/>
                <w:szCs w:val="24"/>
                <w:highlight w:val="none"/>
                <w:lang w:val="en-US" w:eastAsia="zh-CN"/>
              </w:rPr>
              <w:t>上料、破碎等废气</w:t>
            </w:r>
            <w:r>
              <w:rPr>
                <w:rFonts w:hint="default" w:ascii="Times New Roman" w:hAnsi="Times New Roman" w:eastAsia="宋体" w:cs="Times New Roman"/>
                <w:snapToGrid w:val="0"/>
                <w:color w:val="000000"/>
                <w:kern w:val="0"/>
                <w:sz w:val="24"/>
                <w:szCs w:val="24"/>
                <w:highlight w:val="none"/>
                <w:lang w:val="en-US" w:eastAsia="zh-CN"/>
              </w:rPr>
              <w:t>经低温等离子+</w:t>
            </w:r>
            <w:r>
              <w:rPr>
                <w:rFonts w:hint="default" w:ascii="Times New Roman" w:hAnsi="Times New Roman" w:eastAsia="宋体" w:cs="Times New Roman"/>
                <w:color w:val="auto"/>
                <w:sz w:val="24"/>
                <w:szCs w:val="24"/>
                <w:highlight w:val="none"/>
                <w:lang w:val="en-US" w:eastAsia="zh-CN"/>
              </w:rPr>
              <w:t>塑烧板除尘器</w:t>
            </w:r>
            <w:r>
              <w:rPr>
                <w:rFonts w:hint="default" w:ascii="Times New Roman" w:hAnsi="Times New Roman" w:eastAsia="宋体" w:cs="Times New Roman"/>
                <w:snapToGrid w:val="0"/>
                <w:color w:val="000000"/>
                <w:kern w:val="0"/>
                <w:sz w:val="24"/>
                <w:szCs w:val="24"/>
                <w:highlight w:val="none"/>
                <w:lang w:val="en-US" w:eastAsia="zh-CN"/>
              </w:rPr>
              <w:t>处理后经15m高排气筒DA002排放，风量</w:t>
            </w:r>
            <w:r>
              <w:rPr>
                <w:rFonts w:hint="default" w:ascii="Times New Roman" w:hAnsi="Times New Roman" w:eastAsia="宋体" w:cs="Times New Roman"/>
                <w:snapToGrid w:val="0"/>
                <w:color w:val="000000"/>
                <w:kern w:val="0"/>
                <w:sz w:val="24"/>
                <w:szCs w:val="24"/>
                <w:highlight w:val="none"/>
                <w:lang w:eastAsia="zh-CN"/>
              </w:rPr>
              <w:t>核算为</w:t>
            </w:r>
            <w:r>
              <w:rPr>
                <w:rFonts w:hint="default" w:ascii="Times New Roman" w:hAnsi="Times New Roman" w:cs="Times New Roman"/>
                <w:snapToGrid w:val="0"/>
                <w:color w:val="000000"/>
                <w:kern w:val="0"/>
                <w:sz w:val="24"/>
                <w:szCs w:val="24"/>
                <w:highlight w:val="none"/>
                <w:lang w:val="en-US" w:eastAsia="zh-CN"/>
              </w:rPr>
              <w:t>62522</w:t>
            </w:r>
            <w:r>
              <w:rPr>
                <w:rFonts w:hint="default" w:ascii="Times New Roman" w:hAnsi="Times New Roman" w:eastAsia="宋体" w:cs="Times New Roman"/>
                <w:snapToGrid w:val="0"/>
                <w:color w:val="000000"/>
                <w:kern w:val="0"/>
                <w:sz w:val="24"/>
                <w:szCs w:val="24"/>
                <w:highlight w:val="none"/>
                <w:lang w:eastAsia="zh-CN"/>
              </w:rPr>
              <w:t>m</w:t>
            </w:r>
            <w:r>
              <w:rPr>
                <w:rFonts w:hint="default" w:ascii="Times New Roman" w:hAnsi="Times New Roman" w:eastAsia="宋体" w:cs="Times New Roman"/>
                <w:snapToGrid w:val="0"/>
                <w:color w:val="000000"/>
                <w:kern w:val="0"/>
                <w:sz w:val="24"/>
                <w:szCs w:val="24"/>
                <w:highlight w:val="none"/>
                <w:vertAlign w:val="superscript"/>
                <w:lang w:eastAsia="zh-CN"/>
              </w:rPr>
              <w:t>3</w:t>
            </w:r>
            <w:r>
              <w:rPr>
                <w:rFonts w:hint="default" w:ascii="Times New Roman" w:hAnsi="Times New Roman" w:eastAsia="宋体" w:cs="Times New Roman"/>
                <w:snapToGrid w:val="0"/>
                <w:color w:val="000000"/>
                <w:kern w:val="0"/>
                <w:sz w:val="24"/>
                <w:szCs w:val="24"/>
                <w:highlight w:val="none"/>
                <w:lang w:eastAsia="zh-CN"/>
              </w:rPr>
              <w:t>/h，同时考虑风机引风过程会有损耗，项目设置风机风量</w:t>
            </w:r>
            <w:r>
              <w:rPr>
                <w:rFonts w:hint="default" w:ascii="Times New Roman" w:hAnsi="Times New Roman" w:eastAsia="宋体" w:cs="Times New Roman"/>
                <w:snapToGrid w:val="0"/>
                <w:color w:val="000000"/>
                <w:kern w:val="0"/>
                <w:sz w:val="24"/>
                <w:szCs w:val="24"/>
                <w:highlight w:val="none"/>
                <w:lang w:val="en-US" w:eastAsia="zh-CN"/>
              </w:rPr>
              <w:t>80000</w:t>
            </w:r>
            <w:r>
              <w:rPr>
                <w:rFonts w:hint="default" w:ascii="Times New Roman" w:hAnsi="Times New Roman" w:eastAsia="宋体" w:cs="Times New Roman"/>
                <w:snapToGrid w:val="0"/>
                <w:color w:val="000000"/>
                <w:kern w:val="0"/>
                <w:sz w:val="24"/>
                <w:szCs w:val="24"/>
                <w:highlight w:val="none"/>
                <w:lang w:eastAsia="zh-CN"/>
              </w:rPr>
              <w:t>m</w:t>
            </w:r>
            <w:r>
              <w:rPr>
                <w:rFonts w:hint="default" w:ascii="Times New Roman" w:hAnsi="Times New Roman" w:eastAsia="宋体" w:cs="Times New Roman"/>
                <w:snapToGrid w:val="0"/>
                <w:color w:val="000000"/>
                <w:kern w:val="0"/>
                <w:sz w:val="24"/>
                <w:szCs w:val="24"/>
                <w:highlight w:val="none"/>
                <w:vertAlign w:val="superscript"/>
                <w:lang w:eastAsia="zh-CN"/>
              </w:rPr>
              <w:t>3</w:t>
            </w:r>
            <w:r>
              <w:rPr>
                <w:rFonts w:hint="default" w:ascii="Times New Roman" w:hAnsi="Times New Roman" w:eastAsia="宋体" w:cs="Times New Roman"/>
                <w:snapToGrid w:val="0"/>
                <w:color w:val="000000"/>
                <w:kern w:val="0"/>
                <w:sz w:val="24"/>
                <w:szCs w:val="24"/>
                <w:highlight w:val="none"/>
                <w:lang w:eastAsia="zh-CN"/>
              </w:rPr>
              <w:t>/h，能够满足所需风量需求。</w:t>
            </w:r>
          </w:p>
          <w:p w14:paraId="24540E3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项目废气收集效率整体按95%计算，则污染物产生</w:t>
            </w:r>
            <w:r>
              <w:rPr>
                <w:rFonts w:hint="default" w:ascii="Times New Roman" w:hAnsi="Times New Roman" w:cs="Times New Roman"/>
                <w:color w:val="auto"/>
                <w:kern w:val="2"/>
                <w:sz w:val="24"/>
                <w:szCs w:val="24"/>
                <w:highlight w:val="none"/>
                <w:lang w:val="en-US" w:eastAsia="zh-CN" w:bidi="ar-SA"/>
              </w:rPr>
              <w:t>量为66.1575</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，收集量为62.850</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000000"/>
                <w:sz w:val="24"/>
                <w:szCs w:val="24"/>
                <w:highlight w:val="none"/>
                <w:lang w:val="en-US" w:eastAsia="zh-CN"/>
              </w:rPr>
              <w:t>进入脉冲布袋除尘器浓度为109.114mg/m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，处理效率按95%，则排放浓度为5.456mg/m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，排放速率0.436kg/h，排放量3.142t/a。</w:t>
            </w:r>
            <w:r>
              <w:rPr>
                <w:rFonts w:hint="default" w:ascii="Times New Roman" w:hAnsi="Times New Roman" w:eastAsia="宋体" w:cs="Times New Roman"/>
                <w:snapToGrid w:val="0"/>
                <w:color w:val="auto"/>
                <w:kern w:val="0"/>
                <w:sz w:val="24"/>
                <w:szCs w:val="24"/>
                <w:highlight w:val="none"/>
                <w:lang w:eastAsia="zh-CN"/>
              </w:rPr>
              <w:t>颗粒物排放浓度满足</w:t>
            </w:r>
            <w:r>
              <w:rPr>
                <w:rFonts w:hint="default" w:ascii="Times New Roman" w:hAnsi="Times New Roman" w:cs="Times New Roman"/>
                <w:snapToGrid w:val="0"/>
                <w:color w:val="auto"/>
                <w:kern w:val="0"/>
                <w:sz w:val="24"/>
                <w:szCs w:val="24"/>
                <w:highlight w:val="none"/>
                <w:lang w:val="en-US" w:eastAsia="zh-CN"/>
              </w:rPr>
              <w:t>参照执行的</w:t>
            </w:r>
            <w:r>
              <w:rPr>
                <w:rFonts w:hint="default" w:ascii="Times New Roman" w:hAnsi="Times New Roman" w:eastAsia="宋体" w:cs="Times New Roman"/>
                <w:snapToGrid w:val="0"/>
                <w:color w:val="auto"/>
                <w:kern w:val="0"/>
                <w:sz w:val="24"/>
                <w:szCs w:val="24"/>
                <w:highlight w:val="none"/>
                <w:lang w:eastAsia="zh-CN"/>
              </w:rPr>
              <w:t>《水泥工业大气污染物超低排放标准》</w:t>
            </w:r>
            <w:r>
              <w:rPr>
                <w:rFonts w:hint="default" w:ascii="Times New Roman" w:hAnsi="Times New Roman"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eastAsia="zh-CN"/>
              </w:rPr>
              <w:t>DB13/2167-2020</w:t>
            </w:r>
            <w:r>
              <w:rPr>
                <w:rFonts w:hint="default" w:ascii="Times New Roman" w:hAnsi="Times New Roman"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eastAsia="zh-CN"/>
              </w:rPr>
              <w:t>表1</w:t>
            </w:r>
            <w:r>
              <w:rPr>
                <w:rFonts w:hint="default" w:ascii="Times New Roman" w:hAnsi="Times New Roman" w:eastAsia="宋体" w:cs="Times New Roman"/>
                <w:color w:val="auto"/>
                <w:kern w:val="0"/>
                <w:sz w:val="24"/>
                <w:szCs w:val="22"/>
                <w:highlight w:val="none"/>
              </w:rPr>
              <w:t>，即颗粒物浓度限值10mg/m</w:t>
            </w:r>
            <w:r>
              <w:rPr>
                <w:rFonts w:hint="default" w:ascii="Times New Roman" w:hAnsi="Times New Roman" w:eastAsia="宋体" w:cs="Times New Roman"/>
                <w:color w:val="auto"/>
                <w:kern w:val="0"/>
                <w:sz w:val="24"/>
                <w:szCs w:val="22"/>
                <w:highlight w:val="none"/>
                <w:vertAlign w:val="superscript"/>
              </w:rPr>
              <w:t>3</w:t>
            </w:r>
            <w:r>
              <w:rPr>
                <w:rFonts w:hint="default" w:ascii="Times New Roman" w:hAnsi="Times New Roman" w:eastAsia="宋体" w:cs="Times New Roman"/>
                <w:snapToGrid w:val="0"/>
                <w:color w:val="auto"/>
                <w:kern w:val="0"/>
                <w:sz w:val="24"/>
                <w:szCs w:val="24"/>
                <w:highlight w:val="none"/>
                <w:vertAlign w:val="baseline"/>
                <w:lang w:val="en-US" w:eastAsia="zh-CN"/>
              </w:rPr>
              <w:t>。</w:t>
            </w:r>
          </w:p>
          <w:p w14:paraId="21DEE71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本项目厂房内设置了水雾抑尘系统，根据《工业源固体物料堆场颗粒物核算系数手册》中半封闭且洒水抑尘除尘效率为89.6%（洒水控制效率74%，半敞开式控制效率60%，总体处理效率89.6%）。则本项目破碎、搅拌粉尘无组织排放量为0.344t/a（0.048kg/h）。</w:t>
            </w:r>
          </w:p>
          <w:p w14:paraId="11D03923">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三</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000000"/>
                <w:kern w:val="2"/>
                <w:sz w:val="24"/>
                <w:szCs w:val="24"/>
                <w:highlight w:val="none"/>
                <w:lang w:val="en-US" w:eastAsia="zh-CN" w:bidi="ar-SA"/>
              </w:rPr>
              <w:t>固废烘干生产线</w:t>
            </w:r>
            <w:r>
              <w:rPr>
                <w:rFonts w:hint="default" w:ascii="Times New Roman" w:hAnsi="Times New Roman" w:eastAsia="宋体" w:cs="Times New Roman"/>
                <w:color w:val="auto"/>
                <w:sz w:val="24"/>
                <w:highlight w:val="none"/>
                <w:lang w:val="en-US" w:eastAsia="zh-CN"/>
              </w:rPr>
              <w:t>替代颗粒燃烧废气</w:t>
            </w:r>
          </w:p>
          <w:p w14:paraId="5C787077">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项目滚筒式干燥机燃烧本项目自产的替代燃烧颗粒为烘干过程供热，参考四川省生态环境厅2021年2月9日的答复内容“……如该加热气体不与烘房内被加热物质直接接触，则属于间接加热，建议执行锅炉排放标准</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如该加热气体要与烘房内被加热物质接触，则属于直接加热，建议执行企业行业标准</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无行业标准则执行大气综合排放标准”，本项目燃烧废气不与烘干机内被加热物料直接接触，属于间接加热，因此本次参照生物质锅炉相关系数、标准对燃烧机废气进行计算。</w:t>
            </w:r>
          </w:p>
          <w:p w14:paraId="005B3147">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替代颗粒物燃烧机功率为330万大卡，根据锅炉吨位换算关系：1吨/小时约等于0.7兆瓦，相当于60万大卡/小时或720千瓦，则本项目燃烧机功率折合锅炉蒸吨数约为5.5吨/小时，属于小于20t/h锅炉范围，执行《锅炉大气污染物排放标准》（DB13/5161-2020）表1中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≤30mg/m³、NOx≤150mg/m³标准。</w:t>
            </w:r>
          </w:p>
          <w:p w14:paraId="6ED26966">
            <w:pPr>
              <w:pStyle w:val="12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由于生产过程存在热损失，按照热能转换效率80%计算，330万大卡的燃烧机需要热量为412.5万大卡，本项目自产的替代燃烧颗粒最低热值为1434大卡/千克，则每小时需消耗替代燃烧颗粒约2877千克。</w:t>
            </w:r>
          </w:p>
          <w:p w14:paraId="3E9DF8CC">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根据《排放源统计调查产排污核算方法和系数手册》4430 工业锅炉（热力生产和供应行业）产污系数表-生物质工业锅炉产污系数可知，废气量为6240立方米/吨-原料，则燃烧机燃烧废气量为17952.48立方米/时，年工作小时数为7200时。</w:t>
            </w:r>
          </w:p>
          <w:p w14:paraId="0DFEAEFB">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highlight w:val="none"/>
                <w:lang w:val="en-US" w:eastAsia="zh-CN"/>
              </w:rPr>
              <w:t>项目替代燃料燃烧废气处理配套1套废气处理措施，采用“低氮燃烧+SCR脱硝+干法脱硫+脉冲布袋除尘器”处理，处理后由一根25m高排气筒</w:t>
            </w:r>
            <w:r>
              <w:rPr>
                <w:rFonts w:hint="default" w:ascii="Times New Roman" w:hAnsi="Times New Roman" w:eastAsia="宋体" w:cs="Times New Roman"/>
                <w:color w:val="auto"/>
                <w:sz w:val="24"/>
                <w:highlight w:val="none"/>
                <w:lang w:val="en-US" w:eastAsia="zh-CN"/>
              </w:rPr>
              <w:t>DA001排放</w:t>
            </w:r>
            <w:r>
              <w:rPr>
                <w:rFonts w:hint="default" w:ascii="Times New Roman" w:hAnsi="Times New Roman" w:eastAsia="宋体" w:cs="Times New Roman"/>
                <w:color w:val="auto"/>
                <w:sz w:val="24"/>
                <w:szCs w:val="24"/>
                <w:highlight w:val="none"/>
                <w:lang w:val="en-US" w:eastAsia="zh-CN"/>
              </w:rPr>
              <w:t>。处理措施中</w:t>
            </w:r>
            <w:r>
              <w:rPr>
                <w:rFonts w:hint="default" w:ascii="Times New Roman" w:hAnsi="Times New Roman" w:eastAsia="宋体" w:cs="Times New Roman"/>
                <w:color w:val="auto"/>
                <w:sz w:val="24"/>
                <w:highlight w:val="none"/>
                <w:lang w:val="en-US" w:eastAsia="zh-CN"/>
              </w:rPr>
              <w:t>“炉内脱硫”的脱硫效率≥</w:t>
            </w:r>
            <w:r>
              <w:rPr>
                <w:rFonts w:hint="default" w:ascii="Times New Roman" w:hAnsi="Times New Roman" w:cs="Times New Roman"/>
                <w:color w:val="auto"/>
                <w:sz w:val="24"/>
                <w:highlight w:val="none"/>
                <w:lang w:val="en-US" w:eastAsia="zh-CN"/>
              </w:rPr>
              <w:t>95</w:t>
            </w:r>
            <w:r>
              <w:rPr>
                <w:rFonts w:hint="default" w:ascii="Times New Roman" w:hAnsi="Times New Roman" w:eastAsia="宋体" w:cs="Times New Roman"/>
                <w:color w:val="auto"/>
                <w:sz w:val="24"/>
                <w:highlight w:val="none"/>
                <w:lang w:val="en-US" w:eastAsia="zh-CN"/>
              </w:rPr>
              <w:t>%、“低氮燃烧+SCR”的脱硝效率≥85%、“布袋除尘器”的除尘效率≥9</w:t>
            </w:r>
            <w:r>
              <w:rPr>
                <w:rFonts w:hint="default" w:ascii="Times New Roman" w:hAnsi="Times New Roman" w:cs="Times New Roman"/>
                <w:color w:val="auto"/>
                <w:sz w:val="24"/>
                <w:highlight w:val="none"/>
                <w:lang w:val="en-US" w:eastAsia="zh-CN"/>
              </w:rPr>
              <w:t>8</w:t>
            </w:r>
            <w:r>
              <w:rPr>
                <w:rFonts w:hint="default" w:ascii="Times New Roman" w:hAnsi="Times New Roman" w:eastAsia="宋体" w:cs="Times New Roman"/>
                <w:color w:val="auto"/>
                <w:sz w:val="24"/>
                <w:highlight w:val="none"/>
                <w:lang w:val="en-US" w:eastAsia="zh-CN"/>
              </w:rPr>
              <w:t>%。</w:t>
            </w:r>
          </w:p>
          <w:p w14:paraId="220BBCB7">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highlight w:val="none"/>
                <w:lang w:val="en-US" w:eastAsia="zh-CN"/>
              </w:rPr>
              <w:t>《排放源统计调查产排污核算方法和系数手册》2542生物质致密成型燃料加工行业系数表中，生物质原料烘干过程中，颗粒物产污系数为4.01×10</w:t>
            </w:r>
            <w:r>
              <w:rPr>
                <w:rFonts w:hint="default" w:ascii="Times New Roman" w:hAnsi="Times New Roman" w:eastAsia="宋体"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lang w:val="en-US" w:eastAsia="zh-CN"/>
              </w:rPr>
              <w:t>吨/吨</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产品，氮氧化物产污系数为6.89×10</w:t>
            </w:r>
            <w:r>
              <w:rPr>
                <w:rFonts w:hint="default" w:ascii="Times New Roman" w:hAnsi="Times New Roman" w:eastAsia="宋体"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lang w:val="en-US" w:eastAsia="zh-CN"/>
              </w:rPr>
              <w:t>吨/吨</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产品，二氧化硫4.80×10</w:t>
            </w:r>
            <w:r>
              <w:rPr>
                <w:rFonts w:hint="default" w:ascii="Times New Roman" w:hAnsi="Times New Roman" w:eastAsia="宋体"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lang w:val="en-US" w:eastAsia="zh-CN"/>
              </w:rPr>
              <w:t>吨/吨</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产品，本项目替代燃烧颗粒产量为10万吨/a，则烘干过程颗粒物产生量为40.1t/a，二氧化硫产生量为48t/a，氮氧化物产生量为68.9t/a。则经过“低氮燃烧+SCR脱硝+干法脱硫+脉冲布袋除尘器”处理后，颗粒物排放浓度为</w:t>
            </w:r>
            <w:r>
              <w:rPr>
                <w:rFonts w:hint="default" w:ascii="Times New Roman" w:hAnsi="Times New Roman" w:cs="Times New Roman"/>
                <w:color w:val="auto"/>
                <w:sz w:val="24"/>
                <w:szCs w:val="24"/>
                <w:highlight w:val="none"/>
                <w:lang w:val="en-US" w:eastAsia="zh-CN"/>
              </w:rPr>
              <w:t>6.205</w:t>
            </w:r>
            <w:r>
              <w:rPr>
                <w:rFonts w:hint="default" w:ascii="Times New Roman" w:hAnsi="Times New Roman" w:eastAsia="宋体" w:cs="Times New Roman"/>
                <w:color w:val="000000"/>
                <w:sz w:val="24"/>
                <w:szCs w:val="24"/>
                <w:highlight w:val="none"/>
                <w:lang w:val="en-US" w:eastAsia="zh-CN"/>
              </w:rPr>
              <w:t>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，排放速率0.111kg/h，排放量0.802t/a；二氧化硫</w:t>
            </w:r>
            <w:r>
              <w:rPr>
                <w:rFonts w:hint="default" w:ascii="Times New Roman" w:hAnsi="Times New Roman" w:eastAsia="宋体" w:cs="Times New Roman"/>
                <w:color w:val="auto"/>
                <w:sz w:val="24"/>
                <w:szCs w:val="24"/>
                <w:highlight w:val="none"/>
                <w:lang w:val="en-US" w:eastAsia="zh-CN"/>
              </w:rPr>
              <w:t>排放浓度为</w:t>
            </w:r>
            <w:r>
              <w:rPr>
                <w:rFonts w:hint="default" w:ascii="Times New Roman" w:hAnsi="Times New Roman" w:cs="Times New Roman"/>
                <w:color w:val="auto"/>
                <w:sz w:val="24"/>
                <w:szCs w:val="24"/>
                <w:highlight w:val="none"/>
                <w:lang w:val="en-US" w:eastAsia="zh-CN"/>
              </w:rPr>
              <w:t>18.568</w:t>
            </w:r>
            <w:r>
              <w:rPr>
                <w:rFonts w:hint="default" w:ascii="Times New Roman" w:hAnsi="Times New Roman" w:eastAsia="宋体" w:cs="Times New Roman"/>
                <w:color w:val="000000"/>
                <w:sz w:val="24"/>
                <w:szCs w:val="24"/>
                <w:highlight w:val="none"/>
                <w:lang w:val="en-US" w:eastAsia="zh-CN"/>
              </w:rPr>
              <w:t>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，排放速率0.333kg/h，排放量2.4t/a；氮氧化物</w:t>
            </w:r>
            <w:r>
              <w:rPr>
                <w:rFonts w:hint="default" w:ascii="Times New Roman" w:hAnsi="Times New Roman" w:eastAsia="宋体" w:cs="Times New Roman"/>
                <w:color w:val="auto"/>
                <w:sz w:val="24"/>
                <w:szCs w:val="24"/>
                <w:highlight w:val="none"/>
                <w:lang w:val="en-US" w:eastAsia="zh-CN"/>
              </w:rPr>
              <w:t>排放浓度为</w:t>
            </w:r>
            <w:r>
              <w:rPr>
                <w:rFonts w:hint="default" w:ascii="Times New Roman" w:hAnsi="Times New Roman" w:cs="Times New Roman"/>
                <w:color w:val="auto"/>
                <w:sz w:val="24"/>
                <w:szCs w:val="24"/>
                <w:highlight w:val="none"/>
                <w:lang w:val="en-US" w:eastAsia="zh-CN"/>
              </w:rPr>
              <w:t>79.956</w:t>
            </w:r>
            <w:r>
              <w:rPr>
                <w:rFonts w:hint="default" w:ascii="Times New Roman" w:hAnsi="Times New Roman" w:eastAsia="宋体" w:cs="Times New Roman"/>
                <w:color w:val="000000"/>
                <w:sz w:val="24"/>
                <w:szCs w:val="24"/>
                <w:highlight w:val="none"/>
                <w:lang w:val="en-US" w:eastAsia="zh-CN"/>
              </w:rPr>
              <w:t>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，排放速率1.436kg/h，排放量10.335t/a；</w:t>
            </w:r>
          </w:p>
          <w:p w14:paraId="049DA39C">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根据拟建工程脱硝系统设计资料，氨逃逸浓度小于2.3mg/m³。本次评价按最不利状况考虑，取氨排放浓度为2.3mg/m³。类比</w:t>
            </w:r>
            <w:r>
              <w:rPr>
                <w:rFonts w:hint="default" w:ascii="Times New Roman" w:hAnsi="Times New Roman" w:eastAsia="宋体" w:cs="Times New Roman"/>
                <w:color w:val="auto"/>
                <w:sz w:val="24"/>
                <w:highlight w:val="none"/>
              </w:rPr>
              <w:t>迁安市仁创绿源环保科技有限公司</w:t>
            </w:r>
            <w:r>
              <w:rPr>
                <w:rFonts w:hint="default" w:ascii="Times New Roman" w:hAnsi="Times New Roman" w:eastAsia="宋体" w:cs="Times New Roman"/>
                <w:color w:val="auto"/>
                <w:sz w:val="24"/>
                <w:highlight w:val="none"/>
                <w:lang w:val="en-US" w:eastAsia="zh-CN"/>
              </w:rPr>
              <w:t>在全国环境监测数据工况平台上公开的自行检测数据（</w:t>
            </w:r>
            <w:r>
              <w:rPr>
                <w:rFonts w:hint="default" w:ascii="Times New Roman" w:hAnsi="Times New Roman" w:eastAsia="宋体" w:cs="Times New Roman"/>
                <w:color w:val="auto"/>
                <w:sz w:val="24"/>
                <w:highlight w:val="none"/>
              </w:rPr>
              <w:t>迁安市仁创绿源环保科技有限公司</w:t>
            </w:r>
            <w:r>
              <w:rPr>
                <w:rFonts w:hint="default" w:ascii="Times New Roman" w:hAnsi="Times New Roman" w:eastAsia="宋体" w:cs="Times New Roman"/>
                <w:color w:val="auto"/>
                <w:sz w:val="24"/>
                <w:highlight w:val="none"/>
                <w:lang w:val="en-US" w:eastAsia="zh-CN"/>
              </w:rPr>
              <w:t>设置一台6t/h的生物质锅炉，与本项目燃烧机吨位接近，具有类比可行性），汞及其化合物</w:t>
            </w:r>
            <w:r>
              <w:rPr>
                <w:rFonts w:hint="default" w:ascii="Times New Roman" w:hAnsi="Times New Roman" w:cs="Times New Roman"/>
                <w:color w:val="auto"/>
                <w:sz w:val="24"/>
                <w:highlight w:val="none"/>
                <w:lang w:val="en-US" w:eastAsia="zh-CN"/>
              </w:rPr>
              <w:t>排放浓度约0.000011</w:t>
            </w:r>
            <w:r>
              <w:rPr>
                <w:rFonts w:hint="default" w:ascii="Times New Roman" w:hAnsi="Times New Roman" w:eastAsia="宋体" w:cs="Times New Roman"/>
                <w:color w:val="auto"/>
                <w:sz w:val="24"/>
                <w:highlight w:val="none"/>
                <w:lang w:val="en-US" w:eastAsia="zh-CN"/>
              </w:rPr>
              <w:t>mg/m³，烟气黑度≤1</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级</w:t>
            </w:r>
            <w:r>
              <w:rPr>
                <w:rFonts w:hint="default" w:ascii="Times New Roman" w:hAnsi="Times New Roman" w:cs="Times New Roman"/>
                <w:color w:val="auto"/>
                <w:sz w:val="24"/>
                <w:highlight w:val="none"/>
                <w:lang w:val="en-US" w:eastAsia="zh-CN"/>
              </w:rPr>
              <w:t>）。</w:t>
            </w:r>
          </w:p>
          <w:p w14:paraId="5240D75F">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因此，本项目替代颗粒燃烧污染物中颗粒物、二氧化硫、氮氧化物、氨、</w:t>
            </w:r>
            <w:r>
              <w:rPr>
                <w:rFonts w:hint="default" w:ascii="Times New Roman" w:hAnsi="Times New Roman" w:eastAsia="宋体" w:cs="Times New Roman"/>
                <w:color w:val="auto"/>
                <w:sz w:val="24"/>
                <w:highlight w:val="none"/>
                <w:lang w:val="en-US" w:eastAsia="zh-CN"/>
              </w:rPr>
              <w:t>汞及其化合物、烟气黑度均满足</w:t>
            </w:r>
            <w:r>
              <w:rPr>
                <w:rFonts w:hint="default" w:ascii="Times New Roman" w:hAnsi="Times New Roman" w:cs="Times New Roman"/>
                <w:color w:val="auto"/>
                <w:sz w:val="24"/>
                <w:highlight w:val="none"/>
                <w:lang w:val="en-US" w:eastAsia="zh-CN"/>
              </w:rPr>
              <w:t>参照执行的</w:t>
            </w:r>
            <w:r>
              <w:rPr>
                <w:rFonts w:hint="default" w:ascii="Times New Roman" w:hAnsi="Times New Roman" w:eastAsia="宋体" w:cs="Times New Roman"/>
                <w:color w:val="auto"/>
                <w:sz w:val="24"/>
                <w:highlight w:val="none"/>
                <w:lang w:val="en-US" w:eastAsia="zh-CN"/>
              </w:rPr>
              <w:t>《锅炉大气污染物排放标准》</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DB13/5161-2020</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表1大气污染物排放限值要求。</w:t>
            </w:r>
          </w:p>
          <w:p w14:paraId="7901BBE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（四）免烧砖生产线废气</w:t>
            </w:r>
          </w:p>
          <w:p w14:paraId="06C93C7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snapToGrid w:val="0"/>
                <w:color w:val="000000"/>
                <w:kern w:val="0"/>
                <w:sz w:val="24"/>
                <w:szCs w:val="24"/>
                <w:highlight w:val="none"/>
                <w:lang w:val="en-US" w:eastAsia="zh-CN"/>
              </w:rPr>
            </w:pPr>
            <w:r>
              <w:rPr>
                <w:rFonts w:hint="default" w:ascii="Times New Roman" w:hAnsi="Times New Roman" w:eastAsia="宋体" w:cs="Times New Roman"/>
                <w:b/>
                <w:bCs/>
                <w:snapToGrid w:val="0"/>
                <w:color w:val="000000"/>
                <w:kern w:val="0"/>
                <w:sz w:val="24"/>
                <w:szCs w:val="24"/>
                <w:highlight w:val="none"/>
                <w:lang w:eastAsia="zh-CN"/>
              </w:rPr>
              <w:t>废气收集方式</w:t>
            </w:r>
            <w:r>
              <w:rPr>
                <w:rFonts w:hint="default" w:ascii="Times New Roman" w:hAnsi="Times New Roman" w:eastAsia="宋体" w:cs="Times New Roman"/>
                <w:b/>
                <w:bCs/>
                <w:snapToGrid w:val="0"/>
                <w:color w:val="000000"/>
                <w:kern w:val="0"/>
                <w:sz w:val="24"/>
                <w:szCs w:val="24"/>
                <w:highlight w:val="none"/>
                <w:lang w:val="en-US" w:eastAsia="zh-CN"/>
              </w:rPr>
              <w:t>及风机风量核算：</w:t>
            </w:r>
          </w:p>
          <w:p w14:paraId="035393F9">
            <w:pPr>
              <w:pStyle w:val="1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i w:val="0"/>
                <w:iCs w:val="0"/>
                <w:color w:val="auto"/>
                <w:kern w:val="0"/>
                <w:sz w:val="24"/>
                <w:szCs w:val="24"/>
                <w:highlight w:val="none"/>
                <w:u w:val="none"/>
                <w:lang w:val="en-US" w:eastAsia="zh-CN" w:bidi="ar-SA"/>
              </w:rPr>
            </w:pP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本项目废气收集采取集气罩及集气管形式收集，两种废气量核算按以下公式计算。</w:t>
            </w:r>
          </w:p>
          <w:p w14:paraId="0397FEE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none"/>
                <w:lang w:val="en-US" w:eastAsia="zh-CN" w:bidi="ar-SA"/>
              </w:rPr>
            </w:pP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①集气罩收集废气量按照以下公式计算：</w:t>
            </w:r>
          </w:p>
          <w:p w14:paraId="66DC40B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none"/>
                <w:lang w:val="en-US" w:eastAsia="zh-CN" w:bidi="ar-SA"/>
              </w:rPr>
            </w:pP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公式：Q=3600×V×A</w:t>
            </w:r>
          </w:p>
          <w:p w14:paraId="45A01F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none"/>
                <w:lang w:val="en-US" w:eastAsia="zh-CN" w:bidi="ar-SA"/>
              </w:rPr>
            </w:pP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式中：Q—吸尘罩吸风量，m</w:t>
            </w:r>
            <w:r>
              <w:rPr>
                <w:rFonts w:hint="default" w:ascii="Times New Roman" w:hAnsi="Times New Roman" w:eastAsia="宋体" w:cs="Times New Roman"/>
                <w:b w:val="0"/>
                <w:bCs w:val="0"/>
                <w:i w:val="0"/>
                <w:iCs w:val="0"/>
                <w:color w:val="auto"/>
                <w:kern w:val="0"/>
                <w:sz w:val="24"/>
                <w:szCs w:val="24"/>
                <w:highlight w:val="none"/>
                <w:u w:val="none"/>
                <w:vertAlign w:val="superscript"/>
                <w:lang w:val="en-US" w:eastAsia="zh-CN" w:bidi="ar-SA"/>
              </w:rPr>
              <w:t>3</w:t>
            </w: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/h；A</w:t>
            </w:r>
            <w:r>
              <w:rPr>
                <w:rFonts w:hint="default" w:ascii="Times New Roman" w:hAnsi="Times New Roman" w:cs="Times New Roman"/>
                <w:b w:val="0"/>
                <w:bCs w:val="0"/>
                <w:i w:val="0"/>
                <w:iCs w:val="0"/>
                <w:color w:val="auto"/>
                <w:kern w:val="0"/>
                <w:sz w:val="24"/>
                <w:szCs w:val="24"/>
                <w:highlight w:val="none"/>
                <w:u w:val="none"/>
                <w:lang w:val="en-US" w:eastAsia="zh-CN" w:bidi="ar-SA"/>
              </w:rPr>
              <w:t>－</w:t>
            </w: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罩口面积；V-罩口控制风速m/s，视具体情况而定，本项目密闭集气罩风速取0.4，一面敞开三面围挡的顶吸罩取0.8m/s，敞开顶吸罩取1.2m/s。</w:t>
            </w:r>
          </w:p>
          <w:p w14:paraId="42D872A5">
            <w:pPr>
              <w:pStyle w:val="2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firstLine="480" w:firstLineChars="200"/>
              <w:jc w:val="left"/>
              <w:textAlignment w:val="auto"/>
              <w:rPr>
                <w:rFonts w:hint="default" w:ascii="Times New Roman" w:hAnsi="Times New Roman" w:eastAsia="宋体" w:cs="Times New Roman"/>
                <w:b w:val="0"/>
                <w:bCs w:val="0"/>
                <w:i w:val="0"/>
                <w:iCs w:val="0"/>
                <w:color w:val="auto"/>
                <w:kern w:val="0"/>
                <w:sz w:val="24"/>
                <w:szCs w:val="24"/>
                <w:highlight w:val="none"/>
                <w:u w:val="none"/>
                <w:lang w:val="en-US" w:eastAsia="zh-CN" w:bidi="ar-SA"/>
              </w:rPr>
            </w:pP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②集气管道单孔的风量为：L=3600Fv</w:t>
            </w:r>
          </w:p>
          <w:p w14:paraId="742DE0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napToGrid w:val="0"/>
                <w:color w:val="000000"/>
                <w:kern w:val="0"/>
                <w:sz w:val="24"/>
                <w:szCs w:val="24"/>
                <w:highlight w:val="none"/>
                <w:lang w:eastAsia="zh-CN"/>
              </w:rPr>
            </w:pP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式中：L：排气量，m</w:t>
            </w:r>
            <w:r>
              <w:rPr>
                <w:rFonts w:hint="default" w:ascii="Times New Roman" w:hAnsi="Times New Roman" w:eastAsia="宋体" w:cs="Times New Roman"/>
                <w:b w:val="0"/>
                <w:bCs w:val="0"/>
                <w:i w:val="0"/>
                <w:iCs w:val="0"/>
                <w:color w:val="auto"/>
                <w:kern w:val="0"/>
                <w:sz w:val="24"/>
                <w:szCs w:val="24"/>
                <w:highlight w:val="none"/>
                <w:u w:val="none"/>
                <w:vertAlign w:val="superscript"/>
                <w:lang w:val="en-US" w:eastAsia="zh-CN" w:bidi="ar-SA"/>
              </w:rPr>
              <w:t>3</w:t>
            </w: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/h；F：工作孔的面积，m</w:t>
            </w:r>
            <w:r>
              <w:rPr>
                <w:rFonts w:hint="default" w:ascii="Times New Roman" w:hAnsi="Times New Roman" w:eastAsia="宋体" w:cs="Times New Roman"/>
                <w:b w:val="0"/>
                <w:bCs w:val="0"/>
                <w:i w:val="0"/>
                <w:iCs w:val="0"/>
                <w:color w:val="auto"/>
                <w:kern w:val="0"/>
                <w:sz w:val="24"/>
                <w:szCs w:val="24"/>
                <w:highlight w:val="none"/>
                <w:u w:val="none"/>
                <w:vertAlign w:val="superscript"/>
                <w:lang w:val="en-US" w:eastAsia="zh-CN" w:bidi="ar-SA"/>
              </w:rPr>
              <w:t>2</w:t>
            </w:r>
            <w:r>
              <w:rPr>
                <w:rFonts w:hint="default" w:ascii="Times New Roman" w:hAnsi="Times New Roman" w:eastAsia="宋体" w:cs="Times New Roman"/>
                <w:b w:val="0"/>
                <w:bCs w:val="0"/>
                <w:i w:val="0"/>
                <w:iCs w:val="0"/>
                <w:color w:val="auto"/>
                <w:kern w:val="0"/>
                <w:sz w:val="24"/>
                <w:szCs w:val="24"/>
                <w:highlight w:val="none"/>
                <w:u w:val="none"/>
                <w:lang w:val="en-US" w:eastAsia="zh-CN" w:bidi="ar-SA"/>
              </w:rPr>
              <w:t>；V：工作孔空气的吸入速度，m/s，本项目取17m/s。</w:t>
            </w:r>
          </w:p>
          <w:p w14:paraId="511EE36F">
            <w:pPr>
              <w:pStyle w:val="7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Cs/>
                <w:color w:val="000000"/>
                <w:sz w:val="24"/>
                <w:highlight w:val="none"/>
                <w:lang w:val="zh-CN" w:eastAsia="zh-CN"/>
              </w:rPr>
            </w:pPr>
            <w:r>
              <w:rPr>
                <w:rFonts w:hint="default" w:ascii="Times New Roman" w:hAnsi="Times New Roman" w:eastAsia="宋体" w:cs="Times New Roman"/>
                <w:bCs/>
                <w:color w:val="000000"/>
                <w:sz w:val="24"/>
                <w:highlight w:val="none"/>
                <w:lang w:val="zh-CN" w:eastAsia="zh-CN"/>
              </w:rPr>
              <w:t>表</w:t>
            </w:r>
            <w:r>
              <w:rPr>
                <w:rFonts w:hint="default" w:ascii="Times New Roman" w:hAnsi="Times New Roman" w:eastAsia="宋体" w:cs="Times New Roman"/>
                <w:bCs/>
                <w:color w:val="000000"/>
                <w:sz w:val="24"/>
                <w:highlight w:val="none"/>
                <w:lang w:val="en-US" w:eastAsia="zh-CN"/>
              </w:rPr>
              <w:t>4-</w:t>
            </w:r>
            <w:r>
              <w:rPr>
                <w:rFonts w:hint="default" w:ascii="Times New Roman" w:hAnsi="Times New Roman" w:cs="Times New Roman"/>
                <w:bCs/>
                <w:color w:val="000000"/>
                <w:sz w:val="24"/>
                <w:highlight w:val="none"/>
                <w:lang w:val="en-US" w:eastAsia="zh-CN"/>
              </w:rPr>
              <w:t>2</w:t>
            </w:r>
            <w:r>
              <w:rPr>
                <w:rFonts w:hint="default" w:ascii="Times New Roman" w:hAnsi="Times New Roman" w:eastAsia="宋体" w:cs="Times New Roman"/>
                <w:bCs/>
                <w:color w:val="000000"/>
                <w:sz w:val="24"/>
                <w:highlight w:val="none"/>
                <w:lang w:val="en-US" w:eastAsia="zh-CN"/>
              </w:rPr>
              <w:t xml:space="preserve">   </w:t>
            </w:r>
            <w:r>
              <w:rPr>
                <w:rFonts w:hint="default" w:ascii="Times New Roman" w:hAnsi="Times New Roman" w:eastAsia="宋体" w:cs="Times New Roman"/>
                <w:bCs/>
                <w:color w:val="000000"/>
                <w:sz w:val="24"/>
                <w:highlight w:val="none"/>
                <w:lang w:val="zh-CN" w:eastAsia="zh-CN"/>
              </w:rPr>
              <w:t xml:space="preserve"> 废气收集方式及风机合理性核算一览表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2833"/>
              <w:gridCol w:w="1308"/>
              <w:gridCol w:w="643"/>
              <w:gridCol w:w="628"/>
              <w:gridCol w:w="789"/>
              <w:gridCol w:w="789"/>
            </w:tblGrid>
            <w:tr w14:paraId="3EF5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noWrap w:val="0"/>
                  <w:vAlign w:val="center"/>
                </w:tcPr>
                <w:p w14:paraId="0D2F016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工序</w:t>
                  </w:r>
                </w:p>
              </w:tc>
              <w:tc>
                <w:tcPr>
                  <w:tcW w:w="1700" w:type="pct"/>
                  <w:tcBorders>
                    <w:tl2br w:val="nil"/>
                    <w:tr2bl w:val="nil"/>
                  </w:tcBorders>
                  <w:noWrap w:val="0"/>
                  <w:vAlign w:val="center"/>
                </w:tcPr>
                <w:p w14:paraId="7D53F58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收集方式</w:t>
                  </w:r>
                </w:p>
              </w:tc>
              <w:tc>
                <w:tcPr>
                  <w:tcW w:w="785" w:type="pct"/>
                  <w:tcBorders>
                    <w:tl2br w:val="nil"/>
                    <w:tr2bl w:val="nil"/>
                  </w:tcBorders>
                  <w:noWrap w:val="0"/>
                  <w:vAlign w:val="center"/>
                </w:tcPr>
                <w:p w14:paraId="3444F5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尺寸</w:t>
                  </w:r>
                </w:p>
              </w:tc>
              <w:tc>
                <w:tcPr>
                  <w:tcW w:w="386" w:type="pct"/>
                  <w:tcBorders>
                    <w:tl2br w:val="nil"/>
                    <w:tr2bl w:val="nil"/>
                  </w:tcBorders>
                  <w:noWrap w:val="0"/>
                  <w:vAlign w:val="center"/>
                </w:tcPr>
                <w:p w14:paraId="50FDDF2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风速（m/s）</w:t>
                  </w:r>
                </w:p>
              </w:tc>
              <w:tc>
                <w:tcPr>
                  <w:tcW w:w="376" w:type="pct"/>
                  <w:tcBorders>
                    <w:tl2br w:val="nil"/>
                    <w:tr2bl w:val="nil"/>
                  </w:tcBorders>
                  <w:noWrap w:val="0"/>
                  <w:vAlign w:val="center"/>
                </w:tcPr>
                <w:p w14:paraId="4D87096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数量</w:t>
                  </w:r>
                </w:p>
              </w:tc>
              <w:tc>
                <w:tcPr>
                  <w:tcW w:w="473" w:type="pct"/>
                  <w:tcBorders>
                    <w:tl2br w:val="nil"/>
                    <w:tr2bl w:val="nil"/>
                  </w:tcBorders>
                  <w:noWrap w:val="0"/>
                  <w:vAlign w:val="center"/>
                </w:tcPr>
                <w:p w14:paraId="4CC4C81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风量（m</w:t>
                  </w:r>
                  <w:r>
                    <w:rPr>
                      <w:rFonts w:hint="default" w:ascii="Times New Roman" w:hAnsi="Times New Roman" w:eastAsia="宋体" w:cs="Times New Roman"/>
                      <w:color w:val="000000"/>
                      <w:sz w:val="18"/>
                      <w:szCs w:val="18"/>
                      <w:highlight w:val="none"/>
                      <w:vertAlign w:val="superscript"/>
                    </w:rPr>
                    <w:t>3</w:t>
                  </w:r>
                  <w:r>
                    <w:rPr>
                      <w:rFonts w:hint="default" w:ascii="Times New Roman" w:hAnsi="Times New Roman" w:eastAsia="宋体" w:cs="Times New Roman"/>
                      <w:color w:val="000000"/>
                      <w:sz w:val="18"/>
                      <w:szCs w:val="18"/>
                      <w:highlight w:val="none"/>
                    </w:rPr>
                    <w:t>/h）</w:t>
                  </w:r>
                </w:p>
              </w:tc>
              <w:tc>
                <w:tcPr>
                  <w:tcW w:w="473" w:type="pct"/>
                  <w:tcBorders>
                    <w:tl2br w:val="nil"/>
                    <w:tr2bl w:val="nil"/>
                  </w:tcBorders>
                  <w:noWrap w:val="0"/>
                  <w:vAlign w:val="center"/>
                </w:tcPr>
                <w:p w14:paraId="1897781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合计风量（m</w:t>
                  </w:r>
                  <w:r>
                    <w:rPr>
                      <w:rFonts w:hint="default" w:ascii="Times New Roman" w:hAnsi="Times New Roman" w:eastAsia="宋体" w:cs="Times New Roman"/>
                      <w:color w:val="000000"/>
                      <w:sz w:val="18"/>
                      <w:szCs w:val="18"/>
                      <w:highlight w:val="none"/>
                      <w:vertAlign w:val="superscript"/>
                    </w:rPr>
                    <w:t>3</w:t>
                  </w:r>
                  <w:r>
                    <w:rPr>
                      <w:rFonts w:hint="default" w:ascii="Times New Roman" w:hAnsi="Times New Roman" w:eastAsia="宋体" w:cs="Times New Roman"/>
                      <w:color w:val="000000"/>
                      <w:sz w:val="18"/>
                      <w:szCs w:val="18"/>
                      <w:highlight w:val="none"/>
                    </w:rPr>
                    <w:t>/h）</w:t>
                  </w:r>
                </w:p>
              </w:tc>
            </w:tr>
            <w:tr w14:paraId="585F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noWrap w:val="0"/>
                  <w:vAlign w:val="center"/>
                </w:tcPr>
                <w:p w14:paraId="5E84BC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18"/>
                      <w:szCs w:val="18"/>
                      <w:highlight w:val="none"/>
                      <w:lang w:val="en-US" w:eastAsia="zh-CN" w:bidi="zh-CN"/>
                    </w:rPr>
                  </w:pPr>
                  <w:bookmarkStart w:id="4" w:name="OLE_LINK80" w:colFirst="1" w:colLast="1"/>
                  <w:bookmarkStart w:id="5" w:name="OLE_LINK81" w:colFirst="1" w:colLast="2"/>
                  <w:bookmarkStart w:id="6" w:name="OLE_LINK59" w:colFirst="4" w:colLast="4"/>
                  <w:bookmarkStart w:id="7" w:name="OLE_LINK83" w:colFirst="0" w:colLast="0"/>
                  <w:r>
                    <w:rPr>
                      <w:rFonts w:hint="default" w:ascii="Times New Roman" w:hAnsi="Times New Roman" w:eastAsia="宋体" w:cs="Times New Roman"/>
                      <w:color w:val="000000"/>
                      <w:sz w:val="18"/>
                      <w:szCs w:val="18"/>
                      <w:highlight w:val="none"/>
                      <w:lang w:eastAsia="zh-CN"/>
                    </w:rPr>
                    <w:t>水泥筒仓、</w:t>
                  </w:r>
                  <w:r>
                    <w:rPr>
                      <w:rFonts w:hint="default" w:ascii="Times New Roman" w:hAnsi="Times New Roman" w:eastAsia="宋体" w:cs="Times New Roman"/>
                      <w:color w:val="000000"/>
                      <w:sz w:val="18"/>
                      <w:szCs w:val="18"/>
                      <w:highlight w:val="none"/>
                      <w:lang w:val="en-US" w:eastAsia="zh-CN"/>
                    </w:rPr>
                    <w:t>粉煤灰筒仓废气</w:t>
                  </w:r>
                </w:p>
              </w:tc>
              <w:tc>
                <w:tcPr>
                  <w:tcW w:w="1700" w:type="pct"/>
                  <w:tcBorders>
                    <w:tl2br w:val="nil"/>
                    <w:tr2bl w:val="nil"/>
                  </w:tcBorders>
                  <w:noWrap w:val="0"/>
                  <w:vAlign w:val="center"/>
                </w:tcPr>
                <w:p w14:paraId="3C5D88C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18"/>
                      <w:szCs w:val="18"/>
                      <w:highlight w:val="none"/>
                      <w:lang w:val="en-US" w:eastAsia="zh-CN" w:bidi="zh-CN"/>
                    </w:rPr>
                  </w:pPr>
                  <w:r>
                    <w:rPr>
                      <w:rFonts w:hint="default" w:ascii="Times New Roman" w:hAnsi="Times New Roman" w:eastAsia="宋体" w:cs="Times New Roman"/>
                      <w:color w:val="000000"/>
                      <w:sz w:val="18"/>
                      <w:szCs w:val="18"/>
                      <w:highlight w:val="none"/>
                      <w:lang w:val="en-US" w:eastAsia="zh-CN"/>
                    </w:rPr>
                    <w:t>水泥筒仓、粉煤灰筒仓</w:t>
                  </w:r>
                  <w:r>
                    <w:rPr>
                      <w:rFonts w:hint="default" w:ascii="Times New Roman" w:hAnsi="Times New Roman" w:eastAsia="宋体" w:cs="Times New Roman"/>
                      <w:color w:val="000000"/>
                      <w:sz w:val="18"/>
                      <w:szCs w:val="18"/>
                      <w:highlight w:val="none"/>
                    </w:rPr>
                    <w:t>顶部设置集气管</w:t>
                  </w:r>
                </w:p>
              </w:tc>
              <w:tc>
                <w:tcPr>
                  <w:tcW w:w="785" w:type="pct"/>
                  <w:tcBorders>
                    <w:tl2br w:val="nil"/>
                    <w:tr2bl w:val="nil"/>
                  </w:tcBorders>
                  <w:noWrap w:val="0"/>
                  <w:vAlign w:val="center"/>
                </w:tcPr>
                <w:p w14:paraId="5EB4D7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内径0.</w:t>
                  </w:r>
                  <w:r>
                    <w:rPr>
                      <w:rFonts w:hint="default" w:ascii="Times New Roman" w:hAnsi="Times New Roman" w:eastAsia="宋体" w:cs="Times New Roman"/>
                      <w:color w:val="000000"/>
                      <w:sz w:val="18"/>
                      <w:szCs w:val="18"/>
                      <w:highlight w:val="none"/>
                      <w:lang w:val="en-US" w:eastAsia="zh-CN"/>
                    </w:rPr>
                    <w:t>2</w:t>
                  </w:r>
                  <w:r>
                    <w:rPr>
                      <w:rFonts w:hint="default" w:ascii="Times New Roman" w:hAnsi="Times New Roman" w:eastAsia="宋体" w:cs="Times New Roman"/>
                      <w:color w:val="000000"/>
                      <w:sz w:val="18"/>
                      <w:szCs w:val="18"/>
                      <w:highlight w:val="none"/>
                    </w:rPr>
                    <w:t>m</w:t>
                  </w:r>
                </w:p>
              </w:tc>
              <w:tc>
                <w:tcPr>
                  <w:tcW w:w="386" w:type="pct"/>
                  <w:tcBorders>
                    <w:tl2br w:val="nil"/>
                    <w:tr2bl w:val="nil"/>
                  </w:tcBorders>
                  <w:noWrap w:val="0"/>
                  <w:vAlign w:val="center"/>
                </w:tcPr>
                <w:p w14:paraId="0CFC5DB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17</w:t>
                  </w:r>
                </w:p>
              </w:tc>
              <w:tc>
                <w:tcPr>
                  <w:tcW w:w="376" w:type="pct"/>
                  <w:tcBorders>
                    <w:tl2br w:val="nil"/>
                    <w:tr2bl w:val="nil"/>
                  </w:tcBorders>
                  <w:noWrap w:val="0"/>
                  <w:vAlign w:val="center"/>
                </w:tcPr>
                <w:p w14:paraId="30E015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2</w:t>
                  </w:r>
                </w:p>
              </w:tc>
              <w:tc>
                <w:tcPr>
                  <w:tcW w:w="473" w:type="pct"/>
                  <w:tcBorders>
                    <w:tl2br w:val="nil"/>
                    <w:tr2bl w:val="nil"/>
                  </w:tcBorders>
                  <w:noWrap w:val="0"/>
                  <w:vAlign w:val="center"/>
                </w:tcPr>
                <w:p w14:paraId="01906F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3844</w:t>
                  </w:r>
                </w:p>
              </w:tc>
              <w:tc>
                <w:tcPr>
                  <w:tcW w:w="473" w:type="pct"/>
                  <w:vMerge w:val="restart"/>
                  <w:tcBorders>
                    <w:tl2br w:val="nil"/>
                    <w:tr2bl w:val="nil"/>
                  </w:tcBorders>
                  <w:noWrap w:val="0"/>
                  <w:vAlign w:val="center"/>
                </w:tcPr>
                <w:p w14:paraId="60B464C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cs="Times New Roman"/>
                      <w:i w:val="0"/>
                      <w:iCs w:val="0"/>
                      <w:color w:val="000000"/>
                      <w:kern w:val="2"/>
                      <w:sz w:val="18"/>
                      <w:szCs w:val="18"/>
                      <w:highlight w:val="none"/>
                      <w:u w:val="none"/>
                      <w:lang w:val="en-US" w:eastAsia="zh-CN" w:bidi="ar-SA"/>
                    </w:rPr>
                    <w:t>12680</w:t>
                  </w:r>
                </w:p>
              </w:tc>
            </w:tr>
            <w:tr w14:paraId="08C2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noWrap w:val="0"/>
                  <w:vAlign w:val="center"/>
                </w:tcPr>
                <w:p w14:paraId="47F4C5A8">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原料上料废气</w:t>
                  </w:r>
                </w:p>
              </w:tc>
              <w:tc>
                <w:tcPr>
                  <w:tcW w:w="1700" w:type="pct"/>
                  <w:tcBorders>
                    <w:tl2br w:val="nil"/>
                    <w:tr2bl w:val="nil"/>
                  </w:tcBorders>
                  <w:noWrap w:val="0"/>
                  <w:vAlign w:val="center"/>
                </w:tcPr>
                <w:p w14:paraId="73B77D95">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上方三面围挡，顶部设</w:t>
                  </w:r>
                  <w:r>
                    <w:rPr>
                      <w:rFonts w:hint="default" w:ascii="Times New Roman" w:hAnsi="Times New Roman" w:eastAsia="宋体" w:cs="Times New Roman"/>
                      <w:color w:val="000000"/>
                      <w:sz w:val="18"/>
                      <w:szCs w:val="18"/>
                      <w:highlight w:val="none"/>
                      <w:lang w:eastAsia="zh-CN"/>
                    </w:rPr>
                    <w:t>集气罩</w:t>
                  </w:r>
                </w:p>
              </w:tc>
              <w:tc>
                <w:tcPr>
                  <w:tcW w:w="785" w:type="pct"/>
                  <w:tcBorders>
                    <w:tl2br w:val="nil"/>
                    <w:tr2bl w:val="nil"/>
                  </w:tcBorders>
                  <w:noWrap w:val="0"/>
                  <w:vAlign w:val="center"/>
                </w:tcPr>
                <w:p w14:paraId="50BDCEC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lang w:val="en-US" w:eastAsia="zh-CN"/>
                    </w:rPr>
                    <w:t>3</w:t>
                  </w:r>
                  <w:r>
                    <w:rPr>
                      <w:rFonts w:hint="default" w:ascii="Times New Roman" w:hAnsi="Times New Roman" w:eastAsia="宋体" w:cs="Times New Roman"/>
                      <w:color w:val="000000"/>
                      <w:sz w:val="18"/>
                      <w:szCs w:val="18"/>
                      <w:highlight w:val="none"/>
                    </w:rPr>
                    <w:t>m×</w:t>
                  </w:r>
                  <w:r>
                    <w:rPr>
                      <w:rFonts w:hint="default" w:ascii="Times New Roman" w:hAnsi="Times New Roman" w:eastAsia="宋体" w:cs="Times New Roman"/>
                      <w:color w:val="000000"/>
                      <w:sz w:val="18"/>
                      <w:szCs w:val="18"/>
                      <w:highlight w:val="none"/>
                      <w:lang w:val="en-US" w:eastAsia="zh-CN"/>
                    </w:rPr>
                    <w:t>0.5m</w:t>
                  </w:r>
                </w:p>
              </w:tc>
              <w:tc>
                <w:tcPr>
                  <w:tcW w:w="386" w:type="pct"/>
                  <w:tcBorders>
                    <w:tl2br w:val="nil"/>
                    <w:tr2bl w:val="nil"/>
                  </w:tcBorders>
                  <w:noWrap w:val="0"/>
                  <w:vAlign w:val="center"/>
                </w:tcPr>
                <w:p w14:paraId="533B319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0.8</w:t>
                  </w:r>
                </w:p>
              </w:tc>
              <w:tc>
                <w:tcPr>
                  <w:tcW w:w="376" w:type="pct"/>
                  <w:tcBorders>
                    <w:tl2br w:val="nil"/>
                    <w:tr2bl w:val="nil"/>
                  </w:tcBorders>
                  <w:noWrap w:val="0"/>
                  <w:vAlign w:val="center"/>
                </w:tcPr>
                <w:p w14:paraId="0F449E8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w:t>
                  </w:r>
                </w:p>
              </w:tc>
              <w:tc>
                <w:tcPr>
                  <w:tcW w:w="473" w:type="pct"/>
                  <w:tcBorders>
                    <w:tl2br w:val="nil"/>
                    <w:tr2bl w:val="nil"/>
                  </w:tcBorders>
                  <w:noWrap w:val="0"/>
                  <w:vAlign w:val="center"/>
                </w:tcPr>
                <w:p w14:paraId="1D8EBA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4320</w:t>
                  </w:r>
                </w:p>
              </w:tc>
              <w:tc>
                <w:tcPr>
                  <w:tcW w:w="473" w:type="pct"/>
                  <w:vMerge w:val="continue"/>
                  <w:tcBorders>
                    <w:tl2br w:val="nil"/>
                    <w:tr2bl w:val="nil"/>
                  </w:tcBorders>
                  <w:noWrap w:val="0"/>
                  <w:vAlign w:val="center"/>
                </w:tcPr>
                <w:p w14:paraId="016687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FF"/>
                      <w:kern w:val="2"/>
                      <w:sz w:val="18"/>
                      <w:szCs w:val="18"/>
                      <w:highlight w:val="none"/>
                      <w:lang w:val="en-US" w:eastAsia="zh-CN" w:bidi="ar-SA"/>
                    </w:rPr>
                  </w:pPr>
                </w:p>
              </w:tc>
            </w:tr>
            <w:tr w14:paraId="5443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shd w:val="clear" w:color="auto" w:fill="auto"/>
                  <w:noWrap w:val="0"/>
                  <w:vAlign w:val="center"/>
                </w:tcPr>
                <w:p w14:paraId="5D08BA98">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themeColor="text1"/>
                      <w:spacing w:val="0"/>
                      <w:w w:val="100"/>
                      <w:position w:val="0"/>
                      <w:sz w:val="18"/>
                      <w:szCs w:val="18"/>
                      <w:highlight w:val="none"/>
                      <w:lang w:val="en-US" w:eastAsia="zh-CN"/>
                      <w14:textFill>
                        <w14:solidFill>
                          <w14:schemeClr w14:val="tx1"/>
                        </w14:solidFill>
                      </w14:textFill>
                    </w:rPr>
                    <w:t>原料皮带落料废气</w:t>
                  </w:r>
                </w:p>
              </w:tc>
              <w:tc>
                <w:tcPr>
                  <w:tcW w:w="1700" w:type="pct"/>
                  <w:tcBorders>
                    <w:tl2br w:val="nil"/>
                    <w:tr2bl w:val="nil"/>
                  </w:tcBorders>
                  <w:shd w:val="clear" w:color="auto" w:fill="auto"/>
                  <w:noWrap w:val="0"/>
                  <w:vAlign w:val="center"/>
                </w:tcPr>
                <w:p w14:paraId="434B153F">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皮带封闭，落料点设置密闭集气罩</w:t>
                  </w:r>
                </w:p>
              </w:tc>
              <w:tc>
                <w:tcPr>
                  <w:tcW w:w="785" w:type="pct"/>
                  <w:tcBorders>
                    <w:tl2br w:val="nil"/>
                    <w:tr2bl w:val="nil"/>
                  </w:tcBorders>
                  <w:shd w:val="clear" w:color="auto" w:fill="auto"/>
                  <w:noWrap w:val="0"/>
                  <w:vAlign w:val="center"/>
                </w:tcPr>
                <w:p w14:paraId="23E92084">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0.5m×0.3m</w:t>
                  </w:r>
                </w:p>
              </w:tc>
              <w:tc>
                <w:tcPr>
                  <w:tcW w:w="386" w:type="pct"/>
                  <w:tcBorders>
                    <w:tl2br w:val="nil"/>
                    <w:tr2bl w:val="nil"/>
                  </w:tcBorders>
                  <w:shd w:val="clear" w:color="auto" w:fill="auto"/>
                  <w:noWrap w:val="0"/>
                  <w:vAlign w:val="center"/>
                </w:tcPr>
                <w:p w14:paraId="684012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0.8</w:t>
                  </w:r>
                </w:p>
              </w:tc>
              <w:tc>
                <w:tcPr>
                  <w:tcW w:w="376" w:type="pct"/>
                  <w:tcBorders>
                    <w:tl2br w:val="nil"/>
                    <w:tr2bl w:val="nil"/>
                  </w:tcBorders>
                  <w:shd w:val="clear" w:color="auto" w:fill="auto"/>
                  <w:noWrap w:val="0"/>
                  <w:vAlign w:val="center"/>
                </w:tcPr>
                <w:p w14:paraId="7D33062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1</w:t>
                  </w:r>
                </w:p>
              </w:tc>
              <w:tc>
                <w:tcPr>
                  <w:tcW w:w="473" w:type="pct"/>
                  <w:tcBorders>
                    <w:tl2br w:val="nil"/>
                    <w:tr2bl w:val="nil"/>
                  </w:tcBorders>
                  <w:shd w:val="clear" w:color="auto" w:fill="auto"/>
                  <w:noWrap w:val="0"/>
                  <w:vAlign w:val="center"/>
                </w:tcPr>
                <w:p w14:paraId="5CBAB94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432</w:t>
                  </w:r>
                </w:p>
              </w:tc>
              <w:tc>
                <w:tcPr>
                  <w:tcW w:w="473" w:type="pct"/>
                  <w:vMerge w:val="continue"/>
                  <w:tcBorders>
                    <w:tl2br w:val="nil"/>
                    <w:tr2bl w:val="nil"/>
                  </w:tcBorders>
                  <w:noWrap w:val="0"/>
                  <w:vAlign w:val="center"/>
                </w:tcPr>
                <w:p w14:paraId="07C658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FF"/>
                      <w:kern w:val="2"/>
                      <w:sz w:val="18"/>
                      <w:szCs w:val="18"/>
                      <w:highlight w:val="none"/>
                      <w:lang w:val="en-US" w:eastAsia="zh-CN" w:bidi="ar-SA"/>
                    </w:rPr>
                  </w:pPr>
                </w:p>
              </w:tc>
            </w:tr>
            <w:tr w14:paraId="7BD0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shd w:val="clear" w:color="auto" w:fill="auto"/>
                  <w:noWrap w:val="0"/>
                  <w:vAlign w:val="center"/>
                </w:tcPr>
                <w:p w14:paraId="6782A4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w w:val="100"/>
                      <w:kern w:val="2"/>
                      <w:positio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18"/>
                      <w:szCs w:val="18"/>
                      <w:highlight w:val="none"/>
                      <w:lang w:val="en-US" w:eastAsia="zh-CN"/>
                      <w14:textFill>
                        <w14:solidFill>
                          <w14:schemeClr w14:val="tx1"/>
                        </w14:solidFill>
                      </w14:textFill>
                    </w:rPr>
                    <w:t>计量废气</w:t>
                  </w:r>
                </w:p>
              </w:tc>
              <w:tc>
                <w:tcPr>
                  <w:tcW w:w="1700" w:type="pct"/>
                  <w:tcBorders>
                    <w:tl2br w:val="nil"/>
                    <w:tr2bl w:val="nil"/>
                  </w:tcBorders>
                  <w:shd w:val="clear" w:color="auto" w:fill="auto"/>
                  <w:noWrap w:val="0"/>
                  <w:vAlign w:val="center"/>
                </w:tcPr>
                <w:p w14:paraId="5FAB515D">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计量斗封闭，</w:t>
                  </w:r>
                  <w:r>
                    <w:rPr>
                      <w:rFonts w:hint="default" w:ascii="Times New Roman" w:hAnsi="Times New Roman" w:eastAsia="宋体" w:cs="Times New Roman"/>
                      <w:color w:val="000000"/>
                      <w:sz w:val="18"/>
                      <w:szCs w:val="18"/>
                      <w:highlight w:val="none"/>
                    </w:rPr>
                    <w:t>并设置集气管</w:t>
                  </w:r>
                </w:p>
              </w:tc>
              <w:tc>
                <w:tcPr>
                  <w:tcW w:w="785" w:type="pct"/>
                  <w:tcBorders>
                    <w:tl2br w:val="nil"/>
                    <w:tr2bl w:val="nil"/>
                  </w:tcBorders>
                  <w:shd w:val="clear" w:color="auto" w:fill="auto"/>
                  <w:noWrap w:val="0"/>
                  <w:vAlign w:val="center"/>
                </w:tcPr>
                <w:p w14:paraId="4AA3630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内径0.</w:t>
                  </w:r>
                  <w:r>
                    <w:rPr>
                      <w:rFonts w:hint="default" w:ascii="Times New Roman" w:hAnsi="Times New Roman" w:eastAsia="宋体" w:cs="Times New Roman"/>
                      <w:color w:val="000000"/>
                      <w:sz w:val="18"/>
                      <w:szCs w:val="18"/>
                      <w:highlight w:val="none"/>
                      <w:lang w:val="en-US" w:eastAsia="zh-CN"/>
                    </w:rPr>
                    <w:t>15</w:t>
                  </w:r>
                  <w:r>
                    <w:rPr>
                      <w:rFonts w:hint="default" w:ascii="Times New Roman" w:hAnsi="Times New Roman" w:eastAsia="宋体" w:cs="Times New Roman"/>
                      <w:color w:val="000000"/>
                      <w:sz w:val="18"/>
                      <w:szCs w:val="18"/>
                      <w:highlight w:val="none"/>
                    </w:rPr>
                    <w:t>m</w:t>
                  </w:r>
                </w:p>
              </w:tc>
              <w:tc>
                <w:tcPr>
                  <w:tcW w:w="386" w:type="pct"/>
                  <w:tcBorders>
                    <w:tl2br w:val="nil"/>
                    <w:tr2bl w:val="nil"/>
                  </w:tcBorders>
                  <w:shd w:val="clear" w:color="auto" w:fill="auto"/>
                  <w:noWrap w:val="0"/>
                  <w:vAlign w:val="center"/>
                </w:tcPr>
                <w:p w14:paraId="1050503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17</w:t>
                  </w:r>
                </w:p>
              </w:tc>
              <w:tc>
                <w:tcPr>
                  <w:tcW w:w="376" w:type="pct"/>
                  <w:tcBorders>
                    <w:tl2br w:val="nil"/>
                    <w:tr2bl w:val="nil"/>
                  </w:tcBorders>
                  <w:shd w:val="clear" w:color="auto" w:fill="auto"/>
                  <w:noWrap w:val="0"/>
                  <w:vAlign w:val="center"/>
                </w:tcPr>
                <w:p w14:paraId="013E207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1</w:t>
                  </w:r>
                </w:p>
              </w:tc>
              <w:tc>
                <w:tcPr>
                  <w:tcW w:w="473" w:type="pct"/>
                  <w:tcBorders>
                    <w:tl2br w:val="nil"/>
                    <w:tr2bl w:val="nil"/>
                  </w:tcBorders>
                  <w:shd w:val="clear" w:color="auto" w:fill="auto"/>
                  <w:noWrap w:val="0"/>
                  <w:vAlign w:val="center"/>
                </w:tcPr>
                <w:p w14:paraId="6FC6B5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1081</w:t>
                  </w:r>
                </w:p>
              </w:tc>
              <w:tc>
                <w:tcPr>
                  <w:tcW w:w="473" w:type="pct"/>
                  <w:vMerge w:val="continue"/>
                  <w:tcBorders>
                    <w:tl2br w:val="nil"/>
                    <w:tr2bl w:val="nil"/>
                  </w:tcBorders>
                  <w:noWrap w:val="0"/>
                  <w:vAlign w:val="center"/>
                </w:tcPr>
                <w:p w14:paraId="395711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FF"/>
                      <w:kern w:val="2"/>
                      <w:sz w:val="18"/>
                      <w:szCs w:val="18"/>
                      <w:highlight w:val="none"/>
                      <w:lang w:val="en-US" w:eastAsia="zh-CN" w:bidi="ar-SA"/>
                    </w:rPr>
                  </w:pPr>
                </w:p>
              </w:tc>
            </w:tr>
            <w:tr w14:paraId="7A19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shd w:val="clear" w:color="auto" w:fill="auto"/>
                  <w:noWrap w:val="0"/>
                  <w:vAlign w:val="center"/>
                </w:tcPr>
                <w:p w14:paraId="36D78FD4">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搅拌上料废气</w:t>
                  </w:r>
                </w:p>
              </w:tc>
              <w:tc>
                <w:tcPr>
                  <w:tcW w:w="1700" w:type="pct"/>
                  <w:tcBorders>
                    <w:tl2br w:val="nil"/>
                    <w:tr2bl w:val="nil"/>
                  </w:tcBorders>
                  <w:shd w:val="clear" w:color="auto" w:fill="auto"/>
                  <w:noWrap w:val="0"/>
                  <w:vAlign w:val="center"/>
                </w:tcPr>
                <w:p w14:paraId="4F29236B">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zh-CN"/>
                    </w:rPr>
                  </w:pPr>
                  <w:r>
                    <w:rPr>
                      <w:rFonts w:hint="default" w:ascii="Times New Roman" w:hAnsi="Times New Roman" w:eastAsia="宋体" w:cs="Times New Roman"/>
                      <w:color w:val="000000"/>
                      <w:sz w:val="18"/>
                      <w:szCs w:val="18"/>
                      <w:highlight w:val="none"/>
                      <w:lang w:val="en-US" w:eastAsia="zh-CN"/>
                    </w:rPr>
                    <w:t>搅拌机</w:t>
                  </w:r>
                  <w:r>
                    <w:rPr>
                      <w:rFonts w:hint="default" w:ascii="Times New Roman" w:hAnsi="Times New Roman" w:eastAsia="宋体" w:cs="Times New Roman"/>
                      <w:color w:val="000000"/>
                      <w:kern w:val="2"/>
                      <w:sz w:val="18"/>
                      <w:szCs w:val="18"/>
                      <w:highlight w:val="none"/>
                      <w:lang w:val="en-US" w:eastAsia="zh-CN" w:bidi="zh-CN"/>
                    </w:rPr>
                    <w:t>全封闭，</w:t>
                  </w:r>
                  <w:r>
                    <w:rPr>
                      <w:rFonts w:hint="default" w:ascii="Times New Roman" w:hAnsi="Times New Roman" w:eastAsia="宋体" w:cs="Times New Roman"/>
                      <w:color w:val="000000"/>
                      <w:sz w:val="18"/>
                      <w:szCs w:val="18"/>
                      <w:highlight w:val="none"/>
                    </w:rPr>
                    <w:t>并设置集气管</w:t>
                  </w:r>
                </w:p>
              </w:tc>
              <w:tc>
                <w:tcPr>
                  <w:tcW w:w="785" w:type="pct"/>
                  <w:tcBorders>
                    <w:tl2br w:val="nil"/>
                    <w:tr2bl w:val="nil"/>
                  </w:tcBorders>
                  <w:shd w:val="clear" w:color="auto" w:fill="auto"/>
                  <w:noWrap w:val="0"/>
                  <w:vAlign w:val="center"/>
                </w:tcPr>
                <w:p w14:paraId="4C2F9DB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内径0.</w:t>
                  </w:r>
                  <w:r>
                    <w:rPr>
                      <w:rFonts w:hint="default" w:ascii="Times New Roman" w:hAnsi="Times New Roman" w:cs="Times New Roman"/>
                      <w:color w:val="000000"/>
                      <w:sz w:val="18"/>
                      <w:szCs w:val="18"/>
                      <w:highlight w:val="none"/>
                      <w:lang w:val="en-US" w:eastAsia="zh-CN"/>
                    </w:rPr>
                    <w:t>15</w:t>
                  </w:r>
                  <w:r>
                    <w:rPr>
                      <w:rFonts w:hint="default" w:ascii="Times New Roman" w:hAnsi="Times New Roman" w:eastAsia="宋体" w:cs="Times New Roman"/>
                      <w:color w:val="000000"/>
                      <w:sz w:val="18"/>
                      <w:szCs w:val="18"/>
                      <w:highlight w:val="none"/>
                    </w:rPr>
                    <w:t>m</w:t>
                  </w:r>
                </w:p>
              </w:tc>
              <w:tc>
                <w:tcPr>
                  <w:tcW w:w="386" w:type="pct"/>
                  <w:tcBorders>
                    <w:tl2br w:val="nil"/>
                    <w:tr2bl w:val="nil"/>
                  </w:tcBorders>
                  <w:shd w:val="clear" w:color="auto" w:fill="auto"/>
                  <w:noWrap w:val="0"/>
                  <w:vAlign w:val="center"/>
                </w:tcPr>
                <w:p w14:paraId="1ACD52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17</w:t>
                  </w:r>
                </w:p>
              </w:tc>
              <w:tc>
                <w:tcPr>
                  <w:tcW w:w="376" w:type="pct"/>
                  <w:tcBorders>
                    <w:tl2br w:val="nil"/>
                    <w:tr2bl w:val="nil"/>
                  </w:tcBorders>
                  <w:shd w:val="clear" w:color="auto" w:fill="auto"/>
                  <w:noWrap w:val="0"/>
                  <w:vAlign w:val="center"/>
                </w:tcPr>
                <w:p w14:paraId="3305DF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1</w:t>
                  </w:r>
                </w:p>
              </w:tc>
              <w:tc>
                <w:tcPr>
                  <w:tcW w:w="473" w:type="pct"/>
                  <w:tcBorders>
                    <w:tl2br w:val="nil"/>
                    <w:tr2bl w:val="nil"/>
                  </w:tcBorders>
                  <w:shd w:val="clear" w:color="auto" w:fill="auto"/>
                  <w:noWrap w:val="0"/>
                  <w:vAlign w:val="center"/>
                </w:tcPr>
                <w:p w14:paraId="3A8BB53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1081</w:t>
                  </w:r>
                </w:p>
              </w:tc>
              <w:tc>
                <w:tcPr>
                  <w:tcW w:w="473" w:type="pct"/>
                  <w:vMerge w:val="continue"/>
                  <w:tcBorders>
                    <w:tl2br w:val="nil"/>
                    <w:tr2bl w:val="nil"/>
                  </w:tcBorders>
                  <w:noWrap w:val="0"/>
                  <w:vAlign w:val="center"/>
                </w:tcPr>
                <w:p w14:paraId="30D749A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FF"/>
                      <w:kern w:val="2"/>
                      <w:sz w:val="18"/>
                      <w:szCs w:val="18"/>
                      <w:highlight w:val="none"/>
                      <w:lang w:val="en-US" w:eastAsia="zh-CN" w:bidi="ar-SA"/>
                    </w:rPr>
                  </w:pPr>
                </w:p>
              </w:tc>
            </w:tr>
            <w:tr w14:paraId="5ACA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3" w:type="pct"/>
                  <w:tcBorders>
                    <w:tl2br w:val="nil"/>
                    <w:tr2bl w:val="nil"/>
                  </w:tcBorders>
                  <w:shd w:val="clear" w:color="auto" w:fill="auto"/>
                  <w:noWrap w:val="0"/>
                  <w:vAlign w:val="center"/>
                </w:tcPr>
                <w:p w14:paraId="12BB87C0">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搅拌废气</w:t>
                  </w:r>
                </w:p>
              </w:tc>
              <w:tc>
                <w:tcPr>
                  <w:tcW w:w="1700" w:type="pct"/>
                  <w:tcBorders>
                    <w:tl2br w:val="nil"/>
                    <w:tr2bl w:val="nil"/>
                  </w:tcBorders>
                  <w:shd w:val="clear" w:color="auto" w:fill="auto"/>
                  <w:noWrap w:val="0"/>
                  <w:vAlign w:val="center"/>
                </w:tcPr>
                <w:p w14:paraId="4EEEA822">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搅拌机</w:t>
                  </w:r>
                  <w:r>
                    <w:rPr>
                      <w:rFonts w:hint="default" w:ascii="Times New Roman" w:hAnsi="Times New Roman" w:eastAsia="宋体" w:cs="Times New Roman"/>
                      <w:color w:val="000000"/>
                      <w:sz w:val="18"/>
                      <w:szCs w:val="18"/>
                      <w:highlight w:val="none"/>
                    </w:rPr>
                    <w:t>封闭，并设置集气管</w:t>
                  </w:r>
                </w:p>
              </w:tc>
              <w:tc>
                <w:tcPr>
                  <w:tcW w:w="785" w:type="pct"/>
                  <w:tcBorders>
                    <w:tl2br w:val="nil"/>
                    <w:tr2bl w:val="nil"/>
                  </w:tcBorders>
                  <w:shd w:val="clear" w:color="auto" w:fill="auto"/>
                  <w:noWrap w:val="0"/>
                  <w:vAlign w:val="center"/>
                </w:tcPr>
                <w:p w14:paraId="034B2D8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内径0.</w:t>
                  </w:r>
                  <w:r>
                    <w:rPr>
                      <w:rFonts w:hint="default" w:ascii="Times New Roman" w:hAnsi="Times New Roman" w:eastAsia="宋体" w:cs="Times New Roman"/>
                      <w:color w:val="000000"/>
                      <w:sz w:val="18"/>
                      <w:szCs w:val="18"/>
                      <w:highlight w:val="none"/>
                      <w:lang w:val="en-US" w:eastAsia="zh-CN"/>
                    </w:rPr>
                    <w:t>2</w:t>
                  </w:r>
                  <w:r>
                    <w:rPr>
                      <w:rFonts w:hint="default" w:ascii="Times New Roman" w:hAnsi="Times New Roman" w:eastAsia="宋体" w:cs="Times New Roman"/>
                      <w:color w:val="000000"/>
                      <w:sz w:val="18"/>
                      <w:szCs w:val="18"/>
                      <w:highlight w:val="none"/>
                    </w:rPr>
                    <w:t>m</w:t>
                  </w:r>
                </w:p>
              </w:tc>
              <w:tc>
                <w:tcPr>
                  <w:tcW w:w="386" w:type="pct"/>
                  <w:tcBorders>
                    <w:tl2br w:val="nil"/>
                    <w:tr2bl w:val="nil"/>
                  </w:tcBorders>
                  <w:shd w:val="clear" w:color="auto" w:fill="auto"/>
                  <w:noWrap w:val="0"/>
                  <w:vAlign w:val="center"/>
                </w:tcPr>
                <w:p w14:paraId="6BF8F8C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17</w:t>
                  </w:r>
                </w:p>
              </w:tc>
              <w:tc>
                <w:tcPr>
                  <w:tcW w:w="376" w:type="pct"/>
                  <w:tcBorders>
                    <w:tl2br w:val="nil"/>
                    <w:tr2bl w:val="nil"/>
                  </w:tcBorders>
                  <w:shd w:val="clear" w:color="auto" w:fill="auto"/>
                  <w:noWrap w:val="0"/>
                  <w:vAlign w:val="center"/>
                </w:tcPr>
                <w:p w14:paraId="7CCA9AA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lang w:val="en-US" w:eastAsia="zh-CN"/>
                    </w:rPr>
                    <w:t>1</w:t>
                  </w:r>
                </w:p>
              </w:tc>
              <w:tc>
                <w:tcPr>
                  <w:tcW w:w="473" w:type="pct"/>
                  <w:tcBorders>
                    <w:tl2br w:val="nil"/>
                    <w:tr2bl w:val="nil"/>
                  </w:tcBorders>
                  <w:shd w:val="clear" w:color="auto" w:fill="auto"/>
                  <w:noWrap w:val="0"/>
                  <w:vAlign w:val="center"/>
                </w:tcPr>
                <w:p w14:paraId="4DDC5BCD">
                  <w:pPr>
                    <w:pStyle w:val="11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1922</w:t>
                  </w:r>
                </w:p>
              </w:tc>
              <w:tc>
                <w:tcPr>
                  <w:tcW w:w="473" w:type="pct"/>
                  <w:vMerge w:val="continue"/>
                  <w:tcBorders>
                    <w:tl2br w:val="nil"/>
                    <w:tr2bl w:val="nil"/>
                  </w:tcBorders>
                  <w:noWrap w:val="0"/>
                  <w:vAlign w:val="center"/>
                </w:tcPr>
                <w:p w14:paraId="302CAB6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FF"/>
                      <w:kern w:val="2"/>
                      <w:sz w:val="18"/>
                      <w:szCs w:val="18"/>
                      <w:highlight w:val="none"/>
                      <w:lang w:val="en-US" w:eastAsia="zh-CN" w:bidi="ar-SA"/>
                    </w:rPr>
                  </w:pPr>
                </w:p>
              </w:tc>
            </w:tr>
            <w:bookmarkEnd w:id="4"/>
            <w:bookmarkEnd w:id="5"/>
            <w:bookmarkEnd w:id="6"/>
            <w:bookmarkEnd w:id="7"/>
          </w:tbl>
          <w:p w14:paraId="017E8014">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rPr>
              <w:t>项目</w:t>
            </w:r>
            <w:r>
              <w:rPr>
                <w:rFonts w:hint="default" w:ascii="Times New Roman" w:hAnsi="Times New Roman" w:eastAsia="宋体" w:cs="Times New Roman"/>
                <w:color w:val="000000"/>
                <w:sz w:val="24"/>
                <w:szCs w:val="24"/>
                <w:highlight w:val="none"/>
                <w:lang w:val="en-US" w:eastAsia="zh-CN"/>
              </w:rPr>
              <w:t>免烧砖生产线废气</w:t>
            </w:r>
            <w:r>
              <w:rPr>
                <w:rFonts w:hint="default" w:ascii="Times New Roman" w:hAnsi="Times New Roman" w:eastAsia="宋体" w:cs="Times New Roman"/>
                <w:snapToGrid w:val="0"/>
                <w:color w:val="000000"/>
                <w:kern w:val="0"/>
                <w:sz w:val="24"/>
                <w:szCs w:val="24"/>
                <w:highlight w:val="none"/>
                <w:lang w:val="en-US" w:eastAsia="zh-CN"/>
              </w:rPr>
              <w:t>经布袋除尘器处理后经15m高排气筒DA004排放，风量</w:t>
            </w:r>
            <w:r>
              <w:rPr>
                <w:rFonts w:hint="default" w:ascii="Times New Roman" w:hAnsi="Times New Roman" w:eastAsia="宋体" w:cs="Times New Roman"/>
                <w:snapToGrid w:val="0"/>
                <w:color w:val="000000"/>
                <w:kern w:val="0"/>
                <w:sz w:val="24"/>
                <w:szCs w:val="24"/>
                <w:highlight w:val="none"/>
                <w:lang w:eastAsia="zh-CN"/>
              </w:rPr>
              <w:t>核算为</w:t>
            </w:r>
            <w:r>
              <w:rPr>
                <w:rFonts w:hint="default" w:ascii="Times New Roman" w:hAnsi="Times New Roman" w:cs="Times New Roman"/>
                <w:snapToGrid w:val="0"/>
                <w:color w:val="000000"/>
                <w:kern w:val="0"/>
                <w:sz w:val="24"/>
                <w:szCs w:val="24"/>
                <w:highlight w:val="none"/>
                <w:lang w:val="en-US" w:eastAsia="zh-CN"/>
              </w:rPr>
              <w:t>12680</w:t>
            </w:r>
            <w:r>
              <w:rPr>
                <w:rFonts w:hint="default" w:ascii="Times New Roman" w:hAnsi="Times New Roman" w:eastAsia="宋体" w:cs="Times New Roman"/>
                <w:snapToGrid w:val="0"/>
                <w:color w:val="000000"/>
                <w:kern w:val="0"/>
                <w:sz w:val="24"/>
                <w:szCs w:val="24"/>
                <w:highlight w:val="none"/>
                <w:lang w:eastAsia="zh-CN"/>
              </w:rPr>
              <w:t>m</w:t>
            </w:r>
            <w:r>
              <w:rPr>
                <w:rFonts w:hint="default" w:ascii="Times New Roman" w:hAnsi="Times New Roman" w:eastAsia="宋体" w:cs="Times New Roman"/>
                <w:snapToGrid w:val="0"/>
                <w:color w:val="000000"/>
                <w:kern w:val="0"/>
                <w:sz w:val="24"/>
                <w:szCs w:val="24"/>
                <w:highlight w:val="none"/>
                <w:vertAlign w:val="superscript"/>
                <w:lang w:eastAsia="zh-CN"/>
              </w:rPr>
              <w:t>3</w:t>
            </w:r>
            <w:r>
              <w:rPr>
                <w:rFonts w:hint="default" w:ascii="Times New Roman" w:hAnsi="Times New Roman" w:eastAsia="宋体" w:cs="Times New Roman"/>
                <w:snapToGrid w:val="0"/>
                <w:color w:val="000000"/>
                <w:kern w:val="0"/>
                <w:sz w:val="24"/>
                <w:szCs w:val="24"/>
                <w:highlight w:val="none"/>
                <w:lang w:eastAsia="zh-CN"/>
              </w:rPr>
              <w:t>/h，同时考虑风机引风过程会有损耗，项目设置风机风量</w:t>
            </w:r>
            <w:r>
              <w:rPr>
                <w:rFonts w:hint="default" w:ascii="Times New Roman" w:hAnsi="Times New Roman" w:cs="Times New Roman"/>
                <w:snapToGrid w:val="0"/>
                <w:color w:val="000000"/>
                <w:kern w:val="0"/>
                <w:sz w:val="24"/>
                <w:szCs w:val="24"/>
                <w:highlight w:val="none"/>
                <w:lang w:val="en-US" w:eastAsia="zh-CN"/>
              </w:rPr>
              <w:t>16</w:t>
            </w:r>
            <w:r>
              <w:rPr>
                <w:rFonts w:hint="default" w:ascii="Times New Roman" w:hAnsi="Times New Roman" w:eastAsia="宋体" w:cs="Times New Roman"/>
                <w:snapToGrid w:val="0"/>
                <w:color w:val="000000"/>
                <w:kern w:val="0"/>
                <w:sz w:val="24"/>
                <w:szCs w:val="24"/>
                <w:highlight w:val="none"/>
                <w:lang w:val="en-US" w:eastAsia="zh-CN"/>
              </w:rPr>
              <w:t>000</w:t>
            </w:r>
            <w:r>
              <w:rPr>
                <w:rFonts w:hint="default" w:ascii="Times New Roman" w:hAnsi="Times New Roman" w:eastAsia="宋体" w:cs="Times New Roman"/>
                <w:snapToGrid w:val="0"/>
                <w:color w:val="000000"/>
                <w:kern w:val="0"/>
                <w:sz w:val="24"/>
                <w:szCs w:val="24"/>
                <w:highlight w:val="none"/>
                <w:lang w:eastAsia="zh-CN"/>
              </w:rPr>
              <w:t>m</w:t>
            </w:r>
            <w:r>
              <w:rPr>
                <w:rFonts w:hint="default" w:ascii="Times New Roman" w:hAnsi="Times New Roman" w:eastAsia="宋体" w:cs="Times New Roman"/>
                <w:snapToGrid w:val="0"/>
                <w:color w:val="000000"/>
                <w:kern w:val="0"/>
                <w:sz w:val="24"/>
                <w:szCs w:val="24"/>
                <w:highlight w:val="none"/>
                <w:vertAlign w:val="superscript"/>
                <w:lang w:eastAsia="zh-CN"/>
              </w:rPr>
              <w:t>3</w:t>
            </w:r>
            <w:r>
              <w:rPr>
                <w:rFonts w:hint="default" w:ascii="Times New Roman" w:hAnsi="Times New Roman" w:eastAsia="宋体" w:cs="Times New Roman"/>
                <w:snapToGrid w:val="0"/>
                <w:color w:val="000000"/>
                <w:kern w:val="0"/>
                <w:sz w:val="24"/>
                <w:szCs w:val="24"/>
                <w:highlight w:val="none"/>
                <w:lang w:eastAsia="zh-CN"/>
              </w:rPr>
              <w:t>/h，能够满足所需风量需求。</w:t>
            </w:r>
          </w:p>
          <w:p w14:paraId="279A382F">
            <w:pPr>
              <w:keepNext w:val="0"/>
              <w:keepLines w:val="0"/>
              <w:widowControl w:val="0"/>
              <w:suppressLineNumbers w:val="0"/>
              <w:autoSpaceDE w:val="0"/>
              <w:autoSpaceDN/>
              <w:adjustRightInd w:val="0"/>
              <w:snapToGrid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000000"/>
                <w:kern w:val="0"/>
                <w:sz w:val="24"/>
                <w:szCs w:val="24"/>
                <w:highlight w:val="none"/>
                <w:lang w:val="en-US"/>
              </w:rPr>
            </w:pPr>
            <w:r>
              <w:rPr>
                <w:rFonts w:hint="default" w:ascii="Times New Roman" w:hAnsi="Times New Roman" w:eastAsia="宋体" w:cs="Times New Roman"/>
                <w:b/>
                <w:bCs/>
                <w:color w:val="000000"/>
                <w:kern w:val="0"/>
                <w:sz w:val="24"/>
                <w:szCs w:val="24"/>
                <w:highlight w:val="none"/>
                <w:lang w:val="en-US" w:eastAsia="zh-CN" w:bidi="ar"/>
              </w:rPr>
              <w:t>废气源强核算分析过程：</w:t>
            </w:r>
          </w:p>
          <w:p w14:paraId="189AFB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上料过程、皮带落料废气、水泥仓、计量使用过程产生废气，</w:t>
            </w:r>
            <w:r>
              <w:rPr>
                <w:rFonts w:hint="default" w:ascii="Times New Roman" w:hAnsi="Times New Roman" w:eastAsia="宋体" w:cs="Times New Roman"/>
                <w:color w:val="auto"/>
                <w:sz w:val="24"/>
                <w:szCs w:val="24"/>
                <w:highlight w:val="none"/>
              </w:rPr>
              <w:t>主要污染物为颗粒物，颗粒物产生量参照《排放源统计调查产排污核算方法和系数手册》3021、3022、3029水泥制品制造行业系数手册中3021水泥制品制造行业系数表，物料输送储存工序颗粒物产污系数为0.12千克/吨</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产品，本项目</w:t>
            </w:r>
            <w:r>
              <w:rPr>
                <w:rFonts w:hint="default" w:ascii="Times New Roman" w:hAnsi="Times New Roman" w:eastAsia="宋体" w:cs="Times New Roman"/>
                <w:color w:val="auto"/>
                <w:sz w:val="24"/>
                <w:szCs w:val="24"/>
                <w:highlight w:val="none"/>
                <w:lang w:val="en-US" w:eastAsia="zh-CN"/>
              </w:rPr>
              <w:t>上料过程总物料量为</w:t>
            </w:r>
            <w:r>
              <w:rPr>
                <w:rFonts w:hint="default" w:ascii="Times New Roman" w:hAnsi="Times New Roman" w:cs="Times New Roman"/>
                <w:color w:val="auto"/>
                <w:sz w:val="24"/>
                <w:szCs w:val="24"/>
                <w:highlight w:val="none"/>
                <w:lang w:val="en-US" w:eastAsia="zh-CN"/>
              </w:rPr>
              <w:t>215</w:t>
            </w:r>
            <w:r>
              <w:rPr>
                <w:rFonts w:hint="default" w:ascii="Times New Roman" w:hAnsi="Times New Roman" w:eastAsia="宋体" w:cs="Times New Roman"/>
                <w:color w:val="auto"/>
                <w:sz w:val="24"/>
                <w:szCs w:val="24"/>
                <w:highlight w:val="none"/>
                <w:lang w:val="en-US" w:eastAsia="zh-CN"/>
              </w:rPr>
              <w:t>000t/a</w:t>
            </w:r>
            <w:r>
              <w:rPr>
                <w:rFonts w:hint="default" w:ascii="Times New Roman" w:hAnsi="Times New Roman" w:eastAsia="宋体" w:cs="Times New Roman"/>
                <w:color w:val="auto"/>
                <w:sz w:val="24"/>
                <w:szCs w:val="24"/>
                <w:highlight w:val="none"/>
              </w:rPr>
              <w:t>，因此物料输送储存产生的颗粒物合计为</w:t>
            </w:r>
            <w:r>
              <w:rPr>
                <w:rFonts w:hint="default" w:ascii="Times New Roman" w:hAnsi="Times New Roman" w:cs="Times New Roman"/>
                <w:color w:val="auto"/>
                <w:sz w:val="24"/>
                <w:szCs w:val="24"/>
                <w:highlight w:val="none"/>
                <w:lang w:val="en-US" w:eastAsia="zh-CN"/>
              </w:rPr>
              <w:t>25.8</w:t>
            </w:r>
            <w:r>
              <w:rPr>
                <w:rFonts w:hint="default" w:ascii="Times New Roman" w:hAnsi="Times New Roman" w:eastAsia="宋体" w:cs="Times New Roman"/>
                <w:color w:val="auto"/>
                <w:sz w:val="24"/>
                <w:szCs w:val="24"/>
                <w:highlight w:val="none"/>
              </w:rPr>
              <w:t>t/a。</w:t>
            </w:r>
          </w:p>
          <w:p w14:paraId="425C8348">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snapToGrid w:val="0"/>
                <w:color w:val="000000"/>
                <w:kern w:val="0"/>
                <w:sz w:val="24"/>
                <w:szCs w:val="24"/>
                <w:highlight w:val="none"/>
                <w:vertAlign w:val="baseline"/>
                <w:lang w:val="en-US" w:eastAsia="zh-CN"/>
              </w:rPr>
            </w:pPr>
            <w:r>
              <w:rPr>
                <w:rFonts w:hint="default" w:ascii="Times New Roman" w:hAnsi="Times New Roman" w:eastAsia="宋体" w:cs="Times New Roman"/>
                <w:color w:val="auto"/>
                <w:sz w:val="24"/>
                <w:szCs w:val="24"/>
                <w:highlight w:val="none"/>
                <w:lang w:val="en-US" w:eastAsia="zh-CN"/>
              </w:rPr>
              <w:t>搅拌废气</w:t>
            </w:r>
            <w:r>
              <w:rPr>
                <w:rFonts w:hint="default" w:ascii="Times New Roman" w:hAnsi="Times New Roman" w:eastAsia="宋体" w:cs="Times New Roman"/>
                <w:snapToGrid w:val="0"/>
                <w:color w:val="000000"/>
                <w:kern w:val="0"/>
                <w:sz w:val="24"/>
                <w:szCs w:val="24"/>
                <w:highlight w:val="none"/>
                <w:vertAlign w:val="baseline"/>
                <w:lang w:val="en-US" w:eastAsia="zh-CN"/>
              </w:rPr>
              <w:t>参照《排放源统计调查产排污核算方法和系数手册》中“303砖瓦、石材等建筑材料制造行业系数手册”，项目搅拌进料过程中颗粒物产生系数为1.23kg/万块标砖，项目折标砖年产量为</w:t>
            </w:r>
            <w:r>
              <w:rPr>
                <w:rFonts w:hint="default" w:ascii="Times New Roman" w:hAnsi="Times New Roman" w:cs="Times New Roman"/>
                <w:snapToGrid w:val="0"/>
                <w:color w:val="000000"/>
                <w:kern w:val="0"/>
                <w:sz w:val="24"/>
                <w:szCs w:val="24"/>
                <w:highlight w:val="none"/>
                <w:vertAlign w:val="baseline"/>
                <w:lang w:val="en-US" w:eastAsia="zh-CN"/>
              </w:rPr>
              <w:t>8500</w:t>
            </w:r>
            <w:r>
              <w:rPr>
                <w:rFonts w:hint="default" w:ascii="Times New Roman" w:hAnsi="Times New Roman" w:eastAsia="宋体" w:cs="Times New Roman"/>
                <w:snapToGrid w:val="0"/>
                <w:color w:val="000000"/>
                <w:kern w:val="0"/>
                <w:sz w:val="24"/>
                <w:szCs w:val="24"/>
                <w:highlight w:val="none"/>
                <w:vertAlign w:val="baseline"/>
                <w:lang w:val="en-US" w:eastAsia="zh-CN"/>
              </w:rPr>
              <w:t>万块，则制砖工段搅拌工序颗粒物产生量为</w:t>
            </w:r>
            <w:r>
              <w:rPr>
                <w:rFonts w:hint="default" w:ascii="Times New Roman" w:hAnsi="Times New Roman" w:cs="Times New Roman"/>
                <w:snapToGrid w:val="0"/>
                <w:color w:val="000000"/>
                <w:kern w:val="0"/>
                <w:sz w:val="24"/>
                <w:szCs w:val="24"/>
                <w:highlight w:val="none"/>
                <w:vertAlign w:val="baseline"/>
                <w:lang w:val="en-US" w:eastAsia="zh-CN"/>
              </w:rPr>
              <w:t>10.455</w:t>
            </w:r>
            <w:r>
              <w:rPr>
                <w:rFonts w:hint="default" w:ascii="Times New Roman" w:hAnsi="Times New Roman" w:eastAsia="宋体" w:cs="Times New Roman"/>
                <w:snapToGrid w:val="0"/>
                <w:color w:val="000000"/>
                <w:kern w:val="0"/>
                <w:sz w:val="24"/>
                <w:szCs w:val="24"/>
                <w:highlight w:val="none"/>
                <w:vertAlign w:val="baseline"/>
                <w:lang w:val="en-US" w:eastAsia="zh-CN"/>
              </w:rPr>
              <w:t>t/a。</w:t>
            </w:r>
          </w:p>
          <w:p w14:paraId="17E458D7">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项目废气收集效率整体按95%计算，则污染物产生</w:t>
            </w:r>
            <w:r>
              <w:rPr>
                <w:rFonts w:hint="default" w:ascii="Times New Roman" w:hAnsi="Times New Roman" w:cs="Times New Roman"/>
                <w:color w:val="auto"/>
                <w:kern w:val="2"/>
                <w:sz w:val="24"/>
                <w:szCs w:val="24"/>
                <w:highlight w:val="none"/>
                <w:lang w:val="en-US" w:eastAsia="zh-CN" w:bidi="ar-SA"/>
              </w:rPr>
              <w:t>量为36.255</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，收集量为34.442</w:t>
            </w:r>
            <w:r>
              <w:rPr>
                <w:rFonts w:hint="default" w:ascii="Times New Roman" w:hAnsi="Times New Roman" w:eastAsia="宋体" w:cs="Times New Roman"/>
                <w:color w:val="000000"/>
                <w:sz w:val="24"/>
                <w:szCs w:val="24"/>
                <w:highlight w:val="none"/>
                <w:lang w:val="en-US" w:eastAsia="zh-CN"/>
              </w:rPr>
              <w:t>t/a</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000000"/>
                <w:sz w:val="24"/>
                <w:szCs w:val="24"/>
                <w:highlight w:val="none"/>
                <w:lang w:val="en-US" w:eastAsia="zh-CN"/>
              </w:rPr>
              <w:t>进入脉冲布袋除尘器浓度为</w:t>
            </w:r>
            <w:r>
              <w:rPr>
                <w:rFonts w:hint="default" w:ascii="Times New Roman" w:hAnsi="Times New Roman" w:cs="Times New Roman"/>
                <w:color w:val="000000"/>
                <w:sz w:val="24"/>
                <w:szCs w:val="24"/>
                <w:highlight w:val="none"/>
                <w:lang w:val="en-US" w:eastAsia="zh-CN"/>
              </w:rPr>
              <w:t>298.978</w:t>
            </w:r>
            <w:r>
              <w:rPr>
                <w:rFonts w:hint="default" w:ascii="Times New Roman" w:hAnsi="Times New Roman" w:eastAsia="宋体" w:cs="Times New Roman"/>
                <w:color w:val="000000"/>
                <w:sz w:val="24"/>
                <w:szCs w:val="24"/>
                <w:highlight w:val="none"/>
                <w:lang w:val="en-US" w:eastAsia="zh-CN"/>
              </w:rPr>
              <w:t>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，处理效率按98%，则排放浓度为</w:t>
            </w:r>
            <w:r>
              <w:rPr>
                <w:rFonts w:hint="default" w:ascii="Times New Roman" w:hAnsi="Times New Roman" w:cs="Times New Roman"/>
                <w:color w:val="000000"/>
                <w:sz w:val="24"/>
                <w:szCs w:val="24"/>
                <w:highlight w:val="none"/>
                <w:lang w:val="en-US" w:eastAsia="zh-CN"/>
              </w:rPr>
              <w:t>5.980</w:t>
            </w:r>
            <w:r>
              <w:rPr>
                <w:rFonts w:hint="default" w:ascii="Times New Roman" w:hAnsi="Times New Roman" w:eastAsia="宋体" w:cs="Times New Roman"/>
                <w:color w:val="000000"/>
                <w:sz w:val="24"/>
                <w:szCs w:val="24"/>
                <w:highlight w:val="none"/>
                <w:lang w:val="en-US" w:eastAsia="zh-CN"/>
              </w:rPr>
              <w:t>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，排放速率0.096kg/h，排放量0.689t/a。</w:t>
            </w:r>
            <w:r>
              <w:rPr>
                <w:rFonts w:hint="default" w:ascii="Times New Roman" w:hAnsi="Times New Roman" w:eastAsia="宋体" w:cs="Times New Roman"/>
                <w:snapToGrid w:val="0"/>
                <w:color w:val="auto"/>
                <w:kern w:val="0"/>
                <w:sz w:val="24"/>
                <w:szCs w:val="24"/>
                <w:highlight w:val="none"/>
                <w:lang w:eastAsia="zh-CN"/>
              </w:rPr>
              <w:t>颗粒物排放浓度满足</w:t>
            </w:r>
            <w:r>
              <w:rPr>
                <w:rFonts w:hint="default" w:ascii="Times New Roman" w:hAnsi="Times New Roman" w:cs="Times New Roman"/>
                <w:snapToGrid w:val="0"/>
                <w:color w:val="auto"/>
                <w:kern w:val="0"/>
                <w:sz w:val="24"/>
                <w:szCs w:val="24"/>
                <w:highlight w:val="none"/>
                <w:lang w:val="en-US" w:eastAsia="zh-CN"/>
              </w:rPr>
              <w:t>参照执行的</w:t>
            </w:r>
            <w:r>
              <w:rPr>
                <w:rFonts w:hint="default" w:ascii="Times New Roman" w:hAnsi="Times New Roman" w:eastAsia="宋体" w:cs="Times New Roman"/>
                <w:snapToGrid w:val="0"/>
                <w:color w:val="auto"/>
                <w:kern w:val="0"/>
                <w:sz w:val="24"/>
                <w:szCs w:val="24"/>
                <w:highlight w:val="none"/>
                <w:lang w:eastAsia="zh-CN"/>
              </w:rPr>
              <w:t>《水泥工业大气污染物超低排放标准》</w:t>
            </w:r>
            <w:r>
              <w:rPr>
                <w:rFonts w:hint="default" w:ascii="Times New Roman" w:hAnsi="Times New Roman"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eastAsia="zh-CN"/>
              </w:rPr>
              <w:t>DB13/2167-2020</w:t>
            </w:r>
            <w:r>
              <w:rPr>
                <w:rFonts w:hint="default" w:ascii="Times New Roman" w:hAnsi="Times New Roman"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eastAsia="zh-CN"/>
              </w:rPr>
              <w:t>表1</w:t>
            </w:r>
            <w:r>
              <w:rPr>
                <w:rFonts w:hint="default" w:ascii="Times New Roman" w:hAnsi="Times New Roman" w:eastAsia="宋体" w:cs="Times New Roman"/>
                <w:color w:val="auto"/>
                <w:kern w:val="0"/>
                <w:sz w:val="24"/>
                <w:szCs w:val="22"/>
                <w:highlight w:val="none"/>
              </w:rPr>
              <w:t>，即颗粒物浓度限值10mg/m</w:t>
            </w:r>
            <w:r>
              <w:rPr>
                <w:rFonts w:hint="default" w:ascii="Times New Roman" w:hAnsi="Times New Roman" w:eastAsia="宋体" w:cs="Times New Roman"/>
                <w:color w:val="auto"/>
                <w:kern w:val="0"/>
                <w:sz w:val="24"/>
                <w:szCs w:val="22"/>
                <w:highlight w:val="none"/>
                <w:vertAlign w:val="superscript"/>
              </w:rPr>
              <w:t>3</w:t>
            </w:r>
            <w:r>
              <w:rPr>
                <w:rFonts w:hint="default" w:ascii="Times New Roman" w:hAnsi="Times New Roman" w:eastAsia="宋体" w:cs="Times New Roman"/>
                <w:snapToGrid w:val="0"/>
                <w:color w:val="auto"/>
                <w:kern w:val="0"/>
                <w:sz w:val="24"/>
                <w:szCs w:val="24"/>
                <w:highlight w:val="none"/>
                <w:vertAlign w:val="baseline"/>
                <w:lang w:val="en-US" w:eastAsia="zh-CN"/>
              </w:rPr>
              <w:t>。</w:t>
            </w:r>
          </w:p>
          <w:p w14:paraId="4DE6B31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本项目厂房内设置了水雾抑尘系统，根据《工业源固体物料堆场颗粒物核算系数手册》中半封闭且洒水抑尘除尘效率为89.6%（洒水控制效率74%，半敞开式控制效率60%，总体处理效率89.6%）。则本项目免烧砖生产线粉尘无组织排放量为0.189t/a（0.026kg/h）。</w:t>
            </w:r>
          </w:p>
          <w:p w14:paraId="11A5855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（五）食堂油烟</w:t>
            </w:r>
          </w:p>
          <w:p w14:paraId="080BCD3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本项目设食堂，供应三餐，以液化石油气为原料，项目劳动定员50人。</w:t>
            </w:r>
          </w:p>
          <w:p w14:paraId="23F9186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本项目食堂共设2个灶头，属于小型食堂。食堂使用清洁能源作为燃料，主要为电和天然气。厨房内的炉灶工作时产生的高温油烟废气，油烟废气中含油质、有机质及加热分解或裂解产物。《中国居民膳食指南（2016）》指出，对于成年人脂肪提供能量应占总能量的30%以下，每天烹调油摄入量为25-30克，本项目最大用餐人数为50人，本项目食用油消耗系数按3kg/100人•d（指三餐）计，则食堂日消耗食用油1.5kg。据类比调查，不同的烧炸工况，油烟气中烟气浓度及挥发量均有所不同，一般油烟挥发量总占耗油量的2%。经核算，本项目日油烟产生量为0.03kg/d，烹饪时间按6h/d计算，本项目每个灶头油烟产生速率为0.005kg/h，本项目采用油烟净化器对厨房油烟废气进行净化处理后经预留烟道于食堂所在楼顶排放，油烟净化排气风机的风量在2500m</w:t>
            </w:r>
            <w:r>
              <w:rPr>
                <w:rFonts w:hint="default" w:ascii="Times New Roman" w:hAnsi="Times New Roman" w:cs="Times New Roman"/>
                <w:snapToGrid w:val="0"/>
                <w:color w:val="000000"/>
                <w:kern w:val="0"/>
                <w:sz w:val="24"/>
                <w:szCs w:val="24"/>
                <w:highlight w:val="none"/>
                <w:vertAlign w:val="superscript"/>
                <w:lang w:val="en-US" w:eastAsia="zh-CN"/>
              </w:rPr>
              <w:t>3</w:t>
            </w:r>
            <w:r>
              <w:rPr>
                <w:rFonts w:hint="default" w:ascii="Times New Roman" w:hAnsi="Times New Roman" w:cs="Times New Roman"/>
                <w:snapToGrid w:val="0"/>
                <w:color w:val="000000"/>
                <w:kern w:val="0"/>
                <w:sz w:val="24"/>
                <w:szCs w:val="24"/>
                <w:highlight w:val="none"/>
                <w:lang w:val="en-US" w:eastAsia="zh-CN"/>
              </w:rPr>
              <w:t>/h（2个灶头，每个灶头风量1250m</w:t>
            </w:r>
            <w:r>
              <w:rPr>
                <w:rFonts w:hint="default" w:ascii="Times New Roman" w:hAnsi="Times New Roman" w:cs="Times New Roman"/>
                <w:snapToGrid w:val="0"/>
                <w:color w:val="000000"/>
                <w:kern w:val="0"/>
                <w:sz w:val="24"/>
                <w:szCs w:val="24"/>
                <w:highlight w:val="none"/>
                <w:vertAlign w:val="superscript"/>
                <w:lang w:val="en-US" w:eastAsia="zh-CN"/>
              </w:rPr>
              <w:t>3</w:t>
            </w:r>
            <w:r>
              <w:rPr>
                <w:rFonts w:hint="default" w:ascii="Times New Roman" w:hAnsi="Times New Roman" w:cs="Times New Roman"/>
                <w:snapToGrid w:val="0"/>
                <w:color w:val="000000"/>
                <w:kern w:val="0"/>
                <w:sz w:val="24"/>
                <w:szCs w:val="24"/>
                <w:highlight w:val="none"/>
                <w:lang w:val="en-US" w:eastAsia="zh-CN"/>
              </w:rPr>
              <w:t>/h）左右，油烟产生浓度为2mg/m</w:t>
            </w:r>
            <w:r>
              <w:rPr>
                <w:rFonts w:hint="default" w:ascii="Times New Roman" w:hAnsi="Times New Roman" w:cs="Times New Roman"/>
                <w:snapToGrid w:val="0"/>
                <w:color w:val="000000"/>
                <w:kern w:val="0"/>
                <w:sz w:val="24"/>
                <w:szCs w:val="24"/>
                <w:highlight w:val="none"/>
                <w:vertAlign w:val="superscript"/>
                <w:lang w:val="en-US" w:eastAsia="zh-CN"/>
              </w:rPr>
              <w:t>3</w:t>
            </w:r>
            <w:r>
              <w:rPr>
                <w:rFonts w:hint="default" w:ascii="Times New Roman" w:hAnsi="Times New Roman" w:cs="Times New Roman"/>
                <w:snapToGrid w:val="0"/>
                <w:color w:val="000000"/>
                <w:kern w:val="0"/>
                <w:sz w:val="24"/>
                <w:szCs w:val="24"/>
                <w:highlight w:val="none"/>
                <w:lang w:val="en-US" w:eastAsia="zh-CN"/>
              </w:rPr>
              <w:t>。经处理后通过内置专用烟道于楼顶排放，油烟去除率应大于75%，按75%计，则油烟排放浓度0.5mg/m</w:t>
            </w:r>
            <w:r>
              <w:rPr>
                <w:rFonts w:hint="default" w:ascii="Times New Roman" w:hAnsi="Times New Roman" w:cs="Times New Roman"/>
                <w:snapToGrid w:val="0"/>
                <w:color w:val="000000"/>
                <w:kern w:val="0"/>
                <w:sz w:val="24"/>
                <w:szCs w:val="24"/>
                <w:highlight w:val="none"/>
                <w:vertAlign w:val="superscript"/>
                <w:lang w:val="en-US" w:eastAsia="zh-CN"/>
              </w:rPr>
              <w:t>3</w:t>
            </w:r>
            <w:r>
              <w:rPr>
                <w:rFonts w:hint="default" w:ascii="Times New Roman" w:hAnsi="Times New Roman" w:cs="Times New Roman"/>
                <w:snapToGrid w:val="0"/>
                <w:color w:val="000000"/>
                <w:kern w:val="0"/>
                <w:sz w:val="24"/>
                <w:szCs w:val="24"/>
                <w:highlight w:val="none"/>
                <w:lang w:val="en-US" w:eastAsia="zh-CN"/>
              </w:rPr>
              <w:t>，年排放量为0.002t/a。油烟排放浓度满足《餐饮业大气污染物排放标准》（DB13/ 5808—2023）表1中小型限值要求。</w:t>
            </w:r>
          </w:p>
          <w:p w14:paraId="0F9374E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snapToGrid w:val="0"/>
                <w:color w:val="000000"/>
                <w:kern w:val="0"/>
                <w:sz w:val="24"/>
                <w:szCs w:val="24"/>
                <w:highlight w:val="none"/>
                <w:lang w:val="en-US" w:eastAsia="zh-CN"/>
              </w:rPr>
              <w:t>（六）原料卸料、储存无组织废气</w:t>
            </w:r>
          </w:p>
          <w:p w14:paraId="65197F09">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napToGrid w:val="0"/>
                <w:color w:val="000000"/>
                <w:kern w:val="0"/>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污泥、食品残渣、可再生类废物、可回收物结构相对稳定，不会产生扬尘；其他垃圾（园林垃圾）体积较大，装卸储存过程中不会产生粉尘。项目农业废物（作物秸秆）装卸、储存过程中会产生一些粉尘，参照《逸散性工业粉尘控制技术》表1-12中“卡车－谷物－排放因子0.32kg/t”，作物秸秆、林业废物在卸料过程中产生的颗粒物量约为0.32kg/t（物料），本项目作物秸秆、林业作物等卸料量为4.85万t，则秸秆卸料粉尘产生量为15.52t/a。厂房内采用自动喷雾系统洒水抑尘，物料表面</w:t>
            </w:r>
            <w:r>
              <w:rPr>
                <w:rFonts w:hint="eastAsia" w:cs="Times New Roman"/>
                <w:color w:val="auto"/>
                <w:sz w:val="24"/>
                <w:szCs w:val="24"/>
                <w:highlight w:val="none"/>
                <w:lang w:val="en-US" w:eastAsia="zh-CN"/>
              </w:rPr>
              <w:t>黏附</w:t>
            </w:r>
            <w:r>
              <w:rPr>
                <w:rFonts w:hint="default" w:ascii="Times New Roman" w:hAnsi="Times New Roman" w:cs="Times New Roman"/>
                <w:color w:val="auto"/>
                <w:sz w:val="24"/>
                <w:szCs w:val="24"/>
                <w:highlight w:val="none"/>
                <w:lang w:val="en-US" w:eastAsia="zh-CN"/>
              </w:rPr>
              <w:t>水分使粉尘沉降，减少无组织排放。根据《工业源固体物料堆场颗粒物核算系数手册》中半封闭且洒水抑尘除尘效率为89.6%（洒水控制效率74%，半敞开式控制效率60%，总体处理效率89.6%）。则卸料粉尘排放量为1.614t/a（0.224kg/h）。</w:t>
            </w:r>
          </w:p>
          <w:p w14:paraId="2CD91B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textAlignment w:val="auto"/>
              <w:rPr>
                <w:rFonts w:hint="default" w:ascii="Times New Roman" w:hAnsi="Times New Roman" w:eastAsia="宋体" w:cs="Times New Roman"/>
                <w:bCs/>
                <w:color w:val="000000"/>
                <w:sz w:val="24"/>
                <w:highlight w:val="none"/>
                <w:lang w:eastAsia="zh-CN"/>
              </w:rPr>
            </w:pPr>
            <w:r>
              <w:rPr>
                <w:rFonts w:hint="default" w:ascii="Times New Roman" w:hAnsi="Times New Roman" w:eastAsia="宋体" w:cs="Times New Roman"/>
                <w:bCs/>
                <w:color w:val="000000"/>
                <w:sz w:val="24"/>
                <w:highlight w:val="none"/>
                <w:lang w:eastAsia="zh-CN"/>
              </w:rPr>
              <w:t>（</w:t>
            </w:r>
            <w:r>
              <w:rPr>
                <w:rFonts w:hint="default" w:ascii="Times New Roman" w:hAnsi="Times New Roman" w:cs="Times New Roman"/>
                <w:bCs/>
                <w:color w:val="000000"/>
                <w:sz w:val="24"/>
                <w:highlight w:val="none"/>
                <w:lang w:val="en-US" w:eastAsia="zh-CN"/>
              </w:rPr>
              <w:t>七</w:t>
            </w:r>
            <w:r>
              <w:rPr>
                <w:rFonts w:hint="default" w:ascii="Times New Roman" w:hAnsi="Times New Roman" w:eastAsia="宋体" w:cs="Times New Roman"/>
                <w:bCs/>
                <w:color w:val="000000"/>
                <w:sz w:val="24"/>
                <w:highlight w:val="none"/>
                <w:lang w:eastAsia="zh-CN"/>
              </w:rPr>
              <w:t>）</w:t>
            </w:r>
            <w:r>
              <w:rPr>
                <w:rFonts w:hint="default" w:ascii="Times New Roman" w:hAnsi="Times New Roman" w:eastAsia="宋体" w:cs="Times New Roman"/>
                <w:bCs/>
                <w:color w:val="000000"/>
                <w:sz w:val="24"/>
                <w:highlight w:val="none"/>
              </w:rPr>
              <w:t>废气排放</w:t>
            </w:r>
            <w:r>
              <w:rPr>
                <w:rFonts w:hint="default" w:ascii="Times New Roman" w:hAnsi="Times New Roman" w:eastAsia="宋体" w:cs="Times New Roman"/>
                <w:bCs/>
                <w:color w:val="000000"/>
                <w:sz w:val="24"/>
                <w:highlight w:val="none"/>
                <w:lang w:val="en-US" w:eastAsia="zh-CN"/>
              </w:rPr>
              <w:t>情况</w:t>
            </w:r>
          </w:p>
          <w:p w14:paraId="3CAED6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textAlignment w:val="auto"/>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本项目废气污染物排放情况如下：</w:t>
            </w:r>
          </w:p>
          <w:p w14:paraId="4F8C39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color w:val="auto"/>
                <w:sz w:val="24"/>
                <w:highlight w:val="none"/>
              </w:rPr>
            </w:pPr>
          </w:p>
          <w:p w14:paraId="56EC81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color w:val="auto"/>
                <w:sz w:val="24"/>
                <w:highlight w:val="none"/>
              </w:rPr>
            </w:pPr>
          </w:p>
          <w:p w14:paraId="38177E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表4-</w:t>
            </w:r>
            <w:r>
              <w:rPr>
                <w:rFonts w:hint="default" w:ascii="Times New Roman" w:hAnsi="Times New Roman" w:cs="Times New Roman"/>
                <w:b/>
                <w:color w:val="auto"/>
                <w:sz w:val="24"/>
                <w:highlight w:val="none"/>
                <w:lang w:val="en-US" w:eastAsia="zh-CN"/>
              </w:rPr>
              <w:t>3</w:t>
            </w:r>
            <w:r>
              <w:rPr>
                <w:rFonts w:hint="default" w:ascii="Times New Roman" w:hAnsi="Times New Roman" w:eastAsia="宋体" w:cs="Times New Roman"/>
                <w:b/>
                <w:color w:val="auto"/>
                <w:sz w:val="24"/>
                <w:highlight w:val="none"/>
                <w:lang w:val="en-US" w:eastAsia="zh-CN"/>
              </w:rPr>
              <w:t xml:space="preserve">  </w:t>
            </w:r>
            <w:r>
              <w:rPr>
                <w:rFonts w:hint="default" w:ascii="Times New Roman" w:hAnsi="Times New Roman" w:eastAsia="宋体" w:cs="Times New Roman"/>
                <w:b/>
                <w:color w:val="auto"/>
                <w:sz w:val="24"/>
                <w:highlight w:val="none"/>
              </w:rPr>
              <w:t xml:space="preserve">  本项目有组织排放量核算表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914"/>
              <w:gridCol w:w="1356"/>
              <w:gridCol w:w="1416"/>
              <w:gridCol w:w="1446"/>
              <w:gridCol w:w="1437"/>
            </w:tblGrid>
            <w:tr w14:paraId="0757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noWrap w:val="0"/>
                  <w:vAlign w:val="center"/>
                </w:tcPr>
                <w:p w14:paraId="22CB67E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序号</w:t>
                  </w:r>
                </w:p>
              </w:tc>
              <w:tc>
                <w:tcPr>
                  <w:tcW w:w="548" w:type="pct"/>
                  <w:noWrap w:val="0"/>
                  <w:vAlign w:val="center"/>
                </w:tcPr>
                <w:p w14:paraId="096D21D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排放口编号</w:t>
                  </w:r>
                </w:p>
              </w:tc>
              <w:tc>
                <w:tcPr>
                  <w:tcW w:w="814" w:type="pct"/>
                  <w:noWrap w:val="0"/>
                  <w:vAlign w:val="center"/>
                </w:tcPr>
                <w:p w14:paraId="4061C02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污染物</w:t>
                  </w:r>
                </w:p>
              </w:tc>
              <w:tc>
                <w:tcPr>
                  <w:tcW w:w="850" w:type="pct"/>
                  <w:noWrap w:val="0"/>
                  <w:vAlign w:val="center"/>
                </w:tcPr>
                <w:p w14:paraId="67CDBE7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核算排放浓度（</w:t>
                  </w:r>
                  <w:r>
                    <w:rPr>
                      <w:rFonts w:hint="default" w:ascii="Times New Roman" w:hAnsi="Times New Roman" w:eastAsia="宋体" w:cs="Times New Roman"/>
                      <w:b w:val="0"/>
                      <w:bCs w:val="0"/>
                      <w:snapToGrid w:val="0"/>
                      <w:color w:val="auto"/>
                      <w:kern w:val="0"/>
                      <w:sz w:val="18"/>
                      <w:szCs w:val="18"/>
                      <w:highlight w:val="none"/>
                    </w:rPr>
                    <w:t>mg/m³</w:t>
                  </w:r>
                  <w:r>
                    <w:rPr>
                      <w:rFonts w:hint="default" w:ascii="Times New Roman" w:hAnsi="Times New Roman" w:eastAsia="宋体" w:cs="Times New Roman"/>
                      <w:b w:val="0"/>
                      <w:bCs w:val="0"/>
                      <w:color w:val="auto"/>
                      <w:sz w:val="18"/>
                      <w:szCs w:val="18"/>
                      <w:highlight w:val="none"/>
                      <w:lang w:val="zh-CN"/>
                    </w:rPr>
                    <w:t>）</w:t>
                  </w:r>
                </w:p>
              </w:tc>
              <w:tc>
                <w:tcPr>
                  <w:tcW w:w="868" w:type="pct"/>
                  <w:noWrap w:val="0"/>
                  <w:vAlign w:val="center"/>
                </w:tcPr>
                <w:p w14:paraId="3A3CED2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核算排放速率（kg/h）</w:t>
                  </w:r>
                </w:p>
              </w:tc>
              <w:tc>
                <w:tcPr>
                  <w:tcW w:w="862" w:type="pct"/>
                  <w:noWrap w:val="0"/>
                  <w:vAlign w:val="center"/>
                </w:tcPr>
                <w:p w14:paraId="34059D8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核算年排放量（t/a）</w:t>
                  </w:r>
                </w:p>
              </w:tc>
            </w:tr>
            <w:tr w14:paraId="0E95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restart"/>
                  <w:noWrap w:val="0"/>
                  <w:vAlign w:val="center"/>
                </w:tcPr>
                <w:p w14:paraId="151D6FF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1</w:t>
                  </w:r>
                </w:p>
              </w:tc>
              <w:tc>
                <w:tcPr>
                  <w:tcW w:w="548" w:type="pct"/>
                  <w:vMerge w:val="restart"/>
                  <w:noWrap w:val="0"/>
                  <w:vAlign w:val="center"/>
                </w:tcPr>
                <w:p w14:paraId="454C14A2">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DA001</w:t>
                  </w:r>
                </w:p>
              </w:tc>
              <w:tc>
                <w:tcPr>
                  <w:tcW w:w="814" w:type="pct"/>
                  <w:noWrap w:val="0"/>
                  <w:vAlign w:val="center"/>
                </w:tcPr>
                <w:p w14:paraId="7A6F93A5">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氨</w:t>
                  </w:r>
                </w:p>
              </w:tc>
              <w:tc>
                <w:tcPr>
                  <w:tcW w:w="850" w:type="pct"/>
                  <w:noWrap w:val="0"/>
                  <w:vAlign w:val="center"/>
                </w:tcPr>
                <w:p w14:paraId="5169424E">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1.718 </w:t>
                  </w:r>
                </w:p>
              </w:tc>
              <w:tc>
                <w:tcPr>
                  <w:tcW w:w="868" w:type="pct"/>
                  <w:noWrap w:val="0"/>
                  <w:vAlign w:val="center"/>
                </w:tcPr>
                <w:p w14:paraId="76F36952">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0.069 </w:t>
                  </w:r>
                </w:p>
              </w:tc>
              <w:tc>
                <w:tcPr>
                  <w:tcW w:w="862" w:type="pct"/>
                  <w:noWrap w:val="0"/>
                  <w:vAlign w:val="center"/>
                </w:tcPr>
                <w:p w14:paraId="692CA6F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0.495 </w:t>
                  </w:r>
                </w:p>
              </w:tc>
            </w:tr>
            <w:tr w14:paraId="3E2F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079D955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7B5B71C4">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2DF1AD30">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硫化氢</w:t>
                  </w:r>
                </w:p>
              </w:tc>
              <w:tc>
                <w:tcPr>
                  <w:tcW w:w="850" w:type="pct"/>
                  <w:noWrap w:val="0"/>
                  <w:vAlign w:val="center"/>
                </w:tcPr>
                <w:p w14:paraId="23A446D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0.088 </w:t>
                  </w:r>
                </w:p>
              </w:tc>
              <w:tc>
                <w:tcPr>
                  <w:tcW w:w="868" w:type="pct"/>
                  <w:noWrap w:val="0"/>
                  <w:vAlign w:val="center"/>
                </w:tcPr>
                <w:p w14:paraId="06A85444">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0.004 </w:t>
                  </w:r>
                </w:p>
              </w:tc>
              <w:tc>
                <w:tcPr>
                  <w:tcW w:w="862" w:type="pct"/>
                  <w:noWrap w:val="0"/>
                  <w:vAlign w:val="center"/>
                </w:tcPr>
                <w:p w14:paraId="50AA1484">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0.025 </w:t>
                  </w:r>
                </w:p>
              </w:tc>
            </w:tr>
            <w:tr w14:paraId="1F5E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6A50E11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064C3983">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304D8C0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臭气浓度</w:t>
                  </w:r>
                </w:p>
              </w:tc>
              <w:tc>
                <w:tcPr>
                  <w:tcW w:w="850" w:type="pct"/>
                  <w:noWrap w:val="0"/>
                  <w:vAlign w:val="center"/>
                </w:tcPr>
                <w:p w14:paraId="03621936">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2000</w:t>
                  </w:r>
                  <w:r>
                    <w:rPr>
                      <w:rFonts w:hint="default" w:ascii="Times New Roman" w:hAnsi="Times New Roman" w:cs="Times New Roman"/>
                      <w:b w:val="0"/>
                      <w:bCs w:val="0"/>
                      <w:color w:val="auto"/>
                      <w:sz w:val="18"/>
                      <w:szCs w:val="18"/>
                      <w:highlight w:val="none"/>
                      <w:lang w:val="en-US" w:eastAsia="zh-CN"/>
                    </w:rPr>
                    <w:t>（</w:t>
                  </w:r>
                  <w:r>
                    <w:rPr>
                      <w:rFonts w:hint="default" w:ascii="Times New Roman" w:hAnsi="Times New Roman" w:eastAsia="宋体" w:cs="Times New Roman"/>
                      <w:b w:val="0"/>
                      <w:bCs w:val="0"/>
                      <w:color w:val="auto"/>
                      <w:sz w:val="18"/>
                      <w:szCs w:val="18"/>
                      <w:highlight w:val="none"/>
                      <w:lang w:val="en-US" w:eastAsia="zh-CN"/>
                    </w:rPr>
                    <w:t>无量纲</w:t>
                  </w:r>
                  <w:r>
                    <w:rPr>
                      <w:rFonts w:hint="default" w:ascii="Times New Roman" w:hAnsi="Times New Roman" w:cs="Times New Roman"/>
                      <w:b w:val="0"/>
                      <w:bCs w:val="0"/>
                      <w:color w:val="auto"/>
                      <w:sz w:val="18"/>
                      <w:szCs w:val="18"/>
                      <w:highlight w:val="none"/>
                      <w:lang w:val="en-US" w:eastAsia="zh-CN"/>
                    </w:rPr>
                    <w:t>）</w:t>
                  </w:r>
                </w:p>
              </w:tc>
              <w:tc>
                <w:tcPr>
                  <w:tcW w:w="868" w:type="pct"/>
                  <w:noWrap w:val="0"/>
                  <w:vAlign w:val="center"/>
                </w:tcPr>
                <w:p w14:paraId="3A5A6426">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w:t>
                  </w:r>
                </w:p>
              </w:tc>
              <w:tc>
                <w:tcPr>
                  <w:tcW w:w="862" w:type="pct"/>
                  <w:noWrap w:val="0"/>
                  <w:vAlign w:val="center"/>
                </w:tcPr>
                <w:p w14:paraId="54B0D245">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w:t>
                  </w:r>
                </w:p>
              </w:tc>
            </w:tr>
            <w:tr w14:paraId="5808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noWrap w:val="0"/>
                  <w:vAlign w:val="center"/>
                </w:tcPr>
                <w:p w14:paraId="18E8E19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w:t>
                  </w:r>
                </w:p>
              </w:tc>
              <w:tc>
                <w:tcPr>
                  <w:tcW w:w="548" w:type="pct"/>
                  <w:noWrap w:val="0"/>
                  <w:vAlign w:val="center"/>
                </w:tcPr>
                <w:p w14:paraId="0E990506">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DA002</w:t>
                  </w:r>
                </w:p>
              </w:tc>
              <w:tc>
                <w:tcPr>
                  <w:tcW w:w="814" w:type="pct"/>
                  <w:noWrap w:val="0"/>
                  <w:vAlign w:val="center"/>
                </w:tcPr>
                <w:p w14:paraId="4572E602">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颗粒物</w:t>
                  </w:r>
                </w:p>
              </w:tc>
              <w:tc>
                <w:tcPr>
                  <w:tcW w:w="850" w:type="pct"/>
                  <w:noWrap w:val="0"/>
                  <w:vAlign w:val="center"/>
                </w:tcPr>
                <w:p w14:paraId="2F26B21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5.456</w:t>
                  </w:r>
                </w:p>
              </w:tc>
              <w:tc>
                <w:tcPr>
                  <w:tcW w:w="868" w:type="pct"/>
                  <w:noWrap w:val="0"/>
                  <w:vAlign w:val="center"/>
                </w:tcPr>
                <w:p w14:paraId="4E0AD4F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0.436</w:t>
                  </w:r>
                </w:p>
              </w:tc>
              <w:tc>
                <w:tcPr>
                  <w:tcW w:w="862" w:type="pct"/>
                  <w:noWrap w:val="0"/>
                  <w:vAlign w:val="center"/>
                </w:tcPr>
                <w:p w14:paraId="1A0B7F4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3.142</w:t>
                  </w:r>
                </w:p>
              </w:tc>
            </w:tr>
            <w:tr w14:paraId="3922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restart"/>
                  <w:noWrap w:val="0"/>
                  <w:vAlign w:val="center"/>
                </w:tcPr>
                <w:p w14:paraId="27160AC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w:t>
                  </w:r>
                </w:p>
              </w:tc>
              <w:tc>
                <w:tcPr>
                  <w:tcW w:w="548" w:type="pct"/>
                  <w:vMerge w:val="restart"/>
                  <w:noWrap w:val="0"/>
                  <w:vAlign w:val="center"/>
                </w:tcPr>
                <w:p w14:paraId="1A9C3A09">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DA003</w:t>
                  </w:r>
                </w:p>
              </w:tc>
              <w:tc>
                <w:tcPr>
                  <w:tcW w:w="814" w:type="pct"/>
                  <w:noWrap w:val="0"/>
                  <w:vAlign w:val="center"/>
                </w:tcPr>
                <w:p w14:paraId="6DD98D96">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颗粒物</w:t>
                  </w:r>
                </w:p>
              </w:tc>
              <w:tc>
                <w:tcPr>
                  <w:tcW w:w="850" w:type="pct"/>
                  <w:noWrap w:val="0"/>
                  <w:vAlign w:val="center"/>
                </w:tcPr>
                <w:p w14:paraId="65C8EFE9">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6.205</w:t>
                  </w:r>
                  <w:r>
                    <w:rPr>
                      <w:rFonts w:hint="default" w:ascii="Times New Roman" w:hAnsi="Times New Roman" w:eastAsia="宋体" w:cs="Times New Roman"/>
                      <w:b w:val="0"/>
                      <w:bCs w:val="0"/>
                      <w:color w:val="auto"/>
                      <w:sz w:val="18"/>
                      <w:szCs w:val="18"/>
                      <w:highlight w:val="none"/>
                      <w:lang w:val="en-US" w:eastAsia="zh-CN"/>
                    </w:rPr>
                    <w:t xml:space="preserve"> </w:t>
                  </w:r>
                </w:p>
              </w:tc>
              <w:tc>
                <w:tcPr>
                  <w:tcW w:w="868" w:type="pct"/>
                  <w:noWrap w:val="0"/>
                  <w:vAlign w:val="center"/>
                </w:tcPr>
                <w:p w14:paraId="4DD47E2A">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0.111 </w:t>
                  </w:r>
                </w:p>
              </w:tc>
              <w:tc>
                <w:tcPr>
                  <w:tcW w:w="862" w:type="pct"/>
                  <w:noWrap w:val="0"/>
                  <w:vAlign w:val="center"/>
                </w:tcPr>
                <w:p w14:paraId="057EF9A3">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0.802 </w:t>
                  </w:r>
                </w:p>
              </w:tc>
            </w:tr>
            <w:tr w14:paraId="5DDC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0470DD6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3C285897">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6BD56CC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二氧化硫</w:t>
                  </w:r>
                </w:p>
              </w:tc>
              <w:tc>
                <w:tcPr>
                  <w:tcW w:w="850" w:type="pct"/>
                  <w:noWrap w:val="0"/>
                  <w:vAlign w:val="center"/>
                </w:tcPr>
                <w:p w14:paraId="4737D1C5">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17.130 </w:t>
                  </w:r>
                </w:p>
              </w:tc>
              <w:tc>
                <w:tcPr>
                  <w:tcW w:w="868" w:type="pct"/>
                  <w:noWrap w:val="0"/>
                  <w:vAlign w:val="center"/>
                </w:tcPr>
                <w:p w14:paraId="3A1842D0">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0.333 </w:t>
                  </w:r>
                </w:p>
              </w:tc>
              <w:tc>
                <w:tcPr>
                  <w:tcW w:w="862" w:type="pct"/>
                  <w:noWrap w:val="0"/>
                  <w:vAlign w:val="center"/>
                </w:tcPr>
                <w:p w14:paraId="31F8EDE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2.400 </w:t>
                  </w:r>
                </w:p>
              </w:tc>
            </w:tr>
            <w:tr w14:paraId="3D23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4E01832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6A3CFEB9">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6F6AA87C">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氮氧化物</w:t>
                  </w:r>
                </w:p>
              </w:tc>
              <w:tc>
                <w:tcPr>
                  <w:tcW w:w="850" w:type="pct"/>
                  <w:noWrap w:val="0"/>
                  <w:vAlign w:val="center"/>
                </w:tcPr>
                <w:p w14:paraId="2FB5581E">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79.956</w:t>
                  </w:r>
                  <w:r>
                    <w:rPr>
                      <w:rFonts w:hint="default" w:ascii="Times New Roman" w:hAnsi="Times New Roman" w:eastAsia="宋体" w:cs="Times New Roman"/>
                      <w:b w:val="0"/>
                      <w:bCs w:val="0"/>
                      <w:color w:val="auto"/>
                      <w:sz w:val="18"/>
                      <w:szCs w:val="18"/>
                      <w:highlight w:val="none"/>
                      <w:lang w:val="en-US" w:eastAsia="zh-CN"/>
                    </w:rPr>
                    <w:t xml:space="preserve"> </w:t>
                  </w:r>
                </w:p>
              </w:tc>
              <w:tc>
                <w:tcPr>
                  <w:tcW w:w="868" w:type="pct"/>
                  <w:noWrap w:val="0"/>
                  <w:vAlign w:val="center"/>
                </w:tcPr>
                <w:p w14:paraId="06330532">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1.435 </w:t>
                  </w:r>
                </w:p>
              </w:tc>
              <w:tc>
                <w:tcPr>
                  <w:tcW w:w="862" w:type="pct"/>
                  <w:noWrap w:val="0"/>
                  <w:vAlign w:val="center"/>
                </w:tcPr>
                <w:p w14:paraId="6725541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10.335 </w:t>
                  </w:r>
                </w:p>
              </w:tc>
            </w:tr>
            <w:tr w14:paraId="02F2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43B700B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66262195">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495C1D2E">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氨</w:t>
                  </w:r>
                </w:p>
              </w:tc>
              <w:tc>
                <w:tcPr>
                  <w:tcW w:w="850" w:type="pct"/>
                  <w:noWrap w:val="0"/>
                  <w:vAlign w:val="center"/>
                </w:tcPr>
                <w:p w14:paraId="63202FF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2.300 </w:t>
                  </w:r>
                </w:p>
              </w:tc>
              <w:tc>
                <w:tcPr>
                  <w:tcW w:w="868" w:type="pct"/>
                  <w:noWrap w:val="0"/>
                  <w:vAlign w:val="center"/>
                </w:tcPr>
                <w:p w14:paraId="6FF11EA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0.045 </w:t>
                  </w:r>
                </w:p>
              </w:tc>
              <w:tc>
                <w:tcPr>
                  <w:tcW w:w="862" w:type="pct"/>
                  <w:noWrap w:val="0"/>
                  <w:vAlign w:val="center"/>
                </w:tcPr>
                <w:p w14:paraId="43CC90B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0.322 </w:t>
                  </w:r>
                </w:p>
              </w:tc>
            </w:tr>
            <w:tr w14:paraId="1FF0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6CD0C29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1C091B8E">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326D9FF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汞及其化合物</w:t>
                  </w:r>
                </w:p>
              </w:tc>
              <w:tc>
                <w:tcPr>
                  <w:tcW w:w="850" w:type="pct"/>
                  <w:noWrap w:val="0"/>
                  <w:vAlign w:val="center"/>
                </w:tcPr>
                <w:p w14:paraId="00D640E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0.0</w:t>
                  </w:r>
                  <w:r>
                    <w:rPr>
                      <w:rFonts w:hint="default" w:ascii="Times New Roman" w:hAnsi="Times New Roman" w:cs="Times New Roman"/>
                      <w:b w:val="0"/>
                      <w:bCs w:val="0"/>
                      <w:color w:val="auto"/>
                      <w:sz w:val="18"/>
                      <w:szCs w:val="18"/>
                      <w:highlight w:val="none"/>
                      <w:lang w:val="en-US" w:eastAsia="zh-CN"/>
                    </w:rPr>
                    <w:t>00011</w:t>
                  </w:r>
                </w:p>
              </w:tc>
              <w:tc>
                <w:tcPr>
                  <w:tcW w:w="868" w:type="pct"/>
                  <w:noWrap w:val="0"/>
                  <w:vAlign w:val="center"/>
                </w:tcPr>
                <w:p w14:paraId="731C588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0.00</w:t>
                  </w:r>
                  <w:r>
                    <w:rPr>
                      <w:rFonts w:hint="default" w:ascii="Times New Roman" w:hAnsi="Times New Roman" w:cs="Times New Roman"/>
                      <w:b w:val="0"/>
                      <w:bCs w:val="0"/>
                      <w:color w:val="auto"/>
                      <w:sz w:val="18"/>
                      <w:szCs w:val="18"/>
                      <w:highlight w:val="none"/>
                      <w:lang w:val="en-US" w:eastAsia="zh-CN"/>
                    </w:rPr>
                    <w:t>00002</w:t>
                  </w:r>
                </w:p>
              </w:tc>
              <w:tc>
                <w:tcPr>
                  <w:tcW w:w="862" w:type="pct"/>
                  <w:noWrap w:val="0"/>
                  <w:vAlign w:val="center"/>
                </w:tcPr>
                <w:p w14:paraId="1FAD0BDE">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0.00</w:t>
                  </w:r>
                  <w:r>
                    <w:rPr>
                      <w:rFonts w:hint="default" w:ascii="Times New Roman" w:hAnsi="Times New Roman" w:cs="Times New Roman"/>
                      <w:b w:val="0"/>
                      <w:bCs w:val="0"/>
                      <w:color w:val="auto"/>
                      <w:sz w:val="18"/>
                      <w:szCs w:val="18"/>
                      <w:highlight w:val="none"/>
                      <w:lang w:val="en-US" w:eastAsia="zh-CN"/>
                    </w:rPr>
                    <w:t>0001</w:t>
                  </w:r>
                </w:p>
              </w:tc>
            </w:tr>
            <w:tr w14:paraId="7773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01619EB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548" w:type="pct"/>
                  <w:vMerge w:val="continue"/>
                  <w:noWrap w:val="0"/>
                  <w:vAlign w:val="center"/>
                </w:tcPr>
                <w:p w14:paraId="6E7EF6F6">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814" w:type="pct"/>
                  <w:noWrap w:val="0"/>
                  <w:vAlign w:val="center"/>
                </w:tcPr>
                <w:p w14:paraId="4DD4587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烟气黑度</w:t>
                  </w:r>
                </w:p>
              </w:tc>
              <w:tc>
                <w:tcPr>
                  <w:tcW w:w="850" w:type="pct"/>
                  <w:noWrap w:val="0"/>
                  <w:vAlign w:val="center"/>
                </w:tcPr>
                <w:p w14:paraId="0B2260A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1（级） </w:t>
                  </w:r>
                </w:p>
              </w:tc>
              <w:tc>
                <w:tcPr>
                  <w:tcW w:w="868" w:type="pct"/>
                  <w:noWrap w:val="0"/>
                  <w:vAlign w:val="center"/>
                </w:tcPr>
                <w:p w14:paraId="062038C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w:t>
                  </w:r>
                </w:p>
              </w:tc>
              <w:tc>
                <w:tcPr>
                  <w:tcW w:w="862" w:type="pct"/>
                  <w:noWrap w:val="0"/>
                  <w:vAlign w:val="center"/>
                </w:tcPr>
                <w:p w14:paraId="44FD64D8">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w:t>
                  </w:r>
                </w:p>
              </w:tc>
            </w:tr>
            <w:tr w14:paraId="4FF3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noWrap w:val="0"/>
                  <w:vAlign w:val="center"/>
                </w:tcPr>
                <w:p w14:paraId="0174394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4</w:t>
                  </w:r>
                </w:p>
              </w:tc>
              <w:tc>
                <w:tcPr>
                  <w:tcW w:w="548" w:type="pct"/>
                  <w:noWrap w:val="0"/>
                  <w:vAlign w:val="center"/>
                </w:tcPr>
                <w:p w14:paraId="1EDF585C">
                  <w:pPr>
                    <w:pStyle w:val="2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DA004</w:t>
                  </w:r>
                </w:p>
              </w:tc>
              <w:tc>
                <w:tcPr>
                  <w:tcW w:w="814" w:type="pct"/>
                  <w:noWrap w:val="0"/>
                  <w:vAlign w:val="center"/>
                </w:tcPr>
                <w:p w14:paraId="5BF984A7">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颗粒物</w:t>
                  </w:r>
                </w:p>
              </w:tc>
              <w:tc>
                <w:tcPr>
                  <w:tcW w:w="850" w:type="pct"/>
                  <w:noWrap w:val="0"/>
                  <w:vAlign w:val="center"/>
                </w:tcPr>
                <w:p w14:paraId="7B92F86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5.980</w:t>
                  </w:r>
                </w:p>
              </w:tc>
              <w:tc>
                <w:tcPr>
                  <w:tcW w:w="868" w:type="pct"/>
                  <w:noWrap w:val="0"/>
                  <w:vAlign w:val="center"/>
                </w:tcPr>
                <w:p w14:paraId="53F8B88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0.096</w:t>
                  </w:r>
                </w:p>
              </w:tc>
              <w:tc>
                <w:tcPr>
                  <w:tcW w:w="862" w:type="pct"/>
                  <w:noWrap w:val="0"/>
                  <w:vAlign w:val="center"/>
                </w:tcPr>
                <w:p w14:paraId="286437E6">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0.689</w:t>
                  </w:r>
                </w:p>
              </w:tc>
            </w:tr>
            <w:tr w14:paraId="770D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restart"/>
                  <w:noWrap w:val="0"/>
                  <w:vAlign w:val="center"/>
                </w:tcPr>
                <w:p w14:paraId="0955D3F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zh-CN"/>
                    </w:rPr>
                    <w:t>有组织排放合计</w:t>
                  </w:r>
                </w:p>
              </w:tc>
              <w:tc>
                <w:tcPr>
                  <w:tcW w:w="3081" w:type="pct"/>
                  <w:gridSpan w:val="4"/>
                  <w:shd w:val="clear" w:color="auto" w:fill="auto"/>
                  <w:noWrap w:val="0"/>
                  <w:vAlign w:val="center"/>
                </w:tcPr>
                <w:p w14:paraId="1CA0F92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氨</w:t>
                  </w:r>
                </w:p>
              </w:tc>
              <w:tc>
                <w:tcPr>
                  <w:tcW w:w="862" w:type="pct"/>
                  <w:shd w:val="clear" w:color="auto" w:fill="auto"/>
                  <w:noWrap w:val="0"/>
                  <w:vAlign w:val="center"/>
                </w:tcPr>
                <w:p w14:paraId="64B7D1DB">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0.495 </w:t>
                  </w:r>
                </w:p>
              </w:tc>
            </w:tr>
            <w:tr w14:paraId="593E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39CA531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p>
              </w:tc>
              <w:tc>
                <w:tcPr>
                  <w:tcW w:w="3081" w:type="pct"/>
                  <w:gridSpan w:val="4"/>
                  <w:shd w:val="clear" w:color="auto" w:fill="auto"/>
                  <w:noWrap w:val="0"/>
                  <w:vAlign w:val="center"/>
                </w:tcPr>
                <w:p w14:paraId="6BB987F4">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硫化氢</w:t>
                  </w:r>
                </w:p>
              </w:tc>
              <w:tc>
                <w:tcPr>
                  <w:tcW w:w="862" w:type="pct"/>
                  <w:shd w:val="clear" w:color="auto" w:fill="auto"/>
                  <w:noWrap w:val="0"/>
                  <w:vAlign w:val="center"/>
                </w:tcPr>
                <w:p w14:paraId="381DC1A0">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0.025 </w:t>
                  </w:r>
                </w:p>
              </w:tc>
            </w:tr>
            <w:tr w14:paraId="701D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44DF91C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p>
              </w:tc>
              <w:tc>
                <w:tcPr>
                  <w:tcW w:w="3081" w:type="pct"/>
                  <w:gridSpan w:val="4"/>
                  <w:shd w:val="clear" w:color="auto" w:fill="auto"/>
                  <w:noWrap w:val="0"/>
                  <w:vAlign w:val="center"/>
                </w:tcPr>
                <w:p w14:paraId="5BCF718D">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臭气浓度</w:t>
                  </w:r>
                </w:p>
              </w:tc>
              <w:tc>
                <w:tcPr>
                  <w:tcW w:w="862" w:type="pct"/>
                  <w:noWrap w:val="0"/>
                  <w:vAlign w:val="center"/>
                </w:tcPr>
                <w:p w14:paraId="2061432C">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w:t>
                  </w:r>
                </w:p>
              </w:tc>
            </w:tr>
            <w:tr w14:paraId="3A49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2B4A1C0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p>
              </w:tc>
              <w:tc>
                <w:tcPr>
                  <w:tcW w:w="3081" w:type="pct"/>
                  <w:gridSpan w:val="4"/>
                  <w:shd w:val="clear" w:color="auto" w:fill="auto"/>
                  <w:noWrap w:val="0"/>
                  <w:vAlign w:val="center"/>
                </w:tcPr>
                <w:p w14:paraId="4FD8EF0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颗粒物</w:t>
                  </w:r>
                </w:p>
              </w:tc>
              <w:tc>
                <w:tcPr>
                  <w:tcW w:w="862" w:type="pct"/>
                  <w:noWrap w:val="0"/>
                  <w:vAlign w:val="center"/>
                </w:tcPr>
                <w:p w14:paraId="4C715D1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4.633</w:t>
                  </w:r>
                </w:p>
              </w:tc>
            </w:tr>
            <w:tr w14:paraId="6666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00215F7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p>
              </w:tc>
              <w:tc>
                <w:tcPr>
                  <w:tcW w:w="3081" w:type="pct"/>
                  <w:gridSpan w:val="4"/>
                  <w:shd w:val="clear" w:color="auto" w:fill="auto"/>
                  <w:noWrap w:val="0"/>
                  <w:vAlign w:val="center"/>
                </w:tcPr>
                <w:p w14:paraId="766F2EFE">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二氧化硫</w:t>
                  </w:r>
                </w:p>
              </w:tc>
              <w:tc>
                <w:tcPr>
                  <w:tcW w:w="862" w:type="pct"/>
                  <w:shd w:val="clear" w:color="auto" w:fill="auto"/>
                  <w:noWrap w:val="0"/>
                  <w:vAlign w:val="center"/>
                </w:tcPr>
                <w:p w14:paraId="56E190F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2.400 </w:t>
                  </w:r>
                </w:p>
              </w:tc>
            </w:tr>
            <w:tr w14:paraId="2869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177DC83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p>
              </w:tc>
              <w:tc>
                <w:tcPr>
                  <w:tcW w:w="3081" w:type="pct"/>
                  <w:gridSpan w:val="4"/>
                  <w:shd w:val="clear" w:color="auto" w:fill="auto"/>
                  <w:noWrap w:val="0"/>
                  <w:vAlign w:val="center"/>
                </w:tcPr>
                <w:p w14:paraId="6591D623">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氮氧化物</w:t>
                  </w:r>
                </w:p>
              </w:tc>
              <w:tc>
                <w:tcPr>
                  <w:tcW w:w="862" w:type="pct"/>
                  <w:shd w:val="clear" w:color="auto" w:fill="auto"/>
                  <w:noWrap w:val="0"/>
                  <w:vAlign w:val="center"/>
                </w:tcPr>
                <w:p w14:paraId="269CC3EA">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10.335 </w:t>
                  </w:r>
                </w:p>
              </w:tc>
            </w:tr>
            <w:tr w14:paraId="0C04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6FB86B5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lang w:val="zh-CN"/>
                    </w:rPr>
                  </w:pPr>
                </w:p>
              </w:tc>
              <w:tc>
                <w:tcPr>
                  <w:tcW w:w="3081" w:type="pct"/>
                  <w:gridSpan w:val="4"/>
                  <w:shd w:val="clear" w:color="auto" w:fill="auto"/>
                  <w:noWrap w:val="0"/>
                  <w:vAlign w:val="center"/>
                </w:tcPr>
                <w:p w14:paraId="38D80F46">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氨</w:t>
                  </w:r>
                </w:p>
              </w:tc>
              <w:tc>
                <w:tcPr>
                  <w:tcW w:w="862" w:type="pct"/>
                  <w:shd w:val="clear" w:color="auto" w:fill="auto"/>
                  <w:noWrap w:val="0"/>
                  <w:vAlign w:val="center"/>
                </w:tcPr>
                <w:p w14:paraId="4ECCEC5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 xml:space="preserve">0.322 </w:t>
                  </w:r>
                </w:p>
              </w:tc>
            </w:tr>
            <w:tr w14:paraId="72C6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noWrap w:val="0"/>
                  <w:vAlign w:val="center"/>
                </w:tcPr>
                <w:p w14:paraId="0A3598B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3081" w:type="pct"/>
                  <w:gridSpan w:val="4"/>
                  <w:shd w:val="clear" w:color="auto" w:fill="auto"/>
                  <w:noWrap w:val="0"/>
                  <w:vAlign w:val="center"/>
                </w:tcPr>
                <w:p w14:paraId="5F14EBD3">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汞及其化合物</w:t>
                  </w:r>
                </w:p>
              </w:tc>
              <w:tc>
                <w:tcPr>
                  <w:tcW w:w="862" w:type="pct"/>
                  <w:shd w:val="clear" w:color="auto" w:fill="auto"/>
                  <w:noWrap w:val="0"/>
                  <w:vAlign w:val="center"/>
                </w:tcPr>
                <w:p w14:paraId="3AD58B01">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0.00</w:t>
                  </w:r>
                  <w:r>
                    <w:rPr>
                      <w:rFonts w:hint="default" w:ascii="Times New Roman" w:hAnsi="Times New Roman" w:cs="Times New Roman"/>
                      <w:b w:val="0"/>
                      <w:bCs w:val="0"/>
                      <w:color w:val="auto"/>
                      <w:sz w:val="18"/>
                      <w:szCs w:val="18"/>
                      <w:highlight w:val="none"/>
                      <w:lang w:val="en-US" w:eastAsia="zh-CN"/>
                    </w:rPr>
                    <w:t>0001</w:t>
                  </w:r>
                </w:p>
              </w:tc>
            </w:tr>
            <w:tr w14:paraId="01AE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vMerge w:val="continue"/>
                </w:tcPr>
                <w:p w14:paraId="6D393B2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18"/>
                      <w:szCs w:val="18"/>
                      <w:highlight w:val="none"/>
                    </w:rPr>
                  </w:pPr>
                </w:p>
              </w:tc>
              <w:tc>
                <w:tcPr>
                  <w:tcW w:w="0" w:type="auto"/>
                  <w:gridSpan w:val="4"/>
                  <w:shd w:val="clear" w:color="auto" w:fill="auto"/>
                  <w:vAlign w:val="center"/>
                </w:tcPr>
                <w:p w14:paraId="5DE323B8">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烟气黑度</w:t>
                  </w:r>
                </w:p>
              </w:tc>
              <w:tc>
                <w:tcPr>
                  <w:tcW w:w="0" w:type="auto"/>
                  <w:shd w:val="clear" w:color="auto" w:fill="auto"/>
                  <w:vAlign w:val="center"/>
                </w:tcPr>
                <w:p w14:paraId="1D6014AF">
                  <w:pPr>
                    <w:keepNext w:val="0"/>
                    <w:keepLines w:val="0"/>
                    <w:widowControl/>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w:t>
                  </w:r>
                </w:p>
              </w:tc>
            </w:tr>
          </w:tbl>
          <w:p w14:paraId="2FDF9B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rightChars="0"/>
              <w:jc w:val="center"/>
              <w:textAlignment w:val="auto"/>
              <w:rPr>
                <w:rFonts w:hint="default" w:ascii="Times New Roman" w:hAnsi="Times New Roman" w:eastAsia="宋体" w:cs="Times New Roman"/>
                <w:b/>
                <w:bCs w:val="0"/>
                <w:color w:val="auto"/>
                <w:spacing w:val="0"/>
                <w:sz w:val="24"/>
                <w:szCs w:val="24"/>
                <w:highlight w:val="none"/>
                <w:vertAlign w:val="baseline"/>
                <w:lang w:val="en-US" w:eastAsia="zh-CN"/>
              </w:rPr>
            </w:pPr>
            <w:r>
              <w:rPr>
                <w:rFonts w:hint="default" w:ascii="Times New Roman" w:hAnsi="Times New Roman" w:eastAsia="宋体" w:cs="Times New Roman"/>
                <w:b/>
                <w:bCs w:val="0"/>
                <w:color w:val="auto"/>
                <w:spacing w:val="0"/>
                <w:sz w:val="24"/>
                <w:szCs w:val="24"/>
                <w:highlight w:val="none"/>
                <w:vertAlign w:val="baseline"/>
                <w:lang w:val="en-US" w:eastAsia="zh-CN"/>
              </w:rPr>
              <w:t>表4-</w:t>
            </w:r>
            <w:r>
              <w:rPr>
                <w:rFonts w:hint="default" w:ascii="Times New Roman" w:hAnsi="Times New Roman" w:cs="Times New Roman"/>
                <w:b/>
                <w:bCs w:val="0"/>
                <w:color w:val="auto"/>
                <w:spacing w:val="0"/>
                <w:sz w:val="24"/>
                <w:szCs w:val="24"/>
                <w:highlight w:val="none"/>
                <w:vertAlign w:val="baseline"/>
                <w:lang w:val="en-US" w:eastAsia="zh-CN"/>
              </w:rPr>
              <w:t>4</w:t>
            </w:r>
            <w:r>
              <w:rPr>
                <w:rFonts w:hint="default" w:ascii="Times New Roman" w:hAnsi="Times New Roman" w:eastAsia="宋体" w:cs="Times New Roman"/>
                <w:b/>
                <w:bCs w:val="0"/>
                <w:color w:val="auto"/>
                <w:spacing w:val="0"/>
                <w:sz w:val="24"/>
                <w:szCs w:val="24"/>
                <w:highlight w:val="none"/>
                <w:vertAlign w:val="baseline"/>
                <w:lang w:val="en-US" w:eastAsia="zh-CN"/>
              </w:rPr>
              <w:t xml:space="preserve">    本项目无组织排放量核算表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1254"/>
              <w:gridCol w:w="863"/>
              <w:gridCol w:w="1609"/>
              <w:gridCol w:w="586"/>
              <w:gridCol w:w="1255"/>
              <w:gridCol w:w="1553"/>
              <w:gridCol w:w="781"/>
            </w:tblGrid>
            <w:tr w14:paraId="1EEC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restart"/>
                  <w:tcBorders>
                    <w:tl2br w:val="nil"/>
                    <w:tr2bl w:val="nil"/>
                  </w:tcBorders>
                  <w:noWrap w:val="0"/>
                  <w:vAlign w:val="center"/>
                </w:tcPr>
                <w:p w14:paraId="5597A2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序号</w:t>
                  </w:r>
                </w:p>
              </w:tc>
              <w:tc>
                <w:tcPr>
                  <w:tcW w:w="752" w:type="pct"/>
                  <w:vMerge w:val="restart"/>
                  <w:tcBorders>
                    <w:tl2br w:val="nil"/>
                    <w:tr2bl w:val="nil"/>
                  </w:tcBorders>
                  <w:noWrap w:val="0"/>
                  <w:vAlign w:val="center"/>
                </w:tcPr>
                <w:p w14:paraId="1D1EC5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产污环节</w:t>
                  </w:r>
                </w:p>
              </w:tc>
              <w:tc>
                <w:tcPr>
                  <w:tcW w:w="518" w:type="pct"/>
                  <w:vMerge w:val="restart"/>
                  <w:tcBorders>
                    <w:tl2br w:val="nil"/>
                    <w:tr2bl w:val="nil"/>
                  </w:tcBorders>
                  <w:noWrap w:val="0"/>
                  <w:vAlign w:val="center"/>
                </w:tcPr>
                <w:p w14:paraId="283A84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污染物</w:t>
                  </w:r>
                </w:p>
              </w:tc>
              <w:tc>
                <w:tcPr>
                  <w:tcW w:w="965" w:type="pct"/>
                  <w:vMerge w:val="restart"/>
                  <w:tcBorders>
                    <w:tl2br w:val="nil"/>
                    <w:tr2bl w:val="nil"/>
                  </w:tcBorders>
                  <w:noWrap w:val="0"/>
                  <w:vAlign w:val="center"/>
                </w:tcPr>
                <w:p w14:paraId="7D6BBC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主要污染防治措施</w:t>
                  </w:r>
                </w:p>
              </w:tc>
              <w:tc>
                <w:tcPr>
                  <w:tcW w:w="2037" w:type="pct"/>
                  <w:gridSpan w:val="3"/>
                  <w:tcBorders>
                    <w:tl2br w:val="nil"/>
                    <w:tr2bl w:val="nil"/>
                  </w:tcBorders>
                  <w:noWrap w:val="0"/>
                  <w:vAlign w:val="center"/>
                </w:tcPr>
                <w:p w14:paraId="5B6472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国家或地方污染物排放标准</w:t>
                  </w:r>
                </w:p>
              </w:tc>
              <w:tc>
                <w:tcPr>
                  <w:tcW w:w="468" w:type="pct"/>
                  <w:vMerge w:val="restart"/>
                  <w:tcBorders>
                    <w:tl2br w:val="nil"/>
                    <w:tr2bl w:val="nil"/>
                  </w:tcBorders>
                  <w:noWrap w:val="0"/>
                  <w:vAlign w:val="center"/>
                </w:tcPr>
                <w:p w14:paraId="706ED0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lang w:val="zh-CN"/>
                    </w:rPr>
                  </w:pPr>
                  <w:r>
                    <w:rPr>
                      <w:rFonts w:hint="default" w:ascii="Times New Roman" w:hAnsi="Times New Roman" w:eastAsia="宋体" w:cs="Times New Roman"/>
                      <w:b w:val="0"/>
                      <w:bCs w:val="0"/>
                      <w:color w:val="auto"/>
                      <w:sz w:val="18"/>
                      <w:szCs w:val="18"/>
                      <w:highlight w:val="none"/>
                      <w:lang w:val="zh-CN"/>
                    </w:rPr>
                    <w:t>年排放量/（t/a）</w:t>
                  </w:r>
                </w:p>
              </w:tc>
            </w:tr>
            <w:tr w14:paraId="3C21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tcBorders>
                    <w:tl2br w:val="nil"/>
                    <w:tr2bl w:val="nil"/>
                  </w:tcBorders>
                  <w:noWrap w:val="0"/>
                  <w:vAlign w:val="center"/>
                </w:tcPr>
                <w:p w14:paraId="173D4E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752" w:type="pct"/>
                  <w:vMerge w:val="continue"/>
                  <w:tcBorders>
                    <w:tl2br w:val="nil"/>
                    <w:tr2bl w:val="nil"/>
                  </w:tcBorders>
                  <w:noWrap w:val="0"/>
                  <w:vAlign w:val="center"/>
                </w:tcPr>
                <w:p w14:paraId="332491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518" w:type="pct"/>
                  <w:vMerge w:val="continue"/>
                  <w:tcBorders>
                    <w:tl2br w:val="nil"/>
                    <w:tr2bl w:val="nil"/>
                  </w:tcBorders>
                  <w:noWrap w:val="0"/>
                  <w:vAlign w:val="center"/>
                </w:tcPr>
                <w:p w14:paraId="47D7B0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965" w:type="pct"/>
                  <w:vMerge w:val="continue"/>
                  <w:tcBorders>
                    <w:tl2br w:val="nil"/>
                    <w:tr2bl w:val="nil"/>
                  </w:tcBorders>
                  <w:noWrap w:val="0"/>
                  <w:vAlign w:val="center"/>
                </w:tcPr>
                <w:p w14:paraId="2CFA09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1105" w:type="pct"/>
                  <w:gridSpan w:val="2"/>
                  <w:tcBorders>
                    <w:tl2br w:val="nil"/>
                    <w:tr2bl w:val="nil"/>
                  </w:tcBorders>
                  <w:noWrap w:val="0"/>
                  <w:vAlign w:val="center"/>
                </w:tcPr>
                <w:p w14:paraId="53F76D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标准名称</w:t>
                  </w:r>
                </w:p>
              </w:tc>
              <w:tc>
                <w:tcPr>
                  <w:tcW w:w="932" w:type="pct"/>
                  <w:tcBorders>
                    <w:tl2br w:val="nil"/>
                    <w:tr2bl w:val="nil"/>
                  </w:tcBorders>
                  <w:noWrap w:val="0"/>
                  <w:vAlign w:val="center"/>
                </w:tcPr>
                <w:p w14:paraId="3089B5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浓度限值（</w:t>
                  </w:r>
                  <w:r>
                    <w:rPr>
                      <w:rFonts w:hint="default" w:ascii="Times New Roman" w:hAnsi="Times New Roman" w:eastAsia="宋体" w:cs="Times New Roman"/>
                      <w:snapToGrid w:val="0"/>
                      <w:color w:val="auto"/>
                      <w:kern w:val="0"/>
                      <w:sz w:val="18"/>
                      <w:szCs w:val="18"/>
                      <w:highlight w:val="none"/>
                    </w:rPr>
                    <w:t>mg/</w:t>
                  </w:r>
                  <w:r>
                    <w:rPr>
                      <w:rFonts w:hint="default" w:ascii="Times New Roman" w:hAnsi="Times New Roman" w:eastAsia="宋体" w:cs="Times New Roman"/>
                      <w:snapToGrid w:val="0"/>
                      <w:color w:val="auto"/>
                      <w:kern w:val="0"/>
                      <w:sz w:val="18"/>
                      <w:szCs w:val="18"/>
                      <w:highlight w:val="none"/>
                      <w:lang w:eastAsia="zh-CN"/>
                    </w:rPr>
                    <w:t>m³</w:t>
                  </w:r>
                  <w:r>
                    <w:rPr>
                      <w:rFonts w:hint="default" w:ascii="Times New Roman" w:hAnsi="Times New Roman" w:eastAsia="宋体" w:cs="Times New Roman"/>
                      <w:color w:val="auto"/>
                      <w:sz w:val="18"/>
                      <w:szCs w:val="18"/>
                      <w:highlight w:val="none"/>
                      <w:lang w:val="zh-CN"/>
                    </w:rPr>
                    <w:t>）</w:t>
                  </w:r>
                </w:p>
              </w:tc>
              <w:tc>
                <w:tcPr>
                  <w:tcW w:w="468" w:type="pct"/>
                  <w:vMerge w:val="continue"/>
                  <w:tcBorders>
                    <w:tl2br w:val="nil"/>
                    <w:tr2bl w:val="nil"/>
                  </w:tcBorders>
                  <w:noWrap w:val="0"/>
                  <w:vAlign w:val="center"/>
                </w:tcPr>
                <w:p w14:paraId="182FD1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r>
            <w:tr w14:paraId="2EB5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tcBorders>
                    <w:tl2br w:val="nil"/>
                    <w:tr2bl w:val="nil"/>
                  </w:tcBorders>
                  <w:noWrap w:val="0"/>
                  <w:vAlign w:val="center"/>
                </w:tcPr>
                <w:p w14:paraId="40C4C9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1</w:t>
                  </w:r>
                </w:p>
              </w:tc>
              <w:tc>
                <w:tcPr>
                  <w:tcW w:w="752" w:type="pct"/>
                  <w:tcBorders>
                    <w:tl2br w:val="nil"/>
                    <w:tr2bl w:val="nil"/>
                  </w:tcBorders>
                  <w:noWrap w:val="0"/>
                  <w:vAlign w:val="center"/>
                </w:tcPr>
                <w:p w14:paraId="49C420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物料卸料、堆存</w:t>
                  </w:r>
                  <w:r>
                    <w:rPr>
                      <w:rFonts w:hint="default" w:ascii="Times New Roman" w:hAnsi="Times New Roman" w:cs="Times New Roman"/>
                      <w:color w:val="auto"/>
                      <w:sz w:val="18"/>
                      <w:szCs w:val="18"/>
                      <w:highlight w:val="none"/>
                      <w:lang w:val="en-US" w:eastAsia="zh-CN"/>
                    </w:rPr>
                    <w:t>、未捕集废气</w:t>
                  </w:r>
                </w:p>
              </w:tc>
              <w:tc>
                <w:tcPr>
                  <w:tcW w:w="518" w:type="pct"/>
                  <w:tcBorders>
                    <w:tl2br w:val="nil"/>
                    <w:tr2bl w:val="nil"/>
                  </w:tcBorders>
                  <w:noWrap w:val="0"/>
                  <w:vAlign w:val="center"/>
                </w:tcPr>
                <w:p w14:paraId="6C70226C">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bookmarkStart w:id="8" w:name="OLE_LINK46"/>
                  <w:r>
                    <w:rPr>
                      <w:rFonts w:hint="default" w:ascii="Times New Roman" w:hAnsi="Times New Roman" w:eastAsia="宋体" w:cs="Times New Roman"/>
                      <w:color w:val="auto"/>
                      <w:sz w:val="18"/>
                      <w:szCs w:val="18"/>
                      <w:highlight w:val="none"/>
                      <w:lang w:val="en-US" w:eastAsia="zh-CN"/>
                    </w:rPr>
                    <w:t>颗粒物</w:t>
                  </w:r>
                  <w:bookmarkEnd w:id="8"/>
                </w:p>
              </w:tc>
              <w:tc>
                <w:tcPr>
                  <w:tcW w:w="965" w:type="pct"/>
                  <w:tcBorders>
                    <w:tl2br w:val="nil"/>
                    <w:tr2bl w:val="nil"/>
                  </w:tcBorders>
                  <w:noWrap w:val="0"/>
                  <w:vAlign w:val="center"/>
                </w:tcPr>
                <w:p w14:paraId="249D0390">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封闭生产车间、雾炮喷淋、进出场车辆冲洗</w:t>
                  </w:r>
                </w:p>
              </w:tc>
              <w:tc>
                <w:tcPr>
                  <w:tcW w:w="1105" w:type="pct"/>
                  <w:gridSpan w:val="2"/>
                  <w:tcBorders>
                    <w:tl2br w:val="nil"/>
                    <w:tr2bl w:val="nil"/>
                  </w:tcBorders>
                  <w:shd w:val="clear" w:color="auto" w:fill="auto"/>
                  <w:noWrap w:val="0"/>
                  <w:vAlign w:val="center"/>
                </w:tcPr>
                <w:p w14:paraId="533121CF">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val="0"/>
                      <w:snapToGrid w:val="0"/>
                      <w:color w:val="auto"/>
                      <w:kern w:val="0"/>
                      <w:sz w:val="18"/>
                      <w:szCs w:val="18"/>
                      <w:highlight w:val="none"/>
                      <w:lang w:val="en-US" w:eastAsia="zh-CN" w:bidi="ar-SA"/>
                    </w:rPr>
                  </w:pPr>
                  <w:r>
                    <w:rPr>
                      <w:rFonts w:hint="default" w:ascii="Times New Roman" w:hAnsi="Times New Roman" w:eastAsia="宋体" w:cs="Times New Roman"/>
                      <w:b w:val="0"/>
                      <w:bCs w:val="0"/>
                      <w:snapToGrid w:val="0"/>
                      <w:color w:val="auto"/>
                      <w:kern w:val="0"/>
                      <w:sz w:val="18"/>
                      <w:szCs w:val="18"/>
                      <w:highlight w:val="none"/>
                      <w:lang w:val="en-US" w:eastAsia="zh-CN"/>
                    </w:rPr>
                    <w:t>《水泥工业大气污染物超低排放标准》（DB13/2167-2020）</w:t>
                  </w:r>
                </w:p>
              </w:tc>
              <w:tc>
                <w:tcPr>
                  <w:tcW w:w="932" w:type="pct"/>
                  <w:tcBorders>
                    <w:tl2br w:val="nil"/>
                    <w:tr2bl w:val="nil"/>
                  </w:tcBorders>
                  <w:shd w:val="clear" w:color="auto" w:fill="auto"/>
                  <w:noWrap w:val="0"/>
                  <w:vAlign w:val="center"/>
                </w:tcPr>
                <w:p w14:paraId="0B3E0A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0.5mg/m</w:t>
                  </w:r>
                  <w:r>
                    <w:rPr>
                      <w:rFonts w:hint="default" w:ascii="Times New Roman" w:hAnsi="Times New Roman" w:eastAsia="宋体" w:cs="Times New Roman"/>
                      <w:color w:val="auto"/>
                      <w:sz w:val="18"/>
                      <w:szCs w:val="18"/>
                      <w:highlight w:val="none"/>
                      <w:vertAlign w:val="superscript"/>
                      <w:lang w:val="en-US" w:eastAsia="zh-CN"/>
                    </w:rPr>
                    <w:t>3</w:t>
                  </w:r>
                  <w:r>
                    <w:rPr>
                      <w:rFonts w:hint="default" w:ascii="Times New Roman" w:hAnsi="Times New Roman" w:eastAsia="宋体" w:cs="Times New Roman"/>
                      <w:color w:val="auto"/>
                      <w:sz w:val="18"/>
                      <w:szCs w:val="18"/>
                      <w:highlight w:val="none"/>
                      <w:lang w:val="en-US" w:eastAsia="zh-CN"/>
                    </w:rPr>
                    <w:t>（监控点与参照点总悬浮颗粒物1h浓度值的差值）</w:t>
                  </w:r>
                </w:p>
              </w:tc>
              <w:tc>
                <w:tcPr>
                  <w:tcW w:w="468" w:type="pct"/>
                  <w:tcBorders>
                    <w:tl2br w:val="nil"/>
                    <w:tr2bl w:val="nil"/>
                  </w:tcBorders>
                  <w:noWrap w:val="0"/>
                  <w:vAlign w:val="center"/>
                </w:tcPr>
                <w:p w14:paraId="3F907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2.417</w:t>
                  </w:r>
                </w:p>
              </w:tc>
            </w:tr>
            <w:tr w14:paraId="5C0F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tcBorders>
                    <w:tl2br w:val="nil"/>
                    <w:tr2bl w:val="nil"/>
                  </w:tcBorders>
                  <w:noWrap w:val="0"/>
                  <w:vAlign w:val="center"/>
                </w:tcPr>
                <w:p w14:paraId="4C25D5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w:t>
                  </w:r>
                </w:p>
              </w:tc>
              <w:tc>
                <w:tcPr>
                  <w:tcW w:w="752" w:type="pct"/>
                  <w:vMerge w:val="restart"/>
                  <w:tcBorders>
                    <w:tl2br w:val="nil"/>
                    <w:tr2bl w:val="nil"/>
                  </w:tcBorders>
                  <w:noWrap w:val="0"/>
                  <w:vAlign w:val="center"/>
                </w:tcPr>
                <w:p w14:paraId="37CF90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物料堆存、</w:t>
                  </w:r>
                  <w:r>
                    <w:rPr>
                      <w:rFonts w:hint="default" w:ascii="Times New Roman" w:hAnsi="Times New Roman" w:eastAsia="宋体" w:cs="Times New Roman"/>
                      <w:color w:val="auto"/>
                      <w:sz w:val="18"/>
                      <w:szCs w:val="18"/>
                      <w:highlight w:val="none"/>
                      <w:lang w:val="en-US" w:eastAsia="zh-CN"/>
                    </w:rPr>
                    <w:t>未捕集废气</w:t>
                  </w:r>
                </w:p>
              </w:tc>
              <w:tc>
                <w:tcPr>
                  <w:tcW w:w="518" w:type="pct"/>
                  <w:tcBorders>
                    <w:tl2br w:val="nil"/>
                    <w:tr2bl w:val="nil"/>
                  </w:tcBorders>
                  <w:noWrap w:val="0"/>
                  <w:vAlign w:val="center"/>
                </w:tcPr>
                <w:p w14:paraId="02635336">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氨</w:t>
                  </w:r>
                </w:p>
              </w:tc>
              <w:tc>
                <w:tcPr>
                  <w:tcW w:w="965" w:type="pct"/>
                  <w:vMerge w:val="restart"/>
                  <w:tcBorders>
                    <w:tl2br w:val="nil"/>
                    <w:tr2bl w:val="nil"/>
                  </w:tcBorders>
                  <w:noWrap w:val="0"/>
                  <w:vAlign w:val="center"/>
                </w:tcPr>
                <w:p w14:paraId="2C7BD43E">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车间封闭</w:t>
                  </w:r>
                  <w:r>
                    <w:rPr>
                      <w:rFonts w:hint="default" w:ascii="Times New Roman" w:hAnsi="Times New Roman" w:cs="Times New Roman"/>
                      <w:color w:val="auto"/>
                      <w:sz w:val="18"/>
                      <w:szCs w:val="18"/>
                      <w:highlight w:val="none"/>
                      <w:lang w:val="en-US" w:eastAsia="zh-CN"/>
                    </w:rPr>
                    <w:t>、喷洒除臭器</w:t>
                  </w:r>
                </w:p>
              </w:tc>
              <w:tc>
                <w:tcPr>
                  <w:tcW w:w="1105" w:type="pct"/>
                  <w:gridSpan w:val="2"/>
                  <w:vMerge w:val="restart"/>
                  <w:tcBorders>
                    <w:tl2br w:val="nil"/>
                    <w:tr2bl w:val="nil"/>
                  </w:tcBorders>
                  <w:noWrap w:val="0"/>
                  <w:vAlign w:val="center"/>
                </w:tcPr>
                <w:p w14:paraId="66B3C860">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val="0"/>
                      <w:snapToGrid w:val="0"/>
                      <w:color w:val="auto"/>
                      <w:kern w:val="0"/>
                      <w:sz w:val="18"/>
                      <w:szCs w:val="18"/>
                      <w:highlight w:val="none"/>
                      <w:lang w:val="en-US" w:eastAsia="zh-CN"/>
                    </w:rPr>
                  </w:pPr>
                  <w:r>
                    <w:rPr>
                      <w:rFonts w:hint="default" w:ascii="Times New Roman" w:hAnsi="Times New Roman" w:eastAsia="宋体" w:cs="Times New Roman"/>
                      <w:b w:val="0"/>
                      <w:bCs w:val="0"/>
                      <w:color w:val="auto"/>
                      <w:sz w:val="18"/>
                      <w:szCs w:val="18"/>
                      <w:highlight w:val="none"/>
                    </w:rPr>
                    <w:t>《恶臭污染物排放标准</w:t>
                  </w:r>
                  <w:r>
                    <w:rPr>
                      <w:rFonts w:hint="eastAsia" w:ascii="Times New Roman"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GB14554-1993</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snapToGrid w:val="0"/>
                      <w:color w:val="auto"/>
                      <w:kern w:val="0"/>
                      <w:sz w:val="18"/>
                      <w:szCs w:val="18"/>
                      <w:highlight w:val="none"/>
                      <w:lang w:val="en-US" w:eastAsia="zh-CN"/>
                    </w:rPr>
                    <w:t>表1二级标准限值</w:t>
                  </w:r>
                </w:p>
              </w:tc>
              <w:tc>
                <w:tcPr>
                  <w:tcW w:w="932" w:type="pct"/>
                  <w:tcBorders>
                    <w:tl2br w:val="nil"/>
                    <w:tr2bl w:val="nil"/>
                  </w:tcBorders>
                  <w:noWrap w:val="0"/>
                  <w:vAlign w:val="center"/>
                </w:tcPr>
                <w:p w14:paraId="783BB0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rPr>
                    <w:t>NH</w:t>
                  </w:r>
                  <w:r>
                    <w:rPr>
                      <w:rFonts w:hint="default" w:ascii="Times New Roman" w:hAnsi="Times New Roman" w:cs="Times New Roman"/>
                      <w:color w:val="auto"/>
                      <w:sz w:val="18"/>
                      <w:szCs w:val="18"/>
                      <w:vertAlign w:val="subscript"/>
                    </w:rPr>
                    <w:t>3</w:t>
                  </w:r>
                  <w:r>
                    <w:rPr>
                      <w:rFonts w:hint="default" w:ascii="Times New Roman" w:hAnsi="Times New Roman" w:cs="Times New Roman"/>
                      <w:color w:val="auto"/>
                      <w:sz w:val="18"/>
                      <w:szCs w:val="18"/>
                      <w:vertAlign w:val="subscript"/>
                      <w:lang w:val="en-US" w:eastAsia="zh-CN"/>
                    </w:rPr>
                    <w:t xml:space="preserve"> </w:t>
                  </w:r>
                  <w:r>
                    <w:rPr>
                      <w:rFonts w:hint="default" w:ascii="Times New Roman" w:hAnsi="Times New Roman" w:cs="Times New Roman"/>
                      <w:color w:val="auto"/>
                      <w:sz w:val="18"/>
                      <w:szCs w:val="18"/>
                      <w:vertAlign w:val="baseline"/>
                      <w:lang w:val="en-US" w:eastAsia="zh-CN"/>
                    </w:rPr>
                    <w:t>：</w:t>
                  </w:r>
                  <w:r>
                    <w:rPr>
                      <w:rFonts w:hint="default" w:ascii="Times New Roman" w:hAnsi="Times New Roman" w:cs="Times New Roman"/>
                      <w:b w:val="0"/>
                      <w:bCs w:val="0"/>
                      <w:color w:val="auto"/>
                      <w:sz w:val="18"/>
                      <w:szCs w:val="18"/>
                      <w:highlight w:val="none"/>
                      <w:lang w:val="en-US" w:eastAsia="zh-CN"/>
                    </w:rPr>
                    <w:t>1.5mg</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cs="Times New Roman"/>
                      <w:b w:val="0"/>
                      <w:bCs w:val="0"/>
                      <w:color w:val="auto"/>
                      <w:sz w:val="18"/>
                      <w:szCs w:val="18"/>
                      <w:highlight w:val="none"/>
                      <w:lang w:val="en-US" w:eastAsia="zh-CN"/>
                    </w:rPr>
                    <w:t>m</w:t>
                  </w:r>
                  <w:r>
                    <w:rPr>
                      <w:rFonts w:hint="default" w:ascii="Times New Roman" w:hAnsi="Times New Roman" w:cs="Times New Roman"/>
                      <w:b w:val="0"/>
                      <w:bCs w:val="0"/>
                      <w:color w:val="auto"/>
                      <w:sz w:val="18"/>
                      <w:szCs w:val="18"/>
                      <w:highlight w:val="none"/>
                      <w:vertAlign w:val="superscript"/>
                      <w:lang w:val="en-US" w:eastAsia="zh-CN"/>
                    </w:rPr>
                    <w:t>3</w:t>
                  </w:r>
                </w:p>
              </w:tc>
              <w:tc>
                <w:tcPr>
                  <w:tcW w:w="468" w:type="pct"/>
                  <w:tcBorders>
                    <w:tl2br w:val="nil"/>
                    <w:tr2bl w:val="nil"/>
                  </w:tcBorders>
                  <w:noWrap w:val="0"/>
                  <w:vAlign w:val="center"/>
                </w:tcPr>
                <w:p w14:paraId="58135E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0.521</w:t>
                  </w:r>
                </w:p>
              </w:tc>
            </w:tr>
            <w:tr w14:paraId="0127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tcBorders>
                    <w:tl2br w:val="nil"/>
                    <w:tr2bl w:val="nil"/>
                  </w:tcBorders>
                  <w:noWrap w:val="0"/>
                  <w:vAlign w:val="center"/>
                </w:tcPr>
                <w:p w14:paraId="11B8F7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752" w:type="pct"/>
                  <w:vMerge w:val="continue"/>
                  <w:tcBorders>
                    <w:tl2br w:val="nil"/>
                    <w:tr2bl w:val="nil"/>
                  </w:tcBorders>
                  <w:noWrap w:val="0"/>
                  <w:vAlign w:val="center"/>
                </w:tcPr>
                <w:p w14:paraId="336750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p>
              </w:tc>
              <w:tc>
                <w:tcPr>
                  <w:tcW w:w="518" w:type="pct"/>
                  <w:tcBorders>
                    <w:tl2br w:val="nil"/>
                    <w:tr2bl w:val="nil"/>
                  </w:tcBorders>
                  <w:noWrap w:val="0"/>
                  <w:vAlign w:val="center"/>
                </w:tcPr>
                <w:p w14:paraId="0F7456AD">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硫化氢</w:t>
                  </w:r>
                </w:p>
              </w:tc>
              <w:tc>
                <w:tcPr>
                  <w:tcW w:w="965" w:type="pct"/>
                  <w:vMerge w:val="continue"/>
                  <w:tcBorders>
                    <w:tl2br w:val="nil"/>
                    <w:tr2bl w:val="nil"/>
                  </w:tcBorders>
                  <w:noWrap w:val="0"/>
                  <w:vAlign w:val="center"/>
                </w:tcPr>
                <w:p w14:paraId="76E5AE96">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p>
              </w:tc>
              <w:tc>
                <w:tcPr>
                  <w:tcW w:w="1105" w:type="pct"/>
                  <w:gridSpan w:val="2"/>
                  <w:vMerge w:val="continue"/>
                  <w:tcBorders>
                    <w:tl2br w:val="nil"/>
                    <w:tr2bl w:val="nil"/>
                  </w:tcBorders>
                  <w:noWrap w:val="0"/>
                  <w:vAlign w:val="center"/>
                </w:tcPr>
                <w:p w14:paraId="17C20A58">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val="0"/>
                      <w:snapToGrid w:val="0"/>
                      <w:color w:val="auto"/>
                      <w:kern w:val="0"/>
                      <w:sz w:val="18"/>
                      <w:szCs w:val="18"/>
                      <w:highlight w:val="none"/>
                      <w:lang w:val="en-US" w:eastAsia="zh-CN"/>
                    </w:rPr>
                  </w:pPr>
                </w:p>
              </w:tc>
              <w:tc>
                <w:tcPr>
                  <w:tcW w:w="932" w:type="pct"/>
                  <w:tcBorders>
                    <w:tl2br w:val="nil"/>
                    <w:tr2bl w:val="nil"/>
                  </w:tcBorders>
                  <w:noWrap w:val="0"/>
                  <w:vAlign w:val="center"/>
                </w:tcPr>
                <w:p w14:paraId="13F5B4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rPr>
                    <w:t>H</w:t>
                  </w:r>
                  <w:r>
                    <w:rPr>
                      <w:rFonts w:hint="default" w:ascii="Times New Roman" w:hAnsi="Times New Roman" w:cs="Times New Roman"/>
                      <w:color w:val="auto"/>
                      <w:sz w:val="18"/>
                      <w:szCs w:val="18"/>
                      <w:vertAlign w:val="subscript"/>
                    </w:rPr>
                    <w:t>2</w:t>
                  </w:r>
                  <w:r>
                    <w:rPr>
                      <w:rFonts w:hint="default" w:ascii="Times New Roman" w:hAnsi="Times New Roman" w:cs="Times New Roman"/>
                      <w:color w:val="auto"/>
                      <w:sz w:val="18"/>
                      <w:szCs w:val="18"/>
                    </w:rPr>
                    <w:t>S</w:t>
                  </w:r>
                  <w:r>
                    <w:rPr>
                      <w:rFonts w:hint="default" w:ascii="Times New Roman" w:hAnsi="Times New Roman" w:cs="Times New Roman"/>
                      <w:color w:val="auto"/>
                      <w:sz w:val="18"/>
                      <w:szCs w:val="18"/>
                      <w:lang w:eastAsia="zh-CN"/>
                    </w:rPr>
                    <w:t>：</w:t>
                  </w:r>
                  <w:r>
                    <w:rPr>
                      <w:rFonts w:hint="default" w:ascii="Times New Roman" w:hAnsi="Times New Roman" w:cs="Times New Roman"/>
                      <w:b w:val="0"/>
                      <w:bCs w:val="0"/>
                      <w:color w:val="auto"/>
                      <w:sz w:val="18"/>
                      <w:szCs w:val="18"/>
                      <w:highlight w:val="none"/>
                      <w:lang w:val="en-US" w:eastAsia="zh-CN"/>
                    </w:rPr>
                    <w:t>0.06mg</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cs="Times New Roman"/>
                      <w:b w:val="0"/>
                      <w:bCs w:val="0"/>
                      <w:color w:val="auto"/>
                      <w:sz w:val="18"/>
                      <w:szCs w:val="18"/>
                      <w:highlight w:val="none"/>
                      <w:lang w:val="en-US" w:eastAsia="zh-CN"/>
                    </w:rPr>
                    <w:t>m</w:t>
                  </w:r>
                  <w:r>
                    <w:rPr>
                      <w:rFonts w:hint="default" w:ascii="Times New Roman" w:hAnsi="Times New Roman" w:cs="Times New Roman"/>
                      <w:b w:val="0"/>
                      <w:bCs w:val="0"/>
                      <w:color w:val="auto"/>
                      <w:sz w:val="18"/>
                      <w:szCs w:val="18"/>
                      <w:highlight w:val="none"/>
                      <w:vertAlign w:val="superscript"/>
                      <w:lang w:val="en-US" w:eastAsia="zh-CN"/>
                    </w:rPr>
                    <w:t>3</w:t>
                  </w:r>
                </w:p>
              </w:tc>
              <w:tc>
                <w:tcPr>
                  <w:tcW w:w="468" w:type="pct"/>
                  <w:tcBorders>
                    <w:tl2br w:val="nil"/>
                    <w:tr2bl w:val="nil"/>
                  </w:tcBorders>
                  <w:noWrap w:val="0"/>
                  <w:vAlign w:val="center"/>
                </w:tcPr>
                <w:p w14:paraId="38D239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0.027</w:t>
                  </w:r>
                </w:p>
              </w:tc>
            </w:tr>
            <w:tr w14:paraId="6BDD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tcBorders>
                    <w:tl2br w:val="nil"/>
                    <w:tr2bl w:val="nil"/>
                  </w:tcBorders>
                  <w:noWrap w:val="0"/>
                  <w:vAlign w:val="center"/>
                </w:tcPr>
                <w:p w14:paraId="20B038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752" w:type="pct"/>
                  <w:vMerge w:val="continue"/>
                  <w:tcBorders>
                    <w:tl2br w:val="nil"/>
                    <w:tr2bl w:val="nil"/>
                  </w:tcBorders>
                  <w:noWrap w:val="0"/>
                  <w:vAlign w:val="center"/>
                </w:tcPr>
                <w:p w14:paraId="307D46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p>
              </w:tc>
              <w:tc>
                <w:tcPr>
                  <w:tcW w:w="518" w:type="pct"/>
                  <w:tcBorders>
                    <w:tl2br w:val="nil"/>
                    <w:tr2bl w:val="nil"/>
                  </w:tcBorders>
                  <w:noWrap w:val="0"/>
                  <w:vAlign w:val="center"/>
                </w:tcPr>
                <w:p w14:paraId="7CC676F7">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臭气浓度</w:t>
                  </w:r>
                </w:p>
              </w:tc>
              <w:tc>
                <w:tcPr>
                  <w:tcW w:w="965" w:type="pct"/>
                  <w:vMerge w:val="continue"/>
                  <w:tcBorders>
                    <w:tl2br w:val="nil"/>
                    <w:tr2bl w:val="nil"/>
                  </w:tcBorders>
                  <w:noWrap w:val="0"/>
                  <w:vAlign w:val="center"/>
                </w:tcPr>
                <w:p w14:paraId="4B9C57DF">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p>
              </w:tc>
              <w:tc>
                <w:tcPr>
                  <w:tcW w:w="1105" w:type="pct"/>
                  <w:gridSpan w:val="2"/>
                  <w:vMerge w:val="continue"/>
                  <w:tcBorders>
                    <w:tl2br w:val="nil"/>
                    <w:tr2bl w:val="nil"/>
                  </w:tcBorders>
                  <w:noWrap w:val="0"/>
                  <w:vAlign w:val="center"/>
                </w:tcPr>
                <w:p w14:paraId="014D55D9">
                  <w:pPr>
                    <w:pStyle w:val="56"/>
                    <w:keepNext w:val="0"/>
                    <w:keepLines w:val="0"/>
                    <w:pageBreakBefore w:val="0"/>
                    <w:widowControl w:val="0"/>
                    <w:suppressLineNumbers w:val="0"/>
                    <w:tabs>
                      <w:tab w:val="center" w:pos="4153"/>
                      <w:tab w:val="right" w:pos="8306"/>
                    </w:tabs>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val="0"/>
                      <w:snapToGrid w:val="0"/>
                      <w:color w:val="auto"/>
                      <w:kern w:val="0"/>
                      <w:sz w:val="18"/>
                      <w:szCs w:val="18"/>
                      <w:highlight w:val="none"/>
                      <w:lang w:val="en-US" w:eastAsia="zh-CN"/>
                    </w:rPr>
                  </w:pPr>
                </w:p>
              </w:tc>
              <w:tc>
                <w:tcPr>
                  <w:tcW w:w="932" w:type="pct"/>
                  <w:tcBorders>
                    <w:tl2br w:val="nil"/>
                    <w:tr2bl w:val="nil"/>
                  </w:tcBorders>
                  <w:noWrap w:val="0"/>
                  <w:vAlign w:val="center"/>
                </w:tcPr>
                <w:p w14:paraId="7220E0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臭气浓度20</w:t>
                  </w:r>
                  <w:r>
                    <w:rPr>
                      <w:rFonts w:hint="default" w:ascii="Times New Roman" w:hAnsi="Times New Roman" w:eastAsia="宋体" w:cs="Times New Roman"/>
                      <w:b w:val="0"/>
                      <w:bCs w:val="0"/>
                      <w:color w:val="auto"/>
                      <w:sz w:val="18"/>
                      <w:szCs w:val="18"/>
                      <w:highlight w:val="none"/>
                    </w:rPr>
                    <w:cr/>
                  </w:r>
                  <w:r>
                    <w:rPr>
                      <w:rFonts w:hint="default" w:ascii="Times New Roman" w:hAnsi="Times New Roman" w:eastAsia="宋体" w:cs="Times New Roman"/>
                      <w:b w:val="0"/>
                      <w:bCs w:val="0"/>
                      <w:color w:val="auto"/>
                      <w:sz w:val="18"/>
                      <w:szCs w:val="18"/>
                      <w:highlight w:val="none"/>
                    </w:rPr>
                    <w:t>(无量纲)</w:t>
                  </w:r>
                </w:p>
              </w:tc>
              <w:tc>
                <w:tcPr>
                  <w:tcW w:w="468" w:type="pct"/>
                  <w:tcBorders>
                    <w:tl2br w:val="nil"/>
                    <w:tr2bl w:val="nil"/>
                  </w:tcBorders>
                  <w:noWrap w:val="0"/>
                  <w:vAlign w:val="center"/>
                </w:tcPr>
                <w:p w14:paraId="3457B0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r>
            <w:tr w14:paraId="0178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8"/>
                  <w:tcBorders>
                    <w:tl2br w:val="nil"/>
                    <w:tr2bl w:val="nil"/>
                  </w:tcBorders>
                  <w:noWrap w:val="0"/>
                  <w:vAlign w:val="center"/>
                </w:tcPr>
                <w:p w14:paraId="68A785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无组织排放总计（t/a）</w:t>
                  </w:r>
                </w:p>
              </w:tc>
            </w:tr>
            <w:tr w14:paraId="09AA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7" w:type="pct"/>
                  <w:gridSpan w:val="3"/>
                  <w:vMerge w:val="restart"/>
                  <w:tcBorders>
                    <w:tl2br w:val="nil"/>
                    <w:tr2bl w:val="nil"/>
                  </w:tcBorders>
                  <w:noWrap w:val="0"/>
                  <w:vAlign w:val="center"/>
                </w:tcPr>
                <w:p w14:paraId="285CF4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无组织排放总计</w:t>
                  </w:r>
                </w:p>
              </w:tc>
              <w:tc>
                <w:tcPr>
                  <w:tcW w:w="1317" w:type="pct"/>
                  <w:gridSpan w:val="2"/>
                  <w:tcBorders>
                    <w:tl2br w:val="nil"/>
                    <w:tr2bl w:val="nil"/>
                  </w:tcBorders>
                  <w:noWrap w:val="0"/>
                  <w:vAlign w:val="center"/>
                </w:tcPr>
                <w:p w14:paraId="5EE617F2">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2154" w:type="pct"/>
                  <w:gridSpan w:val="3"/>
                  <w:tcBorders>
                    <w:tl2br w:val="nil"/>
                    <w:tr2bl w:val="nil"/>
                  </w:tcBorders>
                  <w:shd w:val="clear" w:color="auto" w:fill="auto"/>
                  <w:noWrap w:val="0"/>
                  <w:vAlign w:val="center"/>
                </w:tcPr>
                <w:p w14:paraId="57662F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2.417</w:t>
                  </w:r>
                </w:p>
              </w:tc>
            </w:tr>
            <w:tr w14:paraId="686D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7" w:type="pct"/>
                  <w:gridSpan w:val="3"/>
                  <w:vMerge w:val="continue"/>
                  <w:tcBorders>
                    <w:tl2br w:val="nil"/>
                    <w:tr2bl w:val="nil"/>
                  </w:tcBorders>
                  <w:noWrap w:val="0"/>
                  <w:vAlign w:val="center"/>
                </w:tcPr>
                <w:p w14:paraId="37C2AF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1317" w:type="pct"/>
                  <w:gridSpan w:val="2"/>
                  <w:tcBorders>
                    <w:tl2br w:val="nil"/>
                    <w:tr2bl w:val="nil"/>
                  </w:tcBorders>
                  <w:shd w:val="clear" w:color="auto" w:fill="auto"/>
                  <w:noWrap w:val="0"/>
                  <w:vAlign w:val="center"/>
                </w:tcPr>
                <w:p w14:paraId="73ECEBD9">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氨</w:t>
                  </w:r>
                </w:p>
              </w:tc>
              <w:tc>
                <w:tcPr>
                  <w:tcW w:w="2154" w:type="pct"/>
                  <w:gridSpan w:val="3"/>
                  <w:tcBorders>
                    <w:tl2br w:val="nil"/>
                    <w:tr2bl w:val="nil"/>
                  </w:tcBorders>
                  <w:shd w:val="clear" w:color="auto" w:fill="auto"/>
                  <w:noWrap w:val="0"/>
                  <w:vAlign w:val="center"/>
                </w:tcPr>
                <w:p w14:paraId="5CBAF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0.521</w:t>
                  </w:r>
                </w:p>
              </w:tc>
            </w:tr>
            <w:tr w14:paraId="2961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7" w:type="pct"/>
                  <w:gridSpan w:val="3"/>
                  <w:vMerge w:val="continue"/>
                  <w:tcBorders>
                    <w:tl2br w:val="nil"/>
                    <w:tr2bl w:val="nil"/>
                  </w:tcBorders>
                  <w:noWrap w:val="0"/>
                  <w:vAlign w:val="center"/>
                </w:tcPr>
                <w:p w14:paraId="273F4E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1317" w:type="pct"/>
                  <w:gridSpan w:val="2"/>
                  <w:tcBorders>
                    <w:tl2br w:val="nil"/>
                    <w:tr2bl w:val="nil"/>
                  </w:tcBorders>
                  <w:shd w:val="clear" w:color="auto" w:fill="auto"/>
                  <w:noWrap w:val="0"/>
                  <w:vAlign w:val="center"/>
                </w:tcPr>
                <w:p w14:paraId="5BF0D725">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硫化氢</w:t>
                  </w:r>
                </w:p>
              </w:tc>
              <w:tc>
                <w:tcPr>
                  <w:tcW w:w="2154" w:type="pct"/>
                  <w:gridSpan w:val="3"/>
                  <w:tcBorders>
                    <w:tl2br w:val="nil"/>
                    <w:tr2bl w:val="nil"/>
                  </w:tcBorders>
                  <w:shd w:val="clear" w:color="auto" w:fill="auto"/>
                  <w:noWrap w:val="0"/>
                  <w:vAlign w:val="center"/>
                </w:tcPr>
                <w:p w14:paraId="1C6F6F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0.027</w:t>
                  </w:r>
                </w:p>
              </w:tc>
            </w:tr>
            <w:tr w14:paraId="6D20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7" w:type="pct"/>
                  <w:gridSpan w:val="3"/>
                  <w:vMerge w:val="continue"/>
                  <w:tcBorders>
                    <w:tl2br w:val="nil"/>
                    <w:tr2bl w:val="nil"/>
                  </w:tcBorders>
                  <w:noWrap w:val="0"/>
                  <w:vAlign w:val="center"/>
                </w:tcPr>
                <w:p w14:paraId="2A8E4D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zh-CN"/>
                    </w:rPr>
                  </w:pPr>
                </w:p>
              </w:tc>
              <w:tc>
                <w:tcPr>
                  <w:tcW w:w="1317" w:type="pct"/>
                  <w:gridSpan w:val="2"/>
                  <w:tcBorders>
                    <w:tl2br w:val="nil"/>
                    <w:tr2bl w:val="nil"/>
                  </w:tcBorders>
                  <w:shd w:val="clear" w:color="auto" w:fill="auto"/>
                  <w:noWrap w:val="0"/>
                  <w:vAlign w:val="center"/>
                </w:tcPr>
                <w:p w14:paraId="707E48E5">
                  <w:pPr>
                    <w:keepNext w:val="0"/>
                    <w:keepLines w:val="0"/>
                    <w:pageBreakBefore w:val="0"/>
                    <w:widowControl/>
                    <w:suppressLineNumbers w:val="0"/>
                    <w:kinsoku/>
                    <w:wordWrap/>
                    <w:overflowPunct/>
                    <w:bidi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臭气浓度</w:t>
                  </w:r>
                </w:p>
              </w:tc>
              <w:tc>
                <w:tcPr>
                  <w:tcW w:w="2154" w:type="pct"/>
                  <w:gridSpan w:val="3"/>
                  <w:tcBorders>
                    <w:tl2br w:val="nil"/>
                    <w:tr2bl w:val="nil"/>
                  </w:tcBorders>
                  <w:shd w:val="clear" w:color="auto" w:fill="auto"/>
                  <w:noWrap w:val="0"/>
                  <w:vAlign w:val="center"/>
                </w:tcPr>
                <w:p w14:paraId="4D4206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w:t>
                  </w:r>
                </w:p>
              </w:tc>
            </w:tr>
          </w:tbl>
          <w:p w14:paraId="6878A1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表4-</w:t>
            </w:r>
            <w:r>
              <w:rPr>
                <w:rFonts w:hint="default" w:ascii="Times New Roman" w:hAnsi="Times New Roman" w:cs="Times New Roman"/>
                <w:b/>
                <w:color w:val="auto"/>
                <w:sz w:val="24"/>
                <w:highlight w:val="none"/>
                <w:lang w:val="en-US" w:eastAsia="zh-CN"/>
              </w:rPr>
              <w:t>5</w:t>
            </w:r>
            <w:r>
              <w:rPr>
                <w:rFonts w:hint="default" w:ascii="Times New Roman" w:hAnsi="Times New Roman" w:eastAsia="宋体" w:cs="Times New Roman"/>
                <w:b/>
                <w:color w:val="auto"/>
                <w:sz w:val="24"/>
                <w:highlight w:val="none"/>
                <w:lang w:val="en-US" w:eastAsia="zh-CN"/>
              </w:rPr>
              <w:t xml:space="preserve">  </w:t>
            </w:r>
            <w:r>
              <w:rPr>
                <w:rFonts w:hint="default" w:ascii="Times New Roman" w:hAnsi="Times New Roman" w:eastAsia="宋体" w:cs="Times New Roman"/>
                <w:b/>
                <w:color w:val="auto"/>
                <w:sz w:val="24"/>
                <w:highlight w:val="none"/>
              </w:rPr>
              <w:t xml:space="preserve">  大气污染物年排放量核算表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3799"/>
              <w:gridCol w:w="2779"/>
            </w:tblGrid>
            <w:tr w14:paraId="5CE2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1" w:type="pct"/>
                  <w:noWrap w:val="0"/>
                  <w:vAlign w:val="center"/>
                </w:tcPr>
                <w:p w14:paraId="4694C507">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2280" w:type="pct"/>
                  <w:noWrap w:val="0"/>
                  <w:vAlign w:val="center"/>
                </w:tcPr>
                <w:p w14:paraId="3448DFA8">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w:t>
                  </w:r>
                </w:p>
              </w:tc>
              <w:tc>
                <w:tcPr>
                  <w:tcW w:w="1668" w:type="pct"/>
                  <w:noWrap w:val="0"/>
                  <w:vAlign w:val="center"/>
                </w:tcPr>
                <w:p w14:paraId="300BB710">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年排放量/(t/a)</w:t>
                  </w:r>
                </w:p>
              </w:tc>
            </w:tr>
            <w:tr w14:paraId="6220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1" w:type="pct"/>
                  <w:noWrap w:val="0"/>
                  <w:vAlign w:val="center"/>
                </w:tcPr>
                <w:p w14:paraId="1F80D76F">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w:t>
                  </w:r>
                </w:p>
              </w:tc>
              <w:tc>
                <w:tcPr>
                  <w:tcW w:w="2280" w:type="pct"/>
                  <w:shd w:val="clear" w:color="auto" w:fill="auto"/>
                  <w:noWrap w:val="0"/>
                  <w:vAlign w:val="center"/>
                </w:tcPr>
                <w:p w14:paraId="62C7C04A">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氨</w:t>
                  </w:r>
                </w:p>
              </w:tc>
              <w:tc>
                <w:tcPr>
                  <w:tcW w:w="1668" w:type="pct"/>
                  <w:noWrap w:val="0"/>
                  <w:vAlign w:val="center"/>
                </w:tcPr>
                <w:p w14:paraId="295EDBC0">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1.338</w:t>
                  </w:r>
                </w:p>
              </w:tc>
            </w:tr>
            <w:tr w14:paraId="78DF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4C1710E5">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0" w:type="auto"/>
                  <w:shd w:val="clear" w:color="auto" w:fill="auto"/>
                  <w:vAlign w:val="center"/>
                </w:tcPr>
                <w:p w14:paraId="4B5C9379">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硫化氢</w:t>
                  </w:r>
                </w:p>
              </w:tc>
              <w:tc>
                <w:tcPr>
                  <w:tcW w:w="0" w:type="auto"/>
                </w:tcPr>
                <w:p w14:paraId="321E9CCE">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0.052</w:t>
                  </w:r>
                </w:p>
              </w:tc>
            </w:tr>
            <w:tr w14:paraId="129A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53CE0369">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0" w:type="auto"/>
                  <w:shd w:val="clear" w:color="auto" w:fill="auto"/>
                  <w:vAlign w:val="center"/>
                </w:tcPr>
                <w:p w14:paraId="18CF6410">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臭气浓度</w:t>
                  </w:r>
                </w:p>
              </w:tc>
              <w:tc>
                <w:tcPr>
                  <w:tcW w:w="0" w:type="auto"/>
                </w:tcPr>
                <w:p w14:paraId="3B559A03">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r>
            <w:tr w14:paraId="2201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2FE6A14C">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0" w:type="auto"/>
                  <w:shd w:val="clear" w:color="auto" w:fill="auto"/>
                  <w:vAlign w:val="center"/>
                </w:tcPr>
                <w:p w14:paraId="4B95F1CB">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颗粒物</w:t>
                  </w:r>
                </w:p>
              </w:tc>
              <w:tc>
                <w:tcPr>
                  <w:tcW w:w="0" w:type="auto"/>
                </w:tcPr>
                <w:p w14:paraId="08DB4DEC">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7.05</w:t>
                  </w:r>
                </w:p>
              </w:tc>
            </w:tr>
            <w:tr w14:paraId="732E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0C5E00BC">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0" w:type="auto"/>
                  <w:shd w:val="clear" w:color="auto" w:fill="auto"/>
                  <w:vAlign w:val="center"/>
                </w:tcPr>
                <w:p w14:paraId="70885E56">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二氧化硫</w:t>
                  </w:r>
                </w:p>
              </w:tc>
              <w:tc>
                <w:tcPr>
                  <w:tcW w:w="0" w:type="auto"/>
                  <w:shd w:val="clear" w:color="auto" w:fill="auto"/>
                  <w:vAlign w:val="center"/>
                </w:tcPr>
                <w:p w14:paraId="73C66307">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 xml:space="preserve">2.400 </w:t>
                  </w:r>
                </w:p>
              </w:tc>
            </w:tr>
            <w:tr w14:paraId="7434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5212AA60">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0" w:type="auto"/>
                  <w:shd w:val="clear" w:color="auto" w:fill="auto"/>
                  <w:vAlign w:val="center"/>
                </w:tcPr>
                <w:p w14:paraId="7617D3B2">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氮氧化物</w:t>
                  </w:r>
                </w:p>
              </w:tc>
              <w:tc>
                <w:tcPr>
                  <w:tcW w:w="0" w:type="auto"/>
                  <w:shd w:val="clear" w:color="auto" w:fill="auto"/>
                  <w:vAlign w:val="center"/>
                </w:tcPr>
                <w:p w14:paraId="6AD58D01">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 xml:space="preserve">10.335 </w:t>
                  </w:r>
                </w:p>
              </w:tc>
            </w:tr>
            <w:tr w14:paraId="1A04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196C56EF">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p>
              </w:tc>
              <w:tc>
                <w:tcPr>
                  <w:tcW w:w="0" w:type="auto"/>
                  <w:shd w:val="clear" w:color="auto" w:fill="auto"/>
                  <w:vAlign w:val="center"/>
                </w:tcPr>
                <w:p w14:paraId="13F2FA66">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汞及其化合物</w:t>
                  </w:r>
                </w:p>
              </w:tc>
              <w:tc>
                <w:tcPr>
                  <w:tcW w:w="0" w:type="auto"/>
                  <w:shd w:val="clear" w:color="auto" w:fill="auto"/>
                  <w:vAlign w:val="center"/>
                </w:tcPr>
                <w:p w14:paraId="7075A26E">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0.00</w:t>
                  </w:r>
                  <w:r>
                    <w:rPr>
                      <w:rFonts w:hint="default" w:ascii="Times New Roman" w:hAnsi="Times New Roman" w:cs="Times New Roman"/>
                      <w:b w:val="0"/>
                      <w:bCs w:val="0"/>
                      <w:color w:val="auto"/>
                      <w:sz w:val="18"/>
                      <w:szCs w:val="18"/>
                      <w:highlight w:val="none"/>
                      <w:lang w:val="en-US" w:eastAsia="zh-CN"/>
                    </w:rPr>
                    <w:t>0001</w:t>
                  </w:r>
                </w:p>
              </w:tc>
            </w:tr>
            <w:tr w14:paraId="651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5EFB30A6">
                  <w:pPr>
                    <w:pStyle w:val="6"/>
                    <w:keepNext w:val="0"/>
                    <w:keepLines w:val="0"/>
                    <w:suppressLineNumbers w:val="0"/>
                    <w:adjustRightInd w:val="0"/>
                    <w:snapToGrid w:val="0"/>
                    <w:spacing w:before="0" w:beforeAutospacing="0" w:after="0" w:afterAutospacing="0"/>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w:t>
                  </w:r>
                </w:p>
              </w:tc>
              <w:tc>
                <w:tcPr>
                  <w:tcW w:w="0" w:type="auto"/>
                  <w:shd w:val="clear" w:color="auto" w:fill="auto"/>
                  <w:vAlign w:val="center"/>
                </w:tcPr>
                <w:p w14:paraId="57A782C2">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烟气黑度</w:t>
                  </w:r>
                </w:p>
              </w:tc>
              <w:tc>
                <w:tcPr>
                  <w:tcW w:w="0" w:type="auto"/>
                  <w:shd w:val="clear" w:color="auto" w:fill="auto"/>
                  <w:vAlign w:val="top"/>
                </w:tcPr>
                <w:p w14:paraId="558EBE53">
                  <w:pPr>
                    <w:pStyle w:val="6"/>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w:t>
                  </w:r>
                </w:p>
              </w:tc>
            </w:tr>
          </w:tbl>
          <w:p w14:paraId="14FCD5E8">
            <w:pPr>
              <w:pStyle w:val="41"/>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pPr>
          </w:p>
        </w:tc>
      </w:tr>
    </w:tbl>
    <w:p w14:paraId="20409858">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4"/>
          <w:szCs w:val="24"/>
          <w:highlight w:val="gree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196"/>
      </w:tblGrid>
      <w:tr w14:paraId="3342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2" w:hRule="atLeast"/>
          <w:jc w:val="center"/>
        </w:trPr>
        <w:tc>
          <w:tcPr>
            <w:tcW w:w="401" w:type="dxa"/>
            <w:noWrap w:val="0"/>
            <w:vAlign w:val="center"/>
          </w:tcPr>
          <w:p w14:paraId="70B1B8D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highlight w:val="none"/>
              </w:rPr>
            </w:pPr>
            <w:r>
              <w:rPr>
                <w:rFonts w:hint="default" w:ascii="Times New Roman" w:hAnsi="Times New Roman" w:cs="Times New Roman"/>
                <w:bCs/>
                <w:color w:val="000000"/>
                <w:sz w:val="24"/>
                <w:highlight w:val="none"/>
              </w:rPr>
              <w:t>运营</w:t>
            </w:r>
          </w:p>
          <w:p w14:paraId="57308E9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highlight w:val="none"/>
              </w:rPr>
            </w:pPr>
            <w:r>
              <w:rPr>
                <w:rFonts w:hint="default" w:ascii="Times New Roman" w:hAnsi="Times New Roman" w:cs="Times New Roman"/>
                <w:bCs/>
                <w:color w:val="000000"/>
                <w:sz w:val="24"/>
                <w:highlight w:val="none"/>
              </w:rPr>
              <w:t>期环</w:t>
            </w:r>
          </w:p>
          <w:p w14:paraId="2C1408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highlight w:val="none"/>
              </w:rPr>
            </w:pPr>
            <w:r>
              <w:rPr>
                <w:rFonts w:hint="default" w:ascii="Times New Roman" w:hAnsi="Times New Roman" w:cs="Times New Roman"/>
                <w:bCs/>
                <w:color w:val="000000"/>
                <w:sz w:val="24"/>
                <w:highlight w:val="none"/>
              </w:rPr>
              <w:t>境影</w:t>
            </w:r>
          </w:p>
          <w:p w14:paraId="6EF868A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highlight w:val="none"/>
              </w:rPr>
            </w:pPr>
            <w:r>
              <w:rPr>
                <w:rFonts w:hint="default" w:ascii="Times New Roman" w:hAnsi="Times New Roman" w:cs="Times New Roman"/>
                <w:bCs/>
                <w:color w:val="000000"/>
                <w:sz w:val="24"/>
                <w:highlight w:val="none"/>
              </w:rPr>
              <w:t>响和</w:t>
            </w:r>
          </w:p>
          <w:p w14:paraId="4BF9186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highlight w:val="none"/>
              </w:rPr>
            </w:pPr>
            <w:r>
              <w:rPr>
                <w:rFonts w:hint="default" w:ascii="Times New Roman" w:hAnsi="Times New Roman" w:cs="Times New Roman"/>
                <w:bCs/>
                <w:color w:val="000000"/>
                <w:sz w:val="24"/>
                <w:highlight w:val="none"/>
              </w:rPr>
              <w:t>保护</w:t>
            </w:r>
          </w:p>
          <w:p w14:paraId="0245BD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FF"/>
                <w:szCs w:val="21"/>
                <w:highlight w:val="none"/>
              </w:rPr>
            </w:pPr>
            <w:r>
              <w:rPr>
                <w:rFonts w:hint="default" w:ascii="Times New Roman" w:hAnsi="Times New Roman" w:cs="Times New Roman"/>
                <w:bCs/>
                <w:color w:val="000000"/>
                <w:sz w:val="24"/>
                <w:highlight w:val="none"/>
              </w:rPr>
              <w:t>措施</w:t>
            </w:r>
          </w:p>
        </w:tc>
        <w:tc>
          <w:tcPr>
            <w:tcW w:w="12827" w:type="dxa"/>
            <w:noWrap w:val="0"/>
            <w:vAlign w:val="top"/>
          </w:tcPr>
          <w:p w14:paraId="0C89BEE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80" w:firstLineChars="200"/>
              <w:textAlignment w:val="auto"/>
              <w:rPr>
                <w:rFonts w:hint="default" w:ascii="Times New Roman" w:hAnsi="Times New Roman" w:eastAsia="宋体" w:cs="Times New Roman"/>
                <w:color w:val="000000"/>
                <w:kern w:val="2"/>
                <w:sz w:val="24"/>
                <w:szCs w:val="21"/>
                <w:highlight w:val="none"/>
                <w:lang w:val="en-US" w:eastAsia="zh-CN" w:bidi="ar-SA"/>
              </w:rPr>
            </w:pPr>
            <w:r>
              <w:rPr>
                <w:rFonts w:hint="default" w:ascii="Times New Roman" w:hAnsi="Times New Roman" w:eastAsia="宋体" w:cs="Times New Roman"/>
                <w:color w:val="000000"/>
                <w:kern w:val="2"/>
                <w:sz w:val="24"/>
                <w:szCs w:val="21"/>
                <w:highlight w:val="none"/>
                <w:lang w:val="en-US" w:eastAsia="zh-CN" w:bidi="ar-SA"/>
              </w:rPr>
              <w:t>（</w:t>
            </w:r>
            <w:r>
              <w:rPr>
                <w:rFonts w:hint="default" w:ascii="Times New Roman" w:hAnsi="Times New Roman" w:cs="Times New Roman"/>
                <w:color w:val="000000"/>
                <w:kern w:val="2"/>
                <w:sz w:val="24"/>
                <w:szCs w:val="21"/>
                <w:highlight w:val="none"/>
                <w:lang w:val="en-US" w:eastAsia="zh-CN" w:bidi="ar-SA"/>
              </w:rPr>
              <w:t>七</w:t>
            </w:r>
            <w:r>
              <w:rPr>
                <w:rFonts w:hint="default" w:ascii="Times New Roman" w:hAnsi="Times New Roman" w:eastAsia="宋体" w:cs="Times New Roman"/>
                <w:color w:val="000000"/>
                <w:kern w:val="2"/>
                <w:sz w:val="24"/>
                <w:szCs w:val="21"/>
                <w:highlight w:val="none"/>
                <w:lang w:val="en-US" w:eastAsia="zh-CN" w:bidi="ar-SA"/>
              </w:rPr>
              <w:t>）本项目废气源强及治理措施表</w:t>
            </w:r>
          </w:p>
          <w:p w14:paraId="507C6A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color w:val="000000"/>
                <w:sz w:val="24"/>
                <w:highlight w:val="none"/>
                <w:lang w:val="en-US" w:eastAsia="zh-CN"/>
              </w:rPr>
            </w:pPr>
            <w:r>
              <w:rPr>
                <w:rFonts w:hint="default" w:ascii="Times New Roman" w:hAnsi="Times New Roman" w:eastAsia="宋体" w:cs="Times New Roman"/>
                <w:b/>
                <w:color w:val="000000"/>
                <w:sz w:val="24"/>
                <w:highlight w:val="none"/>
                <w:lang w:val="en-US" w:eastAsia="zh-CN"/>
              </w:rPr>
              <w:t>表4-</w:t>
            </w:r>
            <w:r>
              <w:rPr>
                <w:rFonts w:hint="default" w:ascii="Times New Roman" w:hAnsi="Times New Roman" w:cs="Times New Roman"/>
                <w:b/>
                <w:color w:val="000000"/>
                <w:sz w:val="24"/>
                <w:highlight w:val="none"/>
                <w:lang w:val="en-US" w:eastAsia="zh-CN"/>
              </w:rPr>
              <w:t>6</w:t>
            </w:r>
            <w:r>
              <w:rPr>
                <w:rFonts w:hint="default" w:ascii="Times New Roman" w:hAnsi="Times New Roman" w:eastAsia="宋体" w:cs="Times New Roman"/>
                <w:b/>
                <w:color w:val="000000"/>
                <w:sz w:val="24"/>
                <w:highlight w:val="none"/>
                <w:lang w:val="en-US" w:eastAsia="zh-CN"/>
              </w:rPr>
              <w:t xml:space="preserve">    废气污染源源强核算结果及治理措施一览表</w:t>
            </w:r>
          </w:p>
          <w:tbl>
            <w:tblPr>
              <w:tblStyle w:val="30"/>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377"/>
              <w:gridCol w:w="384"/>
              <w:gridCol w:w="551"/>
              <w:gridCol w:w="461"/>
              <w:gridCol w:w="669"/>
              <w:gridCol w:w="236"/>
              <w:gridCol w:w="2467"/>
              <w:gridCol w:w="731"/>
              <w:gridCol w:w="470"/>
              <w:gridCol w:w="615"/>
              <w:gridCol w:w="454"/>
              <w:gridCol w:w="731"/>
              <w:gridCol w:w="821"/>
              <w:gridCol w:w="731"/>
              <w:gridCol w:w="586"/>
              <w:gridCol w:w="1676"/>
            </w:tblGrid>
            <w:tr w14:paraId="0701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restart"/>
                  <w:noWrap w:val="0"/>
                  <w:vAlign w:val="center"/>
                </w:tcPr>
                <w:p w14:paraId="0663B4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产污环节</w:t>
                  </w:r>
                </w:p>
              </w:tc>
              <w:tc>
                <w:tcPr>
                  <w:tcW w:w="177" w:type="pct"/>
                  <w:vMerge w:val="restart"/>
                  <w:noWrap w:val="0"/>
                  <w:vAlign w:val="center"/>
                </w:tcPr>
                <w:p w14:paraId="57F311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污染物种类</w:t>
                  </w:r>
                </w:p>
              </w:tc>
              <w:tc>
                <w:tcPr>
                  <w:tcW w:w="735" w:type="pct"/>
                  <w:gridSpan w:val="3"/>
                  <w:noWrap w:val="0"/>
                  <w:vAlign w:val="center"/>
                </w:tcPr>
                <w:p w14:paraId="1C378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rPr>
                    <w:t>产生情况</w:t>
                  </w:r>
                </w:p>
              </w:tc>
              <w:tc>
                <w:tcPr>
                  <w:tcW w:w="113" w:type="pct"/>
                  <w:vMerge w:val="restart"/>
                  <w:noWrap w:val="0"/>
                  <w:vAlign w:val="center"/>
                </w:tcPr>
                <w:p w14:paraId="1F4C90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kern w:val="0"/>
                      <w:sz w:val="18"/>
                      <w:szCs w:val="18"/>
                      <w:highlight w:val="none"/>
                      <w:lang w:bidi="ar"/>
                    </w:rPr>
                    <w:t>排放形式</w:t>
                  </w:r>
                </w:p>
              </w:tc>
              <w:tc>
                <w:tcPr>
                  <w:tcW w:w="1949" w:type="pct"/>
                  <w:gridSpan w:val="5"/>
                  <w:noWrap w:val="0"/>
                  <w:vAlign w:val="center"/>
                </w:tcPr>
                <w:p w14:paraId="66E39E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bidi="ar"/>
                    </w:rPr>
                  </w:pPr>
                  <w:r>
                    <w:rPr>
                      <w:rFonts w:hint="default" w:ascii="Times New Roman" w:hAnsi="Times New Roman" w:eastAsia="宋体" w:cs="Times New Roman"/>
                      <w:color w:val="000000"/>
                      <w:kern w:val="0"/>
                      <w:sz w:val="18"/>
                      <w:szCs w:val="18"/>
                      <w:highlight w:val="none"/>
                      <w:lang w:bidi="ar"/>
                    </w:rPr>
                    <w:t>污染治理设施</w:t>
                  </w:r>
                </w:p>
              </w:tc>
              <w:tc>
                <w:tcPr>
                  <w:tcW w:w="624" w:type="pct"/>
                  <w:gridSpan w:val="3"/>
                  <w:noWrap w:val="0"/>
                  <w:vAlign w:val="center"/>
                </w:tcPr>
                <w:p w14:paraId="5734F1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排放情况</w:t>
                  </w:r>
                </w:p>
              </w:tc>
              <w:tc>
                <w:tcPr>
                  <w:tcW w:w="226" w:type="pct"/>
                  <w:vMerge w:val="restart"/>
                  <w:noWrap w:val="0"/>
                  <w:vAlign w:val="center"/>
                </w:tcPr>
                <w:p w14:paraId="1C4E06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kern w:val="0"/>
                      <w:sz w:val="18"/>
                      <w:szCs w:val="18"/>
                      <w:highlight w:val="none"/>
                      <w:lang w:bidi="ar"/>
                    </w:rPr>
                    <w:t>排放口</w:t>
                  </w:r>
                </w:p>
              </w:tc>
              <w:tc>
                <w:tcPr>
                  <w:tcW w:w="613" w:type="pct"/>
                  <w:vMerge w:val="restart"/>
                  <w:noWrap w:val="0"/>
                  <w:vAlign w:val="center"/>
                </w:tcPr>
                <w:p w14:paraId="071A0E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排放标准</w:t>
                  </w:r>
                </w:p>
              </w:tc>
            </w:tr>
            <w:tr w14:paraId="657C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77032C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c>
                <w:tcPr>
                  <w:tcW w:w="177" w:type="pct"/>
                  <w:vMerge w:val="continue"/>
                  <w:noWrap w:val="0"/>
                  <w:vAlign w:val="center"/>
                </w:tcPr>
                <w:p w14:paraId="6D1503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c>
                <w:tcPr>
                  <w:tcW w:w="216" w:type="pct"/>
                  <w:noWrap w:val="0"/>
                  <w:vAlign w:val="center"/>
                </w:tcPr>
                <w:p w14:paraId="60AA64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产生量</w:t>
                  </w:r>
                  <w:r>
                    <w:rPr>
                      <w:rFonts w:hint="default" w:ascii="Times New Roman" w:hAnsi="Times New Roman" w:eastAsia="宋体" w:cs="Times New Roman"/>
                      <w:color w:val="000000"/>
                      <w:sz w:val="18"/>
                      <w:szCs w:val="18"/>
                      <w:highlight w:val="none"/>
                      <w:lang w:val="en-US" w:eastAsia="zh-CN"/>
                    </w:rPr>
                    <w:t>t</w:t>
                  </w:r>
                  <w:r>
                    <w:rPr>
                      <w:rFonts w:hint="default" w:ascii="Times New Roman" w:hAnsi="Times New Roman" w:eastAsia="宋体" w:cs="Times New Roman"/>
                      <w:color w:val="000000"/>
                      <w:sz w:val="18"/>
                      <w:szCs w:val="18"/>
                      <w:highlight w:val="none"/>
                    </w:rPr>
                    <w:t>/a</w:t>
                  </w:r>
                </w:p>
              </w:tc>
              <w:tc>
                <w:tcPr>
                  <w:tcW w:w="228" w:type="pct"/>
                  <w:noWrap w:val="0"/>
                  <w:vAlign w:val="center"/>
                </w:tcPr>
                <w:p w14:paraId="1D43D3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产生速率kg/h</w:t>
                  </w:r>
                </w:p>
              </w:tc>
              <w:tc>
                <w:tcPr>
                  <w:tcW w:w="291" w:type="pct"/>
                  <w:noWrap w:val="0"/>
                  <w:vAlign w:val="center"/>
                </w:tcPr>
                <w:p w14:paraId="710828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产生浓度mg/m</w:t>
                  </w:r>
                  <w:r>
                    <w:rPr>
                      <w:rFonts w:hint="default" w:ascii="Times New Roman" w:hAnsi="Times New Roman" w:eastAsia="宋体" w:cs="Times New Roman"/>
                      <w:color w:val="000000"/>
                      <w:sz w:val="18"/>
                      <w:szCs w:val="18"/>
                      <w:highlight w:val="none"/>
                      <w:vertAlign w:val="superscript"/>
                    </w:rPr>
                    <w:t>3</w:t>
                  </w:r>
                </w:p>
              </w:tc>
              <w:tc>
                <w:tcPr>
                  <w:tcW w:w="113" w:type="pct"/>
                  <w:vMerge w:val="continue"/>
                  <w:noWrap w:val="0"/>
                  <w:vAlign w:val="center"/>
                </w:tcPr>
                <w:p w14:paraId="36C772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c>
                <w:tcPr>
                  <w:tcW w:w="987" w:type="pct"/>
                  <w:noWrap w:val="0"/>
                  <w:vAlign w:val="center"/>
                </w:tcPr>
                <w:p w14:paraId="2420A3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kern w:val="0"/>
                      <w:sz w:val="18"/>
                      <w:szCs w:val="18"/>
                      <w:highlight w:val="none"/>
                      <w:lang w:bidi="ar"/>
                    </w:rPr>
                    <w:t>治理设施名称</w:t>
                  </w:r>
                </w:p>
              </w:tc>
              <w:tc>
                <w:tcPr>
                  <w:tcW w:w="282" w:type="pct"/>
                  <w:noWrap w:val="0"/>
                  <w:vAlign w:val="center"/>
                </w:tcPr>
                <w:p w14:paraId="04E0BF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设计风量m</w:t>
                  </w:r>
                  <w:r>
                    <w:rPr>
                      <w:rFonts w:hint="default" w:ascii="Times New Roman" w:hAnsi="Times New Roman" w:eastAsia="宋体" w:cs="Times New Roman"/>
                      <w:color w:val="000000"/>
                      <w:sz w:val="18"/>
                      <w:szCs w:val="18"/>
                      <w:highlight w:val="none"/>
                      <w:vertAlign w:val="superscript"/>
                    </w:rPr>
                    <w:t>3</w:t>
                  </w:r>
                  <w:r>
                    <w:rPr>
                      <w:rFonts w:hint="default" w:ascii="Times New Roman" w:hAnsi="Times New Roman" w:eastAsia="宋体" w:cs="Times New Roman"/>
                      <w:color w:val="000000"/>
                      <w:sz w:val="18"/>
                      <w:szCs w:val="18"/>
                      <w:highlight w:val="none"/>
                    </w:rPr>
                    <w:t>/h</w:t>
                  </w:r>
                </w:p>
              </w:tc>
              <w:tc>
                <w:tcPr>
                  <w:tcW w:w="210" w:type="pct"/>
                  <w:noWrap w:val="0"/>
                  <w:vAlign w:val="center"/>
                </w:tcPr>
                <w:p w14:paraId="0142D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收集效率/%</w:t>
                  </w:r>
                </w:p>
              </w:tc>
              <w:tc>
                <w:tcPr>
                  <w:tcW w:w="266" w:type="pct"/>
                  <w:noWrap w:val="0"/>
                  <w:vAlign w:val="center"/>
                </w:tcPr>
                <w:p w14:paraId="0CC822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治理工艺去除率/%</w:t>
                  </w:r>
                </w:p>
              </w:tc>
              <w:tc>
                <w:tcPr>
                  <w:tcW w:w="203" w:type="pct"/>
                  <w:noWrap w:val="0"/>
                  <w:vAlign w:val="center"/>
                </w:tcPr>
                <w:p w14:paraId="46C7E0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kern w:val="0"/>
                      <w:sz w:val="18"/>
                      <w:szCs w:val="18"/>
                      <w:highlight w:val="none"/>
                      <w:lang w:bidi="ar"/>
                    </w:rPr>
                    <w:t>是否可行技术</w:t>
                  </w:r>
                </w:p>
              </w:tc>
              <w:tc>
                <w:tcPr>
                  <w:tcW w:w="212" w:type="pct"/>
                  <w:noWrap w:val="0"/>
                  <w:vAlign w:val="center"/>
                </w:tcPr>
                <w:p w14:paraId="6417FD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排放量</w:t>
                  </w:r>
                  <w:r>
                    <w:rPr>
                      <w:rFonts w:hint="default" w:ascii="Times New Roman" w:hAnsi="Times New Roman" w:eastAsia="宋体" w:cs="Times New Roman"/>
                      <w:color w:val="000000"/>
                      <w:sz w:val="18"/>
                      <w:szCs w:val="18"/>
                      <w:highlight w:val="none"/>
                      <w:lang w:val="en-US" w:eastAsia="zh-CN"/>
                    </w:rPr>
                    <w:t>t</w:t>
                  </w:r>
                  <w:r>
                    <w:rPr>
                      <w:rFonts w:hint="default" w:ascii="Times New Roman" w:hAnsi="Times New Roman" w:eastAsia="宋体" w:cs="Times New Roman"/>
                      <w:color w:val="000000"/>
                      <w:sz w:val="18"/>
                      <w:szCs w:val="18"/>
                      <w:highlight w:val="none"/>
                    </w:rPr>
                    <w:t>/a</w:t>
                  </w:r>
                </w:p>
              </w:tc>
              <w:tc>
                <w:tcPr>
                  <w:tcW w:w="198" w:type="pct"/>
                  <w:noWrap w:val="0"/>
                  <w:vAlign w:val="center"/>
                </w:tcPr>
                <w:p w14:paraId="718D18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排放速率kg/h</w:t>
                  </w:r>
                </w:p>
              </w:tc>
              <w:tc>
                <w:tcPr>
                  <w:tcW w:w="213" w:type="pct"/>
                  <w:noWrap w:val="0"/>
                  <w:vAlign w:val="center"/>
                </w:tcPr>
                <w:p w14:paraId="265C35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排放浓度mg/m</w:t>
                  </w:r>
                  <w:r>
                    <w:rPr>
                      <w:rFonts w:hint="default" w:ascii="Times New Roman" w:hAnsi="Times New Roman" w:eastAsia="宋体" w:cs="Times New Roman"/>
                      <w:color w:val="000000"/>
                      <w:sz w:val="18"/>
                      <w:szCs w:val="18"/>
                      <w:highlight w:val="none"/>
                      <w:vertAlign w:val="superscript"/>
                    </w:rPr>
                    <w:t>3</w:t>
                  </w:r>
                </w:p>
              </w:tc>
              <w:tc>
                <w:tcPr>
                  <w:tcW w:w="226" w:type="pct"/>
                  <w:vMerge w:val="continue"/>
                  <w:noWrap w:val="0"/>
                  <w:vAlign w:val="center"/>
                </w:tcPr>
                <w:p w14:paraId="651172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c>
                <w:tcPr>
                  <w:tcW w:w="613" w:type="pct"/>
                  <w:vMerge w:val="continue"/>
                  <w:noWrap w:val="0"/>
                  <w:vAlign w:val="center"/>
                </w:tcPr>
                <w:p w14:paraId="5AD407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r>
            <w:tr w14:paraId="65D5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restart"/>
                  <w:shd w:val="clear" w:color="auto" w:fill="auto"/>
                  <w:noWrap w:val="0"/>
                  <w:vAlign w:val="center"/>
                </w:tcPr>
                <w:p w14:paraId="668D6266">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物料存储、发酵、污水处理站</w:t>
                  </w:r>
                </w:p>
              </w:tc>
              <w:tc>
                <w:tcPr>
                  <w:tcW w:w="177" w:type="pct"/>
                  <w:shd w:val="clear" w:color="auto" w:fill="auto"/>
                  <w:noWrap w:val="0"/>
                  <w:vAlign w:val="center"/>
                </w:tcPr>
                <w:p w14:paraId="7AF3791D">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NH</w:t>
                  </w:r>
                  <w:r>
                    <w:rPr>
                      <w:rFonts w:hint="default" w:ascii="Times New Roman" w:hAnsi="Times New Roman" w:eastAsia="宋体" w:cs="Times New Roman"/>
                      <w:b w:val="0"/>
                      <w:bCs w:val="0"/>
                      <w:color w:val="auto"/>
                      <w:sz w:val="18"/>
                      <w:szCs w:val="18"/>
                      <w:highlight w:val="none"/>
                      <w:vertAlign w:val="subscript"/>
                    </w:rPr>
                    <w:t>3</w:t>
                  </w:r>
                </w:p>
              </w:tc>
              <w:tc>
                <w:tcPr>
                  <w:tcW w:w="216" w:type="pct"/>
                  <w:noWrap w:val="0"/>
                  <w:vAlign w:val="center"/>
                </w:tcPr>
                <w:p w14:paraId="3CE6229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9.893</w:t>
                  </w:r>
                </w:p>
              </w:tc>
              <w:tc>
                <w:tcPr>
                  <w:tcW w:w="228" w:type="pct"/>
                  <w:noWrap w:val="0"/>
                  <w:vAlign w:val="center"/>
                </w:tcPr>
                <w:p w14:paraId="26F6BA10">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1.374</w:t>
                  </w:r>
                </w:p>
              </w:tc>
              <w:tc>
                <w:tcPr>
                  <w:tcW w:w="291" w:type="pct"/>
                  <w:noWrap w:val="0"/>
                  <w:vAlign w:val="center"/>
                </w:tcPr>
                <w:p w14:paraId="472CA4F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34.352</w:t>
                  </w:r>
                </w:p>
              </w:tc>
              <w:tc>
                <w:tcPr>
                  <w:tcW w:w="113" w:type="pct"/>
                  <w:vMerge w:val="restart"/>
                  <w:noWrap w:val="0"/>
                  <w:vAlign w:val="center"/>
                </w:tcPr>
                <w:p w14:paraId="06BCEE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有组织</w:t>
                  </w:r>
                </w:p>
              </w:tc>
              <w:tc>
                <w:tcPr>
                  <w:tcW w:w="987" w:type="pct"/>
                  <w:vMerge w:val="restart"/>
                  <w:noWrap w:val="0"/>
                  <w:vAlign w:val="center"/>
                </w:tcPr>
                <w:p w14:paraId="01AE94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color w:val="000000"/>
                      <w:kern w:val="0"/>
                      <w:sz w:val="18"/>
                      <w:szCs w:val="18"/>
                      <w:highlight w:val="none"/>
                      <w:lang w:val="en-US" w:eastAsia="zh-CN" w:bidi="ar"/>
                    </w:rPr>
                    <w:t>“生物除臭塔+活性炭吸附”装置进行处理，处理后废气经15m高排气筒DA001排放</w:t>
                  </w:r>
                </w:p>
              </w:tc>
              <w:tc>
                <w:tcPr>
                  <w:tcW w:w="282" w:type="pct"/>
                  <w:vMerge w:val="restart"/>
                  <w:noWrap w:val="0"/>
                  <w:vAlign w:val="center"/>
                </w:tcPr>
                <w:p w14:paraId="7240D4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40000</w:t>
                  </w:r>
                </w:p>
              </w:tc>
              <w:tc>
                <w:tcPr>
                  <w:tcW w:w="210" w:type="pct"/>
                  <w:vMerge w:val="restart"/>
                  <w:noWrap w:val="0"/>
                  <w:vAlign w:val="center"/>
                </w:tcPr>
                <w:p w14:paraId="071D5D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95</w:t>
                  </w:r>
                </w:p>
              </w:tc>
              <w:tc>
                <w:tcPr>
                  <w:tcW w:w="266" w:type="pct"/>
                  <w:vMerge w:val="restart"/>
                  <w:noWrap w:val="0"/>
                  <w:vAlign w:val="center"/>
                </w:tcPr>
                <w:p w14:paraId="307E17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95</w:t>
                  </w:r>
                </w:p>
              </w:tc>
              <w:tc>
                <w:tcPr>
                  <w:tcW w:w="203" w:type="pct"/>
                  <w:vMerge w:val="restart"/>
                  <w:noWrap w:val="0"/>
                  <w:vAlign w:val="center"/>
                </w:tcPr>
                <w:p w14:paraId="087B6C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18862AC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0.495</w:t>
                  </w:r>
                </w:p>
              </w:tc>
              <w:tc>
                <w:tcPr>
                  <w:tcW w:w="198" w:type="pct"/>
                  <w:noWrap w:val="0"/>
                  <w:vAlign w:val="center"/>
                </w:tcPr>
                <w:p w14:paraId="198D6B7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0.069</w:t>
                  </w:r>
                </w:p>
              </w:tc>
              <w:tc>
                <w:tcPr>
                  <w:tcW w:w="213" w:type="pct"/>
                  <w:noWrap w:val="0"/>
                  <w:vAlign w:val="center"/>
                </w:tcPr>
                <w:p w14:paraId="09EE6447">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1.718</w:t>
                  </w:r>
                </w:p>
              </w:tc>
              <w:tc>
                <w:tcPr>
                  <w:tcW w:w="226" w:type="pct"/>
                  <w:vMerge w:val="restart"/>
                  <w:noWrap w:val="0"/>
                  <w:vAlign w:val="center"/>
                </w:tcPr>
                <w:p w14:paraId="68CB22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DA001</w:t>
                  </w:r>
                </w:p>
              </w:tc>
              <w:tc>
                <w:tcPr>
                  <w:tcW w:w="613" w:type="pct"/>
                  <w:vMerge w:val="restart"/>
                  <w:noWrap w:val="0"/>
                  <w:vAlign w:val="center"/>
                </w:tcPr>
                <w:p w14:paraId="12CC3C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b w:val="0"/>
                      <w:bCs w:val="0"/>
                      <w:color w:val="auto"/>
                      <w:sz w:val="18"/>
                      <w:szCs w:val="18"/>
                      <w:highlight w:val="none"/>
                      <w:lang w:val="en-US" w:eastAsia="zh-CN"/>
                    </w:rPr>
                    <w:t>参照执行</w:t>
                  </w: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w:t>
                  </w:r>
                </w:p>
              </w:tc>
            </w:tr>
            <w:tr w14:paraId="3196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1EBDFF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shd w:val="clear" w:color="auto" w:fill="auto"/>
                  <w:noWrap w:val="0"/>
                  <w:vAlign w:val="center"/>
                </w:tcPr>
                <w:p w14:paraId="03BB6969">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H</w:t>
                  </w:r>
                  <w:r>
                    <w:rPr>
                      <w:rFonts w:hint="default" w:ascii="Times New Roman" w:hAnsi="Times New Roman" w:eastAsia="宋体" w:cs="Times New Roman"/>
                      <w:b w:val="0"/>
                      <w:bCs w:val="0"/>
                      <w:color w:val="auto"/>
                      <w:sz w:val="18"/>
                      <w:szCs w:val="18"/>
                      <w:highlight w:val="none"/>
                      <w:vertAlign w:val="subscript"/>
                    </w:rPr>
                    <w:t>2</w:t>
                  </w:r>
                  <w:r>
                    <w:rPr>
                      <w:rFonts w:hint="default" w:ascii="Times New Roman" w:hAnsi="Times New Roman" w:eastAsia="宋体" w:cs="Times New Roman"/>
                      <w:b w:val="0"/>
                      <w:bCs w:val="0"/>
                      <w:color w:val="auto"/>
                      <w:sz w:val="18"/>
                      <w:szCs w:val="18"/>
                      <w:highlight w:val="none"/>
                    </w:rPr>
                    <w:t>S</w:t>
                  </w:r>
                </w:p>
              </w:tc>
              <w:tc>
                <w:tcPr>
                  <w:tcW w:w="216" w:type="pct"/>
                  <w:noWrap w:val="0"/>
                  <w:vAlign w:val="center"/>
                </w:tcPr>
                <w:p w14:paraId="1A66A38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0.505</w:t>
                  </w:r>
                </w:p>
              </w:tc>
              <w:tc>
                <w:tcPr>
                  <w:tcW w:w="228" w:type="pct"/>
                  <w:noWrap w:val="0"/>
                  <w:vAlign w:val="center"/>
                </w:tcPr>
                <w:p w14:paraId="5F303AE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0.070</w:t>
                  </w:r>
                </w:p>
              </w:tc>
              <w:tc>
                <w:tcPr>
                  <w:tcW w:w="291" w:type="pct"/>
                  <w:noWrap w:val="0"/>
                  <w:vAlign w:val="center"/>
                </w:tcPr>
                <w:p w14:paraId="4B5D68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1.755</w:t>
                  </w:r>
                </w:p>
              </w:tc>
              <w:tc>
                <w:tcPr>
                  <w:tcW w:w="113" w:type="pct"/>
                  <w:vMerge w:val="continue"/>
                  <w:noWrap w:val="0"/>
                  <w:vAlign w:val="center"/>
                </w:tcPr>
                <w:p w14:paraId="6DBB4C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761036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449F85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18A6AA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vMerge w:val="continue"/>
                  <w:noWrap w:val="0"/>
                  <w:vAlign w:val="center"/>
                </w:tcPr>
                <w:p w14:paraId="178BBF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03" w:type="pct"/>
                  <w:vMerge w:val="continue"/>
                  <w:noWrap w:val="0"/>
                  <w:vAlign w:val="center"/>
                </w:tcPr>
                <w:p w14:paraId="680678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2" w:type="pct"/>
                  <w:noWrap w:val="0"/>
                  <w:vAlign w:val="center"/>
                </w:tcPr>
                <w:p w14:paraId="20E0C22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0.025</w:t>
                  </w:r>
                </w:p>
              </w:tc>
              <w:tc>
                <w:tcPr>
                  <w:tcW w:w="198" w:type="pct"/>
                  <w:noWrap w:val="0"/>
                  <w:vAlign w:val="center"/>
                </w:tcPr>
                <w:p w14:paraId="40C7C319">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0.004</w:t>
                  </w:r>
                </w:p>
              </w:tc>
              <w:tc>
                <w:tcPr>
                  <w:tcW w:w="213" w:type="pct"/>
                  <w:noWrap w:val="0"/>
                  <w:vAlign w:val="center"/>
                </w:tcPr>
                <w:p w14:paraId="17088077">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0.088</w:t>
                  </w:r>
                </w:p>
              </w:tc>
              <w:tc>
                <w:tcPr>
                  <w:tcW w:w="226" w:type="pct"/>
                  <w:vMerge w:val="continue"/>
                  <w:noWrap w:val="0"/>
                  <w:vAlign w:val="center"/>
                </w:tcPr>
                <w:p w14:paraId="297A69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1932C5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0425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26F3D7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shd w:val="clear" w:color="auto" w:fill="auto"/>
                  <w:noWrap w:val="0"/>
                  <w:vAlign w:val="center"/>
                </w:tcPr>
                <w:p w14:paraId="094AA5C7">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臭气浓度</w:t>
                  </w:r>
                  <w:r>
                    <w:rPr>
                      <w:rFonts w:hint="default" w:ascii="Times New Roman" w:hAnsi="Times New Roman" w:eastAsia="宋体" w:cs="Times New Roman"/>
                      <w:b w:val="0"/>
                      <w:bCs w:val="0"/>
                      <w:color w:val="auto"/>
                      <w:sz w:val="18"/>
                      <w:szCs w:val="18"/>
                      <w:highlight w:val="none"/>
                    </w:rPr>
                    <w:cr/>
                  </w:r>
                  <w:r>
                    <w:rPr>
                      <w:rFonts w:hint="default" w:ascii="Times New Roman" w:hAnsi="Times New Roman" w:eastAsia="宋体" w:cs="Times New Roman"/>
                      <w:b w:val="0"/>
                      <w:bCs w:val="0"/>
                      <w:color w:val="auto"/>
                      <w:sz w:val="18"/>
                      <w:szCs w:val="18"/>
                      <w:highlight w:val="none"/>
                    </w:rPr>
                    <w:t>(无量纲)</w:t>
                  </w:r>
                </w:p>
              </w:tc>
              <w:tc>
                <w:tcPr>
                  <w:tcW w:w="216" w:type="pct"/>
                  <w:noWrap w:val="0"/>
                  <w:vAlign w:val="center"/>
                </w:tcPr>
                <w:p w14:paraId="32B53D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28" w:type="pct"/>
                  <w:noWrap w:val="0"/>
                  <w:vAlign w:val="center"/>
                </w:tcPr>
                <w:p w14:paraId="40E045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91" w:type="pct"/>
                  <w:noWrap w:val="0"/>
                  <w:vAlign w:val="center"/>
                </w:tcPr>
                <w:p w14:paraId="2867EA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w:t>
                  </w:r>
                </w:p>
              </w:tc>
              <w:tc>
                <w:tcPr>
                  <w:tcW w:w="113" w:type="pct"/>
                  <w:vMerge w:val="continue"/>
                  <w:noWrap w:val="0"/>
                  <w:vAlign w:val="center"/>
                </w:tcPr>
                <w:p w14:paraId="30A085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64AA06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30E4D0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75B5DE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vMerge w:val="continue"/>
                  <w:noWrap w:val="0"/>
                  <w:vAlign w:val="center"/>
                </w:tcPr>
                <w:p w14:paraId="02DC23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03" w:type="pct"/>
                  <w:vMerge w:val="continue"/>
                  <w:noWrap w:val="0"/>
                  <w:vAlign w:val="center"/>
                </w:tcPr>
                <w:p w14:paraId="39B370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2" w:type="pct"/>
                  <w:noWrap w:val="0"/>
                  <w:vAlign w:val="center"/>
                </w:tcPr>
                <w:p w14:paraId="2F296768">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198" w:type="pct"/>
                  <w:noWrap w:val="0"/>
                  <w:vAlign w:val="center"/>
                </w:tcPr>
                <w:p w14:paraId="47FC2E4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13" w:type="pct"/>
                  <w:noWrap w:val="0"/>
                  <w:vAlign w:val="center"/>
                </w:tcPr>
                <w:p w14:paraId="6068BEB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2000</w:t>
                  </w:r>
                </w:p>
              </w:tc>
              <w:tc>
                <w:tcPr>
                  <w:tcW w:w="226" w:type="pct"/>
                  <w:vMerge w:val="continue"/>
                  <w:noWrap w:val="0"/>
                  <w:vAlign w:val="center"/>
                </w:tcPr>
                <w:p w14:paraId="63E416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40419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2376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shd w:val="clear" w:color="auto" w:fill="auto"/>
                  <w:noWrap w:val="0"/>
                  <w:vAlign w:val="center"/>
                </w:tcPr>
                <w:p w14:paraId="230FFF33">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烘干过程、</w:t>
                  </w:r>
                  <w:r>
                    <w:rPr>
                      <w:rFonts w:hint="default" w:ascii="Times New Roman" w:hAnsi="Times New Roman" w:eastAsia="宋体" w:cs="Times New Roman"/>
                      <w:color w:val="auto"/>
                      <w:sz w:val="18"/>
                      <w:szCs w:val="18"/>
                      <w:highlight w:val="none"/>
                      <w:lang w:val="en-US" w:eastAsia="zh-CN"/>
                    </w:rPr>
                    <w:t>燃烧颗粒生产线撕碎、造粒废气</w:t>
                  </w:r>
                </w:p>
              </w:tc>
              <w:tc>
                <w:tcPr>
                  <w:tcW w:w="177" w:type="pct"/>
                  <w:shd w:val="clear" w:color="auto" w:fill="auto"/>
                  <w:noWrap w:val="0"/>
                  <w:vAlign w:val="center"/>
                </w:tcPr>
                <w:p w14:paraId="2AFE92E1">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颗粒物</w:t>
                  </w:r>
                </w:p>
              </w:tc>
              <w:tc>
                <w:tcPr>
                  <w:tcW w:w="216" w:type="pct"/>
                  <w:noWrap w:val="0"/>
                  <w:vAlign w:val="center"/>
                </w:tcPr>
                <w:p w14:paraId="3FD51E0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62.850</w:t>
                  </w:r>
                </w:p>
              </w:tc>
              <w:tc>
                <w:tcPr>
                  <w:tcW w:w="228" w:type="pct"/>
                  <w:noWrap w:val="0"/>
                  <w:vAlign w:val="center"/>
                </w:tcPr>
                <w:p w14:paraId="4A1211C1">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8.729</w:t>
                  </w:r>
                </w:p>
              </w:tc>
              <w:tc>
                <w:tcPr>
                  <w:tcW w:w="291" w:type="pct"/>
                  <w:noWrap w:val="0"/>
                  <w:vAlign w:val="center"/>
                </w:tcPr>
                <w:p w14:paraId="47DE8DED">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109.114</w:t>
                  </w:r>
                </w:p>
              </w:tc>
              <w:tc>
                <w:tcPr>
                  <w:tcW w:w="113" w:type="pct"/>
                  <w:vMerge w:val="continue"/>
                  <w:noWrap w:val="0"/>
                  <w:vAlign w:val="center"/>
                </w:tcPr>
                <w:p w14:paraId="464AF6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noWrap w:val="0"/>
                  <w:vAlign w:val="center"/>
                </w:tcPr>
                <w:p w14:paraId="5C388C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color w:val="000000"/>
                      <w:kern w:val="0"/>
                      <w:sz w:val="18"/>
                      <w:szCs w:val="18"/>
                      <w:highlight w:val="none"/>
                      <w:lang w:val="en-US" w:eastAsia="zh-CN" w:bidi="ar"/>
                    </w:rPr>
                    <w:t>低温等离子+塑烧板除尘器装置处理，处理后经15m高排气筒DA002排放</w:t>
                  </w:r>
                </w:p>
              </w:tc>
              <w:tc>
                <w:tcPr>
                  <w:tcW w:w="282" w:type="pct"/>
                  <w:noWrap w:val="0"/>
                  <w:vAlign w:val="center"/>
                </w:tcPr>
                <w:p w14:paraId="6A843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80000</w:t>
                  </w:r>
                </w:p>
              </w:tc>
              <w:tc>
                <w:tcPr>
                  <w:tcW w:w="210" w:type="pct"/>
                  <w:noWrap w:val="0"/>
                  <w:vAlign w:val="center"/>
                </w:tcPr>
                <w:p w14:paraId="51EC4B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95</w:t>
                  </w:r>
                </w:p>
              </w:tc>
              <w:tc>
                <w:tcPr>
                  <w:tcW w:w="266" w:type="pct"/>
                  <w:noWrap w:val="0"/>
                  <w:vAlign w:val="center"/>
                </w:tcPr>
                <w:p w14:paraId="2944B5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95</w:t>
                  </w:r>
                </w:p>
              </w:tc>
              <w:tc>
                <w:tcPr>
                  <w:tcW w:w="203" w:type="pct"/>
                  <w:noWrap w:val="0"/>
                  <w:vAlign w:val="center"/>
                </w:tcPr>
                <w:p w14:paraId="201D9C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4EAC454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3.142</w:t>
                  </w:r>
                </w:p>
              </w:tc>
              <w:tc>
                <w:tcPr>
                  <w:tcW w:w="198" w:type="pct"/>
                  <w:noWrap w:val="0"/>
                  <w:vAlign w:val="center"/>
                </w:tcPr>
                <w:p w14:paraId="3921F9E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0.436</w:t>
                  </w:r>
                </w:p>
              </w:tc>
              <w:tc>
                <w:tcPr>
                  <w:tcW w:w="213" w:type="pct"/>
                  <w:noWrap w:val="0"/>
                  <w:vAlign w:val="center"/>
                </w:tcPr>
                <w:p w14:paraId="3AA41D3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5.456</w:t>
                  </w:r>
                </w:p>
              </w:tc>
              <w:tc>
                <w:tcPr>
                  <w:tcW w:w="226" w:type="pct"/>
                  <w:noWrap w:val="0"/>
                  <w:vAlign w:val="center"/>
                </w:tcPr>
                <w:p w14:paraId="3C669C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DA002</w:t>
                  </w:r>
                </w:p>
              </w:tc>
              <w:tc>
                <w:tcPr>
                  <w:tcW w:w="613" w:type="pct"/>
                  <w:vMerge w:val="continue"/>
                  <w:noWrap w:val="0"/>
                  <w:vAlign w:val="center"/>
                </w:tcPr>
                <w:p w14:paraId="223684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7CE9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restart"/>
                  <w:shd w:val="clear" w:color="auto" w:fill="auto"/>
                  <w:noWrap w:val="0"/>
                  <w:vAlign w:val="center"/>
                </w:tcPr>
                <w:p w14:paraId="4C3E88F3">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替代颗粒燃烧废气</w:t>
                  </w:r>
                </w:p>
              </w:tc>
              <w:tc>
                <w:tcPr>
                  <w:tcW w:w="177" w:type="pct"/>
                  <w:shd w:val="clear" w:color="auto" w:fill="auto"/>
                  <w:noWrap w:val="0"/>
                  <w:vAlign w:val="center"/>
                </w:tcPr>
                <w:p w14:paraId="17838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颗粒物</w:t>
                  </w:r>
                </w:p>
              </w:tc>
              <w:tc>
                <w:tcPr>
                  <w:tcW w:w="216" w:type="pct"/>
                  <w:noWrap w:val="0"/>
                  <w:vAlign w:val="center"/>
                </w:tcPr>
                <w:p w14:paraId="23889FC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40.100</w:t>
                  </w:r>
                </w:p>
              </w:tc>
              <w:tc>
                <w:tcPr>
                  <w:tcW w:w="228" w:type="pct"/>
                  <w:noWrap w:val="0"/>
                  <w:vAlign w:val="center"/>
                </w:tcPr>
                <w:p w14:paraId="0DD8810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5.569</w:t>
                  </w:r>
                </w:p>
              </w:tc>
              <w:tc>
                <w:tcPr>
                  <w:tcW w:w="291" w:type="pct"/>
                  <w:noWrap w:val="0"/>
                  <w:vAlign w:val="center"/>
                </w:tcPr>
                <w:p w14:paraId="43036187">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286.211</w:t>
                  </w:r>
                </w:p>
              </w:tc>
              <w:tc>
                <w:tcPr>
                  <w:tcW w:w="113" w:type="pct"/>
                  <w:vMerge w:val="continue"/>
                  <w:noWrap w:val="0"/>
                  <w:vAlign w:val="center"/>
                </w:tcPr>
                <w:p w14:paraId="63AE39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restart"/>
                  <w:noWrap w:val="0"/>
                  <w:vAlign w:val="center"/>
                </w:tcPr>
                <w:p w14:paraId="12B8AE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b w:val="0"/>
                      <w:bCs w:val="0"/>
                      <w:color w:val="auto"/>
                      <w:sz w:val="18"/>
                      <w:szCs w:val="18"/>
                      <w:lang w:val="en-US" w:eastAsia="zh-CN"/>
                    </w:rPr>
                    <w:t>“SCR脱硝+干法脱硫+脉冲布袋除尘器”装置处理后</w:t>
                  </w:r>
                  <w:r>
                    <w:rPr>
                      <w:rFonts w:hint="default" w:ascii="Times New Roman" w:hAnsi="Times New Roman" w:eastAsia="宋体" w:cs="Times New Roman"/>
                      <w:b w:val="0"/>
                      <w:bCs w:val="0"/>
                      <w:color w:val="auto"/>
                      <w:sz w:val="18"/>
                      <w:szCs w:val="18"/>
                      <w:lang w:eastAsia="zh-CN"/>
                    </w:rPr>
                    <w:t>经</w:t>
                  </w:r>
                  <w:r>
                    <w:rPr>
                      <w:rFonts w:hint="default" w:ascii="Times New Roman" w:hAnsi="Times New Roman" w:eastAsia="宋体" w:cs="Times New Roman"/>
                      <w:b w:val="0"/>
                      <w:bCs w:val="0"/>
                      <w:color w:val="auto"/>
                      <w:sz w:val="18"/>
                      <w:szCs w:val="18"/>
                      <w:highlight w:val="none"/>
                      <w:lang w:val="en-US" w:eastAsia="zh-CN"/>
                    </w:rPr>
                    <w:t>2</w:t>
                  </w:r>
                  <w:r>
                    <w:rPr>
                      <w:rFonts w:hint="default" w:ascii="Times New Roman" w:hAnsi="Times New Roman" w:eastAsia="宋体" w:cs="Times New Roman"/>
                      <w:b w:val="0"/>
                      <w:bCs w:val="0"/>
                      <w:color w:val="auto"/>
                      <w:sz w:val="18"/>
                      <w:szCs w:val="18"/>
                      <w:highlight w:val="none"/>
                      <w:lang w:eastAsia="zh-CN"/>
                    </w:rPr>
                    <w:t>5m</w:t>
                  </w:r>
                  <w:r>
                    <w:rPr>
                      <w:rFonts w:hint="default" w:ascii="Times New Roman" w:hAnsi="Times New Roman" w:eastAsia="宋体" w:cs="Times New Roman"/>
                      <w:b w:val="0"/>
                      <w:bCs w:val="0"/>
                      <w:color w:val="auto"/>
                      <w:sz w:val="18"/>
                      <w:szCs w:val="18"/>
                      <w:lang w:eastAsia="zh-CN"/>
                    </w:rPr>
                    <w:t>高排气筒DA00</w:t>
                  </w:r>
                  <w:r>
                    <w:rPr>
                      <w:rFonts w:hint="default" w:ascii="Times New Roman" w:hAnsi="Times New Roman" w:eastAsia="宋体" w:cs="Times New Roman"/>
                      <w:b w:val="0"/>
                      <w:bCs w:val="0"/>
                      <w:color w:val="auto"/>
                      <w:sz w:val="18"/>
                      <w:szCs w:val="18"/>
                      <w:lang w:val="en-US" w:eastAsia="zh-CN"/>
                    </w:rPr>
                    <w:t>3</w:t>
                  </w:r>
                  <w:r>
                    <w:rPr>
                      <w:rFonts w:hint="default" w:ascii="Times New Roman" w:hAnsi="Times New Roman" w:eastAsia="宋体" w:cs="Times New Roman"/>
                      <w:b w:val="0"/>
                      <w:bCs w:val="0"/>
                      <w:color w:val="auto"/>
                      <w:sz w:val="18"/>
                      <w:szCs w:val="18"/>
                      <w:lang w:eastAsia="zh-CN"/>
                    </w:rPr>
                    <w:t>排放</w:t>
                  </w:r>
                </w:p>
              </w:tc>
              <w:tc>
                <w:tcPr>
                  <w:tcW w:w="282" w:type="pct"/>
                  <w:vMerge w:val="restart"/>
                  <w:noWrap w:val="0"/>
                  <w:vAlign w:val="center"/>
                </w:tcPr>
                <w:p w14:paraId="33F38B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19456.23</w:t>
                  </w:r>
                </w:p>
              </w:tc>
              <w:tc>
                <w:tcPr>
                  <w:tcW w:w="210" w:type="pct"/>
                  <w:vMerge w:val="restart"/>
                  <w:noWrap w:val="0"/>
                  <w:vAlign w:val="center"/>
                </w:tcPr>
                <w:p w14:paraId="63D4B6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100</w:t>
                  </w:r>
                </w:p>
              </w:tc>
              <w:tc>
                <w:tcPr>
                  <w:tcW w:w="266" w:type="pct"/>
                  <w:noWrap w:val="0"/>
                  <w:vAlign w:val="center"/>
                </w:tcPr>
                <w:p w14:paraId="63C5A6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98</w:t>
                  </w:r>
                </w:p>
              </w:tc>
              <w:tc>
                <w:tcPr>
                  <w:tcW w:w="203" w:type="pct"/>
                  <w:noWrap w:val="0"/>
                  <w:vAlign w:val="center"/>
                </w:tcPr>
                <w:p w14:paraId="478737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3FFFB52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0.802</w:t>
                  </w:r>
                </w:p>
              </w:tc>
              <w:tc>
                <w:tcPr>
                  <w:tcW w:w="198" w:type="pct"/>
                  <w:noWrap w:val="0"/>
                  <w:vAlign w:val="center"/>
                </w:tcPr>
                <w:p w14:paraId="7540121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0.111</w:t>
                  </w:r>
                </w:p>
              </w:tc>
              <w:tc>
                <w:tcPr>
                  <w:tcW w:w="213" w:type="pct"/>
                  <w:noWrap w:val="0"/>
                  <w:vAlign w:val="center"/>
                </w:tcPr>
                <w:p w14:paraId="3677B080">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6.205</w:t>
                  </w:r>
                </w:p>
              </w:tc>
              <w:tc>
                <w:tcPr>
                  <w:tcW w:w="226" w:type="pct"/>
                  <w:vMerge w:val="restart"/>
                  <w:noWrap w:val="0"/>
                  <w:vAlign w:val="center"/>
                </w:tcPr>
                <w:p w14:paraId="305AD5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DA003</w:t>
                  </w:r>
                </w:p>
              </w:tc>
              <w:tc>
                <w:tcPr>
                  <w:tcW w:w="613" w:type="pct"/>
                  <w:vMerge w:val="restart"/>
                  <w:noWrap w:val="0"/>
                  <w:vAlign w:val="center"/>
                </w:tcPr>
                <w:p w14:paraId="2C429B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参照执行《锅炉大气污染物排放标准》</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DB13/5161-2020</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表1大气污染物排放限值</w:t>
                  </w:r>
                </w:p>
              </w:tc>
            </w:tr>
            <w:tr w14:paraId="3A6C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5E5A29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shd w:val="clear" w:color="auto" w:fill="auto"/>
                  <w:noWrap w:val="0"/>
                  <w:vAlign w:val="center"/>
                </w:tcPr>
                <w:p w14:paraId="72E0E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二氧化硫</w:t>
                  </w:r>
                </w:p>
              </w:tc>
              <w:tc>
                <w:tcPr>
                  <w:tcW w:w="216" w:type="pct"/>
                  <w:noWrap w:val="0"/>
                  <w:vAlign w:val="center"/>
                </w:tcPr>
                <w:p w14:paraId="5503D30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48.000</w:t>
                  </w:r>
                </w:p>
              </w:tc>
              <w:tc>
                <w:tcPr>
                  <w:tcW w:w="228" w:type="pct"/>
                  <w:noWrap w:val="0"/>
                  <w:vAlign w:val="center"/>
                </w:tcPr>
                <w:p w14:paraId="536C9BCE">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6.667</w:t>
                  </w:r>
                </w:p>
              </w:tc>
              <w:tc>
                <w:tcPr>
                  <w:tcW w:w="291" w:type="pct"/>
                  <w:noWrap w:val="0"/>
                  <w:vAlign w:val="center"/>
                </w:tcPr>
                <w:p w14:paraId="2857632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342.597</w:t>
                  </w:r>
                </w:p>
              </w:tc>
              <w:tc>
                <w:tcPr>
                  <w:tcW w:w="113" w:type="pct"/>
                  <w:vMerge w:val="continue"/>
                  <w:noWrap w:val="0"/>
                  <w:vAlign w:val="center"/>
                </w:tcPr>
                <w:p w14:paraId="6065E3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437C6E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034693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1B0F28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noWrap w:val="0"/>
                  <w:vAlign w:val="center"/>
                </w:tcPr>
                <w:p w14:paraId="6AA100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95</w:t>
                  </w:r>
                </w:p>
              </w:tc>
              <w:tc>
                <w:tcPr>
                  <w:tcW w:w="203" w:type="pct"/>
                  <w:noWrap w:val="0"/>
                  <w:vAlign w:val="center"/>
                </w:tcPr>
                <w:p w14:paraId="4683DF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4864BA3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2.400</w:t>
                  </w:r>
                </w:p>
              </w:tc>
              <w:tc>
                <w:tcPr>
                  <w:tcW w:w="198" w:type="pct"/>
                  <w:noWrap w:val="0"/>
                  <w:vAlign w:val="center"/>
                </w:tcPr>
                <w:p w14:paraId="1AD71CB5">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0.333</w:t>
                  </w:r>
                </w:p>
              </w:tc>
              <w:tc>
                <w:tcPr>
                  <w:tcW w:w="213" w:type="pct"/>
                  <w:noWrap w:val="0"/>
                  <w:vAlign w:val="center"/>
                </w:tcPr>
                <w:p w14:paraId="418C545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17.130</w:t>
                  </w:r>
                </w:p>
              </w:tc>
              <w:tc>
                <w:tcPr>
                  <w:tcW w:w="226" w:type="pct"/>
                  <w:vMerge w:val="continue"/>
                  <w:noWrap w:val="0"/>
                  <w:vAlign w:val="center"/>
                </w:tcPr>
                <w:p w14:paraId="37D47D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54CA87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715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6B8049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shd w:val="clear" w:color="auto" w:fill="auto"/>
                  <w:noWrap w:val="0"/>
                  <w:vAlign w:val="center"/>
                </w:tcPr>
                <w:p w14:paraId="3B4324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氮氧化物</w:t>
                  </w:r>
                </w:p>
              </w:tc>
              <w:tc>
                <w:tcPr>
                  <w:tcW w:w="216" w:type="pct"/>
                  <w:noWrap w:val="0"/>
                  <w:vAlign w:val="center"/>
                </w:tcPr>
                <w:p w14:paraId="0719085E">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68.900</w:t>
                  </w:r>
                </w:p>
              </w:tc>
              <w:tc>
                <w:tcPr>
                  <w:tcW w:w="228" w:type="pct"/>
                  <w:noWrap w:val="0"/>
                  <w:vAlign w:val="center"/>
                </w:tcPr>
                <w:p w14:paraId="1FBAC62E">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9.569</w:t>
                  </w:r>
                </w:p>
              </w:tc>
              <w:tc>
                <w:tcPr>
                  <w:tcW w:w="291" w:type="pct"/>
                  <w:noWrap w:val="0"/>
                  <w:vAlign w:val="center"/>
                </w:tcPr>
                <w:p w14:paraId="42D15C5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491.769</w:t>
                  </w:r>
                </w:p>
              </w:tc>
              <w:tc>
                <w:tcPr>
                  <w:tcW w:w="113" w:type="pct"/>
                  <w:vMerge w:val="continue"/>
                  <w:noWrap w:val="0"/>
                  <w:vAlign w:val="center"/>
                </w:tcPr>
                <w:p w14:paraId="67DD54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02ABB5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4DD163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1140D5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noWrap w:val="0"/>
                  <w:vAlign w:val="center"/>
                </w:tcPr>
                <w:p w14:paraId="6A518B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85</w:t>
                  </w:r>
                </w:p>
              </w:tc>
              <w:tc>
                <w:tcPr>
                  <w:tcW w:w="203" w:type="pct"/>
                  <w:noWrap w:val="0"/>
                  <w:vAlign w:val="center"/>
                </w:tcPr>
                <w:p w14:paraId="3446C4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2B215D7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10.335</w:t>
                  </w:r>
                </w:p>
              </w:tc>
              <w:tc>
                <w:tcPr>
                  <w:tcW w:w="198" w:type="pct"/>
                  <w:noWrap w:val="0"/>
                  <w:vAlign w:val="center"/>
                </w:tcPr>
                <w:p w14:paraId="79B32B1D">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1.435</w:t>
                  </w:r>
                </w:p>
              </w:tc>
              <w:tc>
                <w:tcPr>
                  <w:tcW w:w="213" w:type="pct"/>
                  <w:noWrap w:val="0"/>
                  <w:vAlign w:val="center"/>
                </w:tcPr>
                <w:p w14:paraId="671DFB2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79.956</w:t>
                  </w:r>
                </w:p>
              </w:tc>
              <w:tc>
                <w:tcPr>
                  <w:tcW w:w="226" w:type="pct"/>
                  <w:vMerge w:val="continue"/>
                  <w:noWrap w:val="0"/>
                  <w:vAlign w:val="center"/>
                </w:tcPr>
                <w:p w14:paraId="6EFCB2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350282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41A0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0DBFBB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shd w:val="clear" w:color="auto" w:fill="auto"/>
                  <w:noWrap w:val="0"/>
                  <w:vAlign w:val="center"/>
                </w:tcPr>
                <w:p w14:paraId="6AA711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氨</w:t>
                  </w:r>
                </w:p>
              </w:tc>
              <w:tc>
                <w:tcPr>
                  <w:tcW w:w="216" w:type="pct"/>
                  <w:noWrap w:val="0"/>
                  <w:vAlign w:val="center"/>
                </w:tcPr>
                <w:p w14:paraId="49374D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28" w:type="pct"/>
                  <w:noWrap w:val="0"/>
                  <w:vAlign w:val="center"/>
                </w:tcPr>
                <w:p w14:paraId="2D7B86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91" w:type="pct"/>
                  <w:noWrap w:val="0"/>
                  <w:vAlign w:val="center"/>
                </w:tcPr>
                <w:p w14:paraId="07F147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w:t>
                  </w:r>
                </w:p>
              </w:tc>
              <w:tc>
                <w:tcPr>
                  <w:tcW w:w="113" w:type="pct"/>
                  <w:vMerge w:val="continue"/>
                  <w:noWrap w:val="0"/>
                  <w:vAlign w:val="center"/>
                </w:tcPr>
                <w:p w14:paraId="16A64E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2FCAAC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20A9D9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74CF5C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noWrap w:val="0"/>
                  <w:vAlign w:val="center"/>
                </w:tcPr>
                <w:p w14:paraId="7BA47F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03" w:type="pct"/>
                  <w:noWrap w:val="0"/>
                  <w:vAlign w:val="center"/>
                </w:tcPr>
                <w:p w14:paraId="498F0D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117F4AD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0.322</w:t>
                  </w:r>
                </w:p>
              </w:tc>
              <w:tc>
                <w:tcPr>
                  <w:tcW w:w="198" w:type="pct"/>
                  <w:noWrap w:val="0"/>
                  <w:vAlign w:val="center"/>
                </w:tcPr>
                <w:p w14:paraId="2E1AA15C">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0.045</w:t>
                  </w:r>
                </w:p>
              </w:tc>
              <w:tc>
                <w:tcPr>
                  <w:tcW w:w="213" w:type="pct"/>
                  <w:noWrap w:val="0"/>
                  <w:vAlign w:val="center"/>
                </w:tcPr>
                <w:p w14:paraId="5F953D87">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2.300</w:t>
                  </w:r>
                </w:p>
              </w:tc>
              <w:tc>
                <w:tcPr>
                  <w:tcW w:w="226" w:type="pct"/>
                  <w:vMerge w:val="continue"/>
                  <w:noWrap w:val="0"/>
                  <w:vAlign w:val="center"/>
                </w:tcPr>
                <w:p w14:paraId="68A45C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7FAB87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544B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39FA90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shd w:val="clear" w:color="auto" w:fill="auto"/>
                  <w:noWrap w:val="0"/>
                  <w:vAlign w:val="center"/>
                </w:tcPr>
                <w:p w14:paraId="5AFA17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snapToGrid w:val="0"/>
                      <w:color w:val="auto"/>
                      <w:sz w:val="18"/>
                      <w:szCs w:val="18"/>
                      <w:highlight w:val="none"/>
                      <w:lang w:val="en-US" w:eastAsia="zh-CN"/>
                    </w:rPr>
                    <w:t>汞及其化合物</w:t>
                  </w:r>
                </w:p>
              </w:tc>
              <w:tc>
                <w:tcPr>
                  <w:tcW w:w="216" w:type="pct"/>
                  <w:noWrap w:val="0"/>
                  <w:vAlign w:val="center"/>
                </w:tcPr>
                <w:p w14:paraId="325C9C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28" w:type="pct"/>
                  <w:noWrap w:val="0"/>
                  <w:vAlign w:val="center"/>
                </w:tcPr>
                <w:p w14:paraId="641693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91" w:type="pct"/>
                  <w:noWrap w:val="0"/>
                  <w:vAlign w:val="center"/>
                </w:tcPr>
                <w:p w14:paraId="41F4D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w:t>
                  </w:r>
                </w:p>
              </w:tc>
              <w:tc>
                <w:tcPr>
                  <w:tcW w:w="113" w:type="pct"/>
                  <w:vMerge w:val="continue"/>
                  <w:noWrap w:val="0"/>
                  <w:vAlign w:val="center"/>
                </w:tcPr>
                <w:p w14:paraId="0E250B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059116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7A4B8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268653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noWrap w:val="0"/>
                  <w:vAlign w:val="center"/>
                </w:tcPr>
                <w:p w14:paraId="0CCAAE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03" w:type="pct"/>
                  <w:noWrap w:val="0"/>
                  <w:vAlign w:val="center"/>
                </w:tcPr>
                <w:p w14:paraId="694C92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16B32F75">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b w:val="0"/>
                      <w:bCs w:val="0"/>
                      <w:color w:val="auto"/>
                      <w:sz w:val="18"/>
                      <w:szCs w:val="18"/>
                      <w:highlight w:val="none"/>
                      <w:lang w:val="en-US" w:eastAsia="zh-CN"/>
                    </w:rPr>
                    <w:t>0.00</w:t>
                  </w:r>
                  <w:r>
                    <w:rPr>
                      <w:rFonts w:hint="default" w:ascii="Times New Roman" w:hAnsi="Times New Roman" w:cs="Times New Roman"/>
                      <w:b w:val="0"/>
                      <w:bCs w:val="0"/>
                      <w:color w:val="auto"/>
                      <w:sz w:val="18"/>
                      <w:szCs w:val="18"/>
                      <w:highlight w:val="none"/>
                      <w:lang w:val="en-US" w:eastAsia="zh-CN"/>
                    </w:rPr>
                    <w:t>0001</w:t>
                  </w:r>
                </w:p>
              </w:tc>
              <w:tc>
                <w:tcPr>
                  <w:tcW w:w="198" w:type="pct"/>
                  <w:noWrap w:val="0"/>
                  <w:vAlign w:val="center"/>
                </w:tcPr>
                <w:p w14:paraId="39650487">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w:t>
                  </w:r>
                  <w:r>
                    <w:rPr>
                      <w:rFonts w:hint="default" w:ascii="Times New Roman" w:hAnsi="Times New Roman" w:cs="Times New Roman"/>
                      <w:i w:val="0"/>
                      <w:iCs w:val="0"/>
                      <w:color w:val="000000"/>
                      <w:kern w:val="0"/>
                      <w:sz w:val="18"/>
                      <w:szCs w:val="18"/>
                      <w:u w:val="none"/>
                      <w:lang w:val="en-US" w:eastAsia="zh-CN" w:bidi="ar"/>
                    </w:rPr>
                    <w:t>00002</w:t>
                  </w:r>
                </w:p>
              </w:tc>
              <w:tc>
                <w:tcPr>
                  <w:tcW w:w="213" w:type="pct"/>
                  <w:noWrap w:val="0"/>
                  <w:vAlign w:val="center"/>
                </w:tcPr>
                <w:p w14:paraId="7EE4EA6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w:t>
                  </w:r>
                  <w:r>
                    <w:rPr>
                      <w:rFonts w:hint="default" w:ascii="Times New Roman" w:hAnsi="Times New Roman" w:cs="Times New Roman"/>
                      <w:i w:val="0"/>
                      <w:iCs w:val="0"/>
                      <w:color w:val="000000"/>
                      <w:kern w:val="0"/>
                      <w:sz w:val="18"/>
                      <w:szCs w:val="18"/>
                      <w:u w:val="none"/>
                      <w:lang w:val="en-US" w:eastAsia="zh-CN" w:bidi="ar"/>
                    </w:rPr>
                    <w:t>00011</w:t>
                  </w:r>
                </w:p>
              </w:tc>
              <w:tc>
                <w:tcPr>
                  <w:tcW w:w="226" w:type="pct"/>
                  <w:vMerge w:val="continue"/>
                  <w:noWrap w:val="0"/>
                  <w:vAlign w:val="center"/>
                </w:tcPr>
                <w:p w14:paraId="49E742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4806C4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1A04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181B4A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177" w:type="pct"/>
                  <w:noWrap w:val="0"/>
                  <w:vAlign w:val="center"/>
                </w:tcPr>
                <w:p w14:paraId="6EB307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snapToGrid w:val="0"/>
                      <w:color w:val="auto"/>
                      <w:sz w:val="18"/>
                      <w:szCs w:val="18"/>
                      <w:highlight w:val="none"/>
                      <w:lang w:val="en-US" w:eastAsia="zh-CN"/>
                    </w:rPr>
                    <w:t>烟气黑度</w:t>
                  </w:r>
                </w:p>
              </w:tc>
              <w:tc>
                <w:tcPr>
                  <w:tcW w:w="216" w:type="pct"/>
                  <w:noWrap w:val="0"/>
                  <w:vAlign w:val="center"/>
                </w:tcPr>
                <w:p w14:paraId="2BD998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28" w:type="pct"/>
                  <w:noWrap w:val="0"/>
                  <w:vAlign w:val="center"/>
                </w:tcPr>
                <w:p w14:paraId="748BF2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91" w:type="pct"/>
                  <w:noWrap w:val="0"/>
                  <w:vAlign w:val="center"/>
                </w:tcPr>
                <w:p w14:paraId="2DF831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kern w:val="2"/>
                      <w:sz w:val="18"/>
                      <w:szCs w:val="18"/>
                      <w:highlight w:val="none"/>
                      <w:lang w:val="en-US" w:eastAsia="zh-CN" w:bidi="ar-SA"/>
                    </w:rPr>
                    <w:t>/</w:t>
                  </w:r>
                </w:p>
              </w:tc>
              <w:tc>
                <w:tcPr>
                  <w:tcW w:w="113" w:type="pct"/>
                  <w:vMerge w:val="continue"/>
                  <w:noWrap w:val="0"/>
                  <w:vAlign w:val="center"/>
                </w:tcPr>
                <w:p w14:paraId="6417EC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vMerge w:val="continue"/>
                  <w:noWrap w:val="0"/>
                  <w:vAlign w:val="center"/>
                </w:tcPr>
                <w:p w14:paraId="70D993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vMerge w:val="continue"/>
                  <w:noWrap w:val="0"/>
                  <w:vAlign w:val="center"/>
                </w:tcPr>
                <w:p w14:paraId="62835E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10" w:type="pct"/>
                  <w:vMerge w:val="continue"/>
                  <w:noWrap w:val="0"/>
                  <w:vAlign w:val="center"/>
                </w:tcPr>
                <w:p w14:paraId="12112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266" w:type="pct"/>
                  <w:noWrap w:val="0"/>
                  <w:vAlign w:val="center"/>
                </w:tcPr>
                <w:p w14:paraId="405BBD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03" w:type="pct"/>
                  <w:noWrap w:val="0"/>
                  <w:vAlign w:val="center"/>
                </w:tcPr>
                <w:p w14:paraId="495851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12" w:type="pct"/>
                  <w:noWrap w:val="0"/>
                  <w:vAlign w:val="center"/>
                </w:tcPr>
                <w:p w14:paraId="712E2086">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198" w:type="pct"/>
                  <w:noWrap w:val="0"/>
                  <w:vAlign w:val="center"/>
                </w:tcPr>
                <w:p w14:paraId="524975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213" w:type="pct"/>
                  <w:noWrap w:val="0"/>
                  <w:vAlign w:val="center"/>
                </w:tcPr>
                <w:p w14:paraId="0609EF1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226" w:type="pct"/>
                  <w:vMerge w:val="continue"/>
                  <w:noWrap w:val="0"/>
                  <w:vAlign w:val="center"/>
                </w:tcPr>
                <w:p w14:paraId="424DF8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613" w:type="pct"/>
                  <w:vMerge w:val="continue"/>
                  <w:noWrap w:val="0"/>
                  <w:vAlign w:val="center"/>
                </w:tcPr>
                <w:p w14:paraId="72E039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p>
              </w:tc>
            </w:tr>
            <w:tr w14:paraId="21E9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shd w:val="clear" w:color="auto" w:fill="auto"/>
                  <w:noWrap w:val="0"/>
                  <w:vAlign w:val="center"/>
                </w:tcPr>
                <w:p w14:paraId="72CD2511">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sz w:val="18"/>
                      <w:szCs w:val="18"/>
                      <w:highlight w:val="none"/>
                      <w:lang w:eastAsia="zh-CN"/>
                    </w:rPr>
                    <w:t>免烧砖工序</w:t>
                  </w:r>
                  <w:r>
                    <w:rPr>
                      <w:rFonts w:hint="default" w:ascii="Times New Roman" w:hAnsi="Times New Roman" w:eastAsia="宋体" w:cs="Times New Roman"/>
                      <w:color w:val="auto"/>
                      <w:sz w:val="18"/>
                      <w:szCs w:val="18"/>
                      <w:highlight w:val="none"/>
                      <w:lang w:val="en-US" w:eastAsia="zh-CN"/>
                    </w:rPr>
                    <w:t>破碎</w:t>
                  </w:r>
                  <w:r>
                    <w:rPr>
                      <w:rFonts w:hint="default" w:ascii="Times New Roman" w:hAnsi="Times New Roman" w:eastAsia="宋体" w:cs="Times New Roman"/>
                      <w:color w:val="auto"/>
                      <w:sz w:val="18"/>
                      <w:szCs w:val="18"/>
                      <w:highlight w:val="none"/>
                      <w:lang w:eastAsia="zh-CN"/>
                    </w:rPr>
                    <w:t>、搅拌、</w:t>
                  </w:r>
                  <w:r>
                    <w:rPr>
                      <w:rFonts w:hint="default" w:ascii="Times New Roman" w:hAnsi="Times New Roman" w:eastAsia="宋体" w:cs="Times New Roman"/>
                      <w:color w:val="auto"/>
                      <w:sz w:val="18"/>
                      <w:szCs w:val="18"/>
                      <w:highlight w:val="none"/>
                      <w:lang w:val="en-US" w:eastAsia="zh-CN"/>
                    </w:rPr>
                    <w:t>水泥仓、粉煤灰仓废气</w:t>
                  </w:r>
                </w:p>
              </w:tc>
              <w:tc>
                <w:tcPr>
                  <w:tcW w:w="177" w:type="pct"/>
                  <w:shd w:val="clear" w:color="auto" w:fill="auto"/>
                  <w:noWrap w:val="0"/>
                  <w:vAlign w:val="center"/>
                </w:tcPr>
                <w:p w14:paraId="66B1BFDD">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颗粒物</w:t>
                  </w:r>
                </w:p>
              </w:tc>
              <w:tc>
                <w:tcPr>
                  <w:tcW w:w="216" w:type="pct"/>
                  <w:noWrap w:val="0"/>
                  <w:vAlign w:val="center"/>
                </w:tcPr>
                <w:p w14:paraId="1783CB80">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34.442</w:t>
                  </w:r>
                </w:p>
              </w:tc>
              <w:tc>
                <w:tcPr>
                  <w:tcW w:w="228" w:type="pct"/>
                  <w:noWrap w:val="0"/>
                  <w:vAlign w:val="center"/>
                </w:tcPr>
                <w:p w14:paraId="54590AA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5.980</w:t>
                  </w:r>
                </w:p>
              </w:tc>
              <w:tc>
                <w:tcPr>
                  <w:tcW w:w="291" w:type="pct"/>
                  <w:noWrap w:val="0"/>
                  <w:vAlign w:val="center"/>
                </w:tcPr>
                <w:p w14:paraId="3357BDE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cs="Times New Roman"/>
                      <w:i w:val="0"/>
                      <w:iCs w:val="0"/>
                      <w:color w:val="000000"/>
                      <w:kern w:val="0"/>
                      <w:sz w:val="18"/>
                      <w:szCs w:val="18"/>
                      <w:u w:val="none"/>
                      <w:lang w:val="en-US" w:eastAsia="zh-CN" w:bidi="ar"/>
                    </w:rPr>
                    <w:t>298.978</w:t>
                  </w:r>
                </w:p>
              </w:tc>
              <w:tc>
                <w:tcPr>
                  <w:tcW w:w="113" w:type="pct"/>
                  <w:vMerge w:val="continue"/>
                  <w:noWrap w:val="0"/>
                  <w:vAlign w:val="center"/>
                </w:tcPr>
                <w:p w14:paraId="5EDF14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p>
              </w:tc>
              <w:tc>
                <w:tcPr>
                  <w:tcW w:w="987" w:type="pct"/>
                  <w:noWrap w:val="0"/>
                  <w:vAlign w:val="center"/>
                </w:tcPr>
                <w:p w14:paraId="0E9193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b w:val="0"/>
                      <w:bCs w:val="0"/>
                      <w:color w:val="auto"/>
                      <w:sz w:val="18"/>
                      <w:szCs w:val="18"/>
                      <w:lang w:val="en-US" w:eastAsia="zh-CN"/>
                    </w:rPr>
                    <w:t>“脉冲式布袋除尘器”装置处理，处理后经排气筒DA004排放</w:t>
                  </w:r>
                </w:p>
              </w:tc>
              <w:tc>
                <w:tcPr>
                  <w:tcW w:w="282" w:type="pct"/>
                  <w:noWrap w:val="0"/>
                  <w:vAlign w:val="center"/>
                </w:tcPr>
                <w:p w14:paraId="55B635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16000</w:t>
                  </w:r>
                </w:p>
              </w:tc>
              <w:tc>
                <w:tcPr>
                  <w:tcW w:w="210" w:type="pct"/>
                  <w:noWrap w:val="0"/>
                  <w:vAlign w:val="center"/>
                </w:tcPr>
                <w:p w14:paraId="29E0EE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95</w:t>
                  </w:r>
                </w:p>
              </w:tc>
              <w:tc>
                <w:tcPr>
                  <w:tcW w:w="266" w:type="pct"/>
                  <w:noWrap w:val="0"/>
                  <w:vAlign w:val="center"/>
                </w:tcPr>
                <w:p w14:paraId="40BD83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98</w:t>
                  </w:r>
                </w:p>
              </w:tc>
              <w:tc>
                <w:tcPr>
                  <w:tcW w:w="203" w:type="pct"/>
                  <w:noWrap w:val="0"/>
                  <w:vAlign w:val="center"/>
                </w:tcPr>
                <w:p w14:paraId="34BB22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3D6316F2">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0.689</w:t>
                  </w:r>
                </w:p>
              </w:tc>
              <w:tc>
                <w:tcPr>
                  <w:tcW w:w="198" w:type="pct"/>
                  <w:noWrap w:val="0"/>
                  <w:vAlign w:val="center"/>
                </w:tcPr>
                <w:p w14:paraId="5922CA8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0.096</w:t>
                  </w:r>
                </w:p>
              </w:tc>
              <w:tc>
                <w:tcPr>
                  <w:tcW w:w="213" w:type="pct"/>
                  <w:noWrap w:val="0"/>
                  <w:vAlign w:val="center"/>
                </w:tcPr>
                <w:p w14:paraId="6CA08674">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5.980</w:t>
                  </w:r>
                </w:p>
              </w:tc>
              <w:tc>
                <w:tcPr>
                  <w:tcW w:w="226" w:type="pct"/>
                  <w:noWrap w:val="0"/>
                  <w:vAlign w:val="center"/>
                </w:tcPr>
                <w:p w14:paraId="733696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DA004</w:t>
                  </w:r>
                </w:p>
              </w:tc>
              <w:tc>
                <w:tcPr>
                  <w:tcW w:w="613" w:type="pct"/>
                  <w:noWrap w:val="0"/>
                  <w:vAlign w:val="center"/>
                </w:tcPr>
                <w:p w14:paraId="317E2D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b w:val="0"/>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参照执行</w:t>
                  </w: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w:t>
                  </w:r>
                </w:p>
              </w:tc>
            </w:tr>
            <w:tr w14:paraId="5B1A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noWrap w:val="0"/>
                  <w:vAlign w:val="center"/>
                </w:tcPr>
                <w:p w14:paraId="55442B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物料堆存、装卸废气、生产车间未被收集的</w:t>
                  </w:r>
                </w:p>
              </w:tc>
              <w:tc>
                <w:tcPr>
                  <w:tcW w:w="177" w:type="pct"/>
                  <w:noWrap w:val="0"/>
                  <w:vAlign w:val="center"/>
                </w:tcPr>
                <w:p w14:paraId="616F46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颗粒物</w:t>
                  </w:r>
                </w:p>
              </w:tc>
              <w:tc>
                <w:tcPr>
                  <w:tcW w:w="216" w:type="pct"/>
                  <w:noWrap w:val="0"/>
                  <w:vAlign w:val="center"/>
                </w:tcPr>
                <w:p w14:paraId="324FA0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sz w:val="18"/>
                      <w:szCs w:val="18"/>
                      <w:highlight w:val="none"/>
                      <w:u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8" w:type="pct"/>
                  <w:noWrap w:val="0"/>
                  <w:vAlign w:val="center"/>
                </w:tcPr>
                <w:p w14:paraId="0FB5B2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sz w:val="18"/>
                      <w:szCs w:val="18"/>
                      <w:highlight w:val="none"/>
                      <w:u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91" w:type="pct"/>
                  <w:noWrap w:val="0"/>
                  <w:vAlign w:val="center"/>
                </w:tcPr>
                <w:p w14:paraId="126F5D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113" w:type="pct"/>
                  <w:vMerge w:val="restart"/>
                  <w:noWrap w:val="0"/>
                  <w:vAlign w:val="center"/>
                </w:tcPr>
                <w:p w14:paraId="3C68BF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color w:val="000000"/>
                      <w:kern w:val="0"/>
                      <w:sz w:val="18"/>
                      <w:szCs w:val="18"/>
                      <w:highlight w:val="none"/>
                      <w:lang w:val="en-US" w:eastAsia="zh-CN" w:bidi="ar"/>
                    </w:rPr>
                    <w:t>无组织</w:t>
                  </w:r>
                </w:p>
              </w:tc>
              <w:tc>
                <w:tcPr>
                  <w:tcW w:w="987" w:type="pct"/>
                  <w:noWrap w:val="0"/>
                  <w:vAlign w:val="center"/>
                </w:tcPr>
                <w:p w14:paraId="79128C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color w:val="000000"/>
                      <w:sz w:val="18"/>
                      <w:szCs w:val="18"/>
                      <w:highlight w:val="none"/>
                      <w:lang w:val="en-US" w:eastAsia="zh-CN" w:bidi="ar"/>
                    </w:rPr>
                    <w:t>设置封闭的生产车间，原料区采用雾炮及环保高压微雾降尘系统喷雾抑尘；车间出入口设置自动感应门，出口设置洗车平台；物料进出口采取快速</w:t>
                  </w:r>
                  <w:r>
                    <w:rPr>
                      <w:rFonts w:hint="default" w:ascii="Times New Roman" w:hAnsi="Times New Roman" w:cs="Times New Roman"/>
                      <w:color w:val="000000"/>
                      <w:sz w:val="18"/>
                      <w:szCs w:val="18"/>
                      <w:highlight w:val="none"/>
                      <w:lang w:val="en-US" w:eastAsia="zh-CN" w:bidi="ar"/>
                    </w:rPr>
                    <w:t>启闭</w:t>
                  </w:r>
                  <w:r>
                    <w:rPr>
                      <w:rFonts w:hint="default" w:ascii="Times New Roman" w:hAnsi="Times New Roman" w:eastAsia="宋体" w:cs="Times New Roman"/>
                      <w:color w:val="000000"/>
                      <w:sz w:val="18"/>
                      <w:szCs w:val="18"/>
                      <w:highlight w:val="none"/>
                      <w:lang w:val="en-US" w:eastAsia="zh-CN" w:bidi="ar"/>
                    </w:rPr>
                    <w:t>门等方式，保证无明显粉尘</w:t>
                  </w:r>
                  <w:r>
                    <w:rPr>
                      <w:rFonts w:hint="eastAsia" w:cs="Times New Roman"/>
                      <w:color w:val="000000"/>
                      <w:sz w:val="18"/>
                      <w:szCs w:val="18"/>
                      <w:highlight w:val="none"/>
                      <w:lang w:val="en-US" w:eastAsia="zh-CN" w:bidi="ar"/>
                    </w:rPr>
                    <w:t>外溢</w:t>
                  </w:r>
                  <w:r>
                    <w:rPr>
                      <w:rFonts w:hint="default" w:ascii="Times New Roman" w:hAnsi="Times New Roman" w:eastAsia="宋体" w:cs="Times New Roman"/>
                      <w:color w:val="000000"/>
                      <w:sz w:val="18"/>
                      <w:szCs w:val="18"/>
                      <w:highlight w:val="none"/>
                      <w:lang w:val="en-US" w:eastAsia="zh-CN" w:bidi="ar"/>
                    </w:rPr>
                    <w:t>；物料采用皮带等方式输送，封闭式建设；物料转载、下料等区域局部封闭，并配置布袋除尘器；</w:t>
                  </w:r>
                  <w:r>
                    <w:rPr>
                      <w:rFonts w:hint="default" w:ascii="Times New Roman" w:hAnsi="Times New Roman" w:eastAsia="宋体" w:cs="Times New Roman"/>
                      <w:color w:val="000000"/>
                      <w:sz w:val="18"/>
                      <w:szCs w:val="18"/>
                      <w:highlight w:val="none"/>
                    </w:rPr>
                    <w:t>除尘器设置密闭灰区并及时卸灰，除尘灰袋装收集后</w:t>
                  </w:r>
                  <w:r>
                    <w:rPr>
                      <w:rFonts w:hint="default" w:ascii="Times New Roman" w:hAnsi="Times New Roman" w:eastAsia="宋体" w:cs="Times New Roman"/>
                      <w:color w:val="000000"/>
                      <w:sz w:val="18"/>
                      <w:szCs w:val="18"/>
                      <w:highlight w:val="none"/>
                      <w:lang w:eastAsia="zh-CN"/>
                    </w:rPr>
                    <w:t>回用于生产</w:t>
                  </w:r>
                </w:p>
              </w:tc>
              <w:tc>
                <w:tcPr>
                  <w:tcW w:w="282" w:type="pct"/>
                  <w:noWrap w:val="0"/>
                  <w:vAlign w:val="center"/>
                </w:tcPr>
                <w:p w14:paraId="145FD0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10" w:type="pct"/>
                  <w:noWrap w:val="0"/>
                  <w:vAlign w:val="center"/>
                </w:tcPr>
                <w:p w14:paraId="61DCE5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66" w:type="pct"/>
                  <w:noWrap w:val="0"/>
                  <w:vAlign w:val="center"/>
                </w:tcPr>
                <w:p w14:paraId="31ECD3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89.6</w:t>
                  </w:r>
                </w:p>
              </w:tc>
              <w:tc>
                <w:tcPr>
                  <w:tcW w:w="203" w:type="pct"/>
                  <w:noWrap w:val="0"/>
                  <w:vAlign w:val="center"/>
                </w:tcPr>
                <w:p w14:paraId="7F5F70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bookmarkStart w:id="9" w:name="OLE_LINK52"/>
                  <w:r>
                    <w:rPr>
                      <w:rFonts w:hint="default" w:ascii="Times New Roman" w:hAnsi="Times New Roman" w:eastAsia="宋体" w:cs="Times New Roman"/>
                      <w:color w:val="000000"/>
                      <w:sz w:val="18"/>
                      <w:szCs w:val="18"/>
                      <w:highlight w:val="none"/>
                      <w:lang w:val="en-US" w:eastAsia="zh-CN"/>
                    </w:rPr>
                    <w:t>是</w:t>
                  </w:r>
                  <w:bookmarkEnd w:id="9"/>
                </w:p>
              </w:tc>
              <w:tc>
                <w:tcPr>
                  <w:tcW w:w="212" w:type="pct"/>
                  <w:noWrap w:val="0"/>
                  <w:vAlign w:val="center"/>
                </w:tcPr>
                <w:p w14:paraId="116BDF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198" w:type="pct"/>
                  <w:noWrap w:val="0"/>
                  <w:vAlign w:val="center"/>
                </w:tcPr>
                <w:p w14:paraId="15907E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13" w:type="pct"/>
                  <w:noWrap w:val="0"/>
                  <w:vAlign w:val="center"/>
                </w:tcPr>
                <w:p w14:paraId="6E63A4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6" w:type="pct"/>
                  <w:noWrap w:val="0"/>
                  <w:vAlign w:val="center"/>
                </w:tcPr>
                <w:p w14:paraId="56F898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613" w:type="pct"/>
                  <w:noWrap w:val="0"/>
                  <w:vAlign w:val="center"/>
                </w:tcPr>
                <w:p w14:paraId="290F47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表2中浓度限值要求</w:t>
                  </w:r>
                </w:p>
              </w:tc>
            </w:tr>
            <w:tr w14:paraId="4EFB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restart"/>
                  <w:noWrap w:val="0"/>
                  <w:vAlign w:val="center"/>
                </w:tcPr>
                <w:p w14:paraId="70253A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物料堆存、装卸废气、生产车间未被收集的</w:t>
                  </w:r>
                </w:p>
              </w:tc>
              <w:tc>
                <w:tcPr>
                  <w:tcW w:w="177" w:type="pct"/>
                  <w:noWrap w:val="0"/>
                  <w:vAlign w:val="center"/>
                </w:tcPr>
                <w:p w14:paraId="364C20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氨</w:t>
                  </w:r>
                </w:p>
              </w:tc>
              <w:tc>
                <w:tcPr>
                  <w:tcW w:w="216" w:type="pct"/>
                  <w:noWrap w:val="0"/>
                  <w:vAlign w:val="center"/>
                </w:tcPr>
                <w:p w14:paraId="396623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top"/>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8" w:type="pct"/>
                  <w:noWrap w:val="0"/>
                  <w:vAlign w:val="center"/>
                </w:tcPr>
                <w:p w14:paraId="0E2493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top"/>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91" w:type="pct"/>
                  <w:noWrap w:val="0"/>
                  <w:vAlign w:val="center"/>
                </w:tcPr>
                <w:p w14:paraId="637FF1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113" w:type="pct"/>
                  <w:vMerge w:val="continue"/>
                  <w:noWrap w:val="0"/>
                  <w:vAlign w:val="center"/>
                </w:tcPr>
                <w:p w14:paraId="0EEFAF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bidi="ar"/>
                    </w:rPr>
                  </w:pPr>
                </w:p>
              </w:tc>
              <w:tc>
                <w:tcPr>
                  <w:tcW w:w="987" w:type="pct"/>
                  <w:vMerge w:val="restart"/>
                  <w:noWrap w:val="0"/>
                  <w:vAlign w:val="center"/>
                </w:tcPr>
                <w:p w14:paraId="3B85AE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r>
                    <w:rPr>
                      <w:rFonts w:hint="default" w:ascii="Times New Roman" w:hAnsi="Times New Roman" w:eastAsia="宋体" w:cs="Times New Roman"/>
                      <w:color w:val="000000"/>
                      <w:sz w:val="18"/>
                      <w:szCs w:val="18"/>
                      <w:highlight w:val="none"/>
                      <w:lang w:val="en-US" w:eastAsia="zh-CN" w:bidi="ar"/>
                    </w:rPr>
                    <w:t>设置封闭的生产车间，设置喷淋系统定期喷淋除臭剂，车间出入口设置自动感应门，出口设置洗车平台；物料进出口采取快速</w:t>
                  </w:r>
                  <w:r>
                    <w:rPr>
                      <w:rFonts w:hint="default" w:ascii="Times New Roman" w:hAnsi="Times New Roman" w:cs="Times New Roman"/>
                      <w:color w:val="000000"/>
                      <w:sz w:val="18"/>
                      <w:szCs w:val="18"/>
                      <w:highlight w:val="none"/>
                      <w:lang w:val="en-US" w:eastAsia="zh-CN" w:bidi="ar"/>
                    </w:rPr>
                    <w:t>启闭</w:t>
                  </w:r>
                  <w:r>
                    <w:rPr>
                      <w:rFonts w:hint="default" w:ascii="Times New Roman" w:hAnsi="Times New Roman" w:eastAsia="宋体" w:cs="Times New Roman"/>
                      <w:color w:val="000000"/>
                      <w:sz w:val="18"/>
                      <w:szCs w:val="18"/>
                      <w:highlight w:val="none"/>
                      <w:lang w:val="en-US" w:eastAsia="zh-CN" w:bidi="ar"/>
                    </w:rPr>
                    <w:t>门等方式</w:t>
                  </w:r>
                </w:p>
              </w:tc>
              <w:tc>
                <w:tcPr>
                  <w:tcW w:w="282" w:type="pct"/>
                  <w:noWrap w:val="0"/>
                  <w:vAlign w:val="center"/>
                </w:tcPr>
                <w:p w14:paraId="3F9A34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10" w:type="pct"/>
                  <w:noWrap w:val="0"/>
                  <w:vAlign w:val="center"/>
                </w:tcPr>
                <w:p w14:paraId="7DCBB1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66" w:type="pct"/>
                  <w:noWrap w:val="0"/>
                  <w:vAlign w:val="center"/>
                </w:tcPr>
                <w:p w14:paraId="392396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03" w:type="pct"/>
                  <w:noWrap w:val="0"/>
                  <w:vAlign w:val="center"/>
                </w:tcPr>
                <w:p w14:paraId="3DC4E7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4A1F36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auto"/>
                      <w:sz w:val="18"/>
                      <w:szCs w:val="18"/>
                      <w:highlight w:val="none"/>
                      <w:lang w:val="en-US" w:eastAsia="zh-CN"/>
                    </w:rPr>
                    <w:t>2.417</w:t>
                  </w:r>
                </w:p>
              </w:tc>
              <w:tc>
                <w:tcPr>
                  <w:tcW w:w="198" w:type="pct"/>
                  <w:noWrap w:val="0"/>
                  <w:vAlign w:val="center"/>
                </w:tcPr>
                <w:p w14:paraId="53DB06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0.298</w:t>
                  </w:r>
                </w:p>
              </w:tc>
              <w:tc>
                <w:tcPr>
                  <w:tcW w:w="213" w:type="pct"/>
                  <w:noWrap w:val="0"/>
                  <w:vAlign w:val="center"/>
                </w:tcPr>
                <w:p w14:paraId="505FB4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6" w:type="pct"/>
                  <w:noWrap w:val="0"/>
                  <w:vAlign w:val="center"/>
                </w:tcPr>
                <w:p w14:paraId="309136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613" w:type="pct"/>
                  <w:vMerge w:val="restart"/>
                  <w:noWrap w:val="0"/>
                  <w:vAlign w:val="center"/>
                </w:tcPr>
                <w:p w14:paraId="3557CA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b w:val="0"/>
                      <w:bCs w:val="0"/>
                      <w:color w:val="auto"/>
                      <w:sz w:val="18"/>
                      <w:szCs w:val="18"/>
                      <w:highlight w:val="none"/>
                    </w:rPr>
                    <w:t>《恶臭污染物排放标准</w:t>
                  </w:r>
                  <w:r>
                    <w:rPr>
                      <w:rFonts w:hint="eastAsia" w:ascii="Times New Roman"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GB14554-1993</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表1二级标准限值</w:t>
                  </w:r>
                </w:p>
              </w:tc>
            </w:tr>
            <w:tr w14:paraId="08C2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6C6E26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p>
              </w:tc>
              <w:tc>
                <w:tcPr>
                  <w:tcW w:w="177" w:type="pct"/>
                  <w:noWrap w:val="0"/>
                  <w:vAlign w:val="center"/>
                </w:tcPr>
                <w:p w14:paraId="5831D5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硫化氢</w:t>
                  </w:r>
                </w:p>
              </w:tc>
              <w:tc>
                <w:tcPr>
                  <w:tcW w:w="216" w:type="pct"/>
                  <w:noWrap w:val="0"/>
                  <w:vAlign w:val="center"/>
                </w:tcPr>
                <w:p w14:paraId="2474C7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top"/>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8" w:type="pct"/>
                  <w:noWrap w:val="0"/>
                  <w:vAlign w:val="center"/>
                </w:tcPr>
                <w:p w14:paraId="526E63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top"/>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91" w:type="pct"/>
                  <w:noWrap w:val="0"/>
                  <w:vAlign w:val="center"/>
                </w:tcPr>
                <w:p w14:paraId="7C0F90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113" w:type="pct"/>
                  <w:vMerge w:val="continue"/>
                  <w:noWrap w:val="0"/>
                  <w:vAlign w:val="center"/>
                </w:tcPr>
                <w:p w14:paraId="664D8D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bidi="ar"/>
                    </w:rPr>
                  </w:pPr>
                </w:p>
              </w:tc>
              <w:tc>
                <w:tcPr>
                  <w:tcW w:w="987" w:type="pct"/>
                  <w:vMerge w:val="continue"/>
                  <w:noWrap w:val="0"/>
                  <w:vAlign w:val="center"/>
                </w:tcPr>
                <w:p w14:paraId="0D3977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noWrap w:val="0"/>
                  <w:vAlign w:val="center"/>
                </w:tcPr>
                <w:p w14:paraId="16A613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10" w:type="pct"/>
                  <w:noWrap w:val="0"/>
                  <w:vAlign w:val="center"/>
                </w:tcPr>
                <w:p w14:paraId="3FAB1A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66" w:type="pct"/>
                  <w:noWrap w:val="0"/>
                  <w:vAlign w:val="center"/>
                </w:tcPr>
                <w:p w14:paraId="30B722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03" w:type="pct"/>
                  <w:noWrap w:val="0"/>
                  <w:vAlign w:val="center"/>
                </w:tcPr>
                <w:p w14:paraId="747C6C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269944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auto"/>
                      <w:sz w:val="18"/>
                      <w:szCs w:val="18"/>
                      <w:highlight w:val="none"/>
                      <w:lang w:val="en-US" w:eastAsia="zh-CN"/>
                    </w:rPr>
                    <w:t>0.521</w:t>
                  </w:r>
                </w:p>
              </w:tc>
              <w:tc>
                <w:tcPr>
                  <w:tcW w:w="198" w:type="pct"/>
                  <w:noWrap w:val="0"/>
                  <w:vAlign w:val="center"/>
                </w:tcPr>
                <w:p w14:paraId="64FA787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i w:val="0"/>
                      <w:iCs w:val="0"/>
                      <w:color w:val="000000"/>
                      <w:kern w:val="0"/>
                      <w:sz w:val="18"/>
                      <w:szCs w:val="18"/>
                      <w:u w:val="none"/>
                      <w:lang w:val="en-US" w:eastAsia="zh-CN" w:bidi="ar"/>
                    </w:rPr>
                    <w:t>0.072</w:t>
                  </w:r>
                </w:p>
              </w:tc>
              <w:tc>
                <w:tcPr>
                  <w:tcW w:w="213" w:type="pct"/>
                  <w:noWrap w:val="0"/>
                  <w:vAlign w:val="center"/>
                </w:tcPr>
                <w:p w14:paraId="7AF386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6" w:type="pct"/>
                  <w:noWrap w:val="0"/>
                  <w:vAlign w:val="center"/>
                </w:tcPr>
                <w:p w14:paraId="2C89EE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613" w:type="pct"/>
                  <w:vMerge w:val="continue"/>
                  <w:noWrap w:val="0"/>
                  <w:vAlign w:val="center"/>
                </w:tcPr>
                <w:p w14:paraId="0B4C23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r>
            <w:tr w14:paraId="65BD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60" w:type="pct"/>
                  <w:vMerge w:val="continue"/>
                  <w:noWrap w:val="0"/>
                  <w:vAlign w:val="center"/>
                </w:tcPr>
                <w:p w14:paraId="728F15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eastAsia="宋体" w:cs="Times New Roman"/>
                      <w:i w:val="0"/>
                      <w:iCs w:val="0"/>
                      <w:color w:val="000000"/>
                      <w:kern w:val="0"/>
                      <w:sz w:val="18"/>
                      <w:szCs w:val="18"/>
                      <w:highlight w:val="none"/>
                      <w:u w:val="none"/>
                      <w:lang w:val="en-US" w:eastAsia="zh-CN" w:bidi="ar"/>
                    </w:rPr>
                  </w:pPr>
                </w:p>
              </w:tc>
              <w:tc>
                <w:tcPr>
                  <w:tcW w:w="177" w:type="pct"/>
                  <w:noWrap w:val="0"/>
                  <w:vAlign w:val="center"/>
                </w:tcPr>
                <w:p w14:paraId="02B5F1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臭气浓度</w:t>
                  </w:r>
                </w:p>
              </w:tc>
              <w:tc>
                <w:tcPr>
                  <w:tcW w:w="216" w:type="pct"/>
                  <w:noWrap w:val="0"/>
                  <w:vAlign w:val="center"/>
                </w:tcPr>
                <w:p w14:paraId="111396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top"/>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8" w:type="pct"/>
                  <w:noWrap w:val="0"/>
                  <w:vAlign w:val="center"/>
                </w:tcPr>
                <w:p w14:paraId="06D08C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top"/>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91" w:type="pct"/>
                  <w:noWrap w:val="0"/>
                  <w:vAlign w:val="center"/>
                </w:tcPr>
                <w:p w14:paraId="2AA791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113" w:type="pct"/>
                  <w:vMerge w:val="continue"/>
                  <w:noWrap w:val="0"/>
                  <w:vAlign w:val="center"/>
                </w:tcPr>
                <w:p w14:paraId="735AA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bidi="ar"/>
                    </w:rPr>
                  </w:pPr>
                </w:p>
              </w:tc>
              <w:tc>
                <w:tcPr>
                  <w:tcW w:w="987" w:type="pct"/>
                  <w:vMerge w:val="continue"/>
                  <w:noWrap w:val="0"/>
                  <w:vAlign w:val="center"/>
                </w:tcPr>
                <w:p w14:paraId="0F7531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kern w:val="0"/>
                      <w:sz w:val="18"/>
                      <w:szCs w:val="18"/>
                      <w:highlight w:val="none"/>
                      <w:lang w:val="en-US" w:eastAsia="zh-CN" w:bidi="ar"/>
                    </w:rPr>
                  </w:pPr>
                </w:p>
              </w:tc>
              <w:tc>
                <w:tcPr>
                  <w:tcW w:w="282" w:type="pct"/>
                  <w:noWrap w:val="0"/>
                  <w:vAlign w:val="center"/>
                </w:tcPr>
                <w:p w14:paraId="4F8DC7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10" w:type="pct"/>
                  <w:noWrap w:val="0"/>
                  <w:vAlign w:val="center"/>
                </w:tcPr>
                <w:p w14:paraId="224212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66" w:type="pct"/>
                  <w:noWrap w:val="0"/>
                  <w:vAlign w:val="center"/>
                </w:tcPr>
                <w:p w14:paraId="567456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03" w:type="pct"/>
                  <w:noWrap w:val="0"/>
                  <w:vAlign w:val="center"/>
                </w:tcPr>
                <w:p w14:paraId="6FA0C8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是</w:t>
                  </w:r>
                </w:p>
              </w:tc>
              <w:tc>
                <w:tcPr>
                  <w:tcW w:w="212" w:type="pct"/>
                  <w:noWrap w:val="0"/>
                  <w:vAlign w:val="center"/>
                </w:tcPr>
                <w:p w14:paraId="29C5D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auto"/>
                      <w:sz w:val="18"/>
                      <w:szCs w:val="18"/>
                      <w:highlight w:val="none"/>
                      <w:lang w:val="en-US" w:eastAsia="zh-CN"/>
                    </w:rPr>
                    <w:t>0.027</w:t>
                  </w:r>
                </w:p>
              </w:tc>
              <w:tc>
                <w:tcPr>
                  <w:tcW w:w="198" w:type="pct"/>
                  <w:noWrap w:val="0"/>
                  <w:vAlign w:val="center"/>
                </w:tcPr>
                <w:p w14:paraId="6B192C2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jc w:val="center"/>
                    <w:textAlignment w:val="center"/>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i w:val="0"/>
                      <w:iCs w:val="0"/>
                      <w:color w:val="000000"/>
                      <w:kern w:val="0"/>
                      <w:sz w:val="18"/>
                      <w:szCs w:val="18"/>
                      <w:u w:val="none"/>
                      <w:lang w:val="en-US" w:eastAsia="zh-CN" w:bidi="ar"/>
                    </w:rPr>
                    <w:t>0.004</w:t>
                  </w:r>
                </w:p>
              </w:tc>
              <w:tc>
                <w:tcPr>
                  <w:tcW w:w="213" w:type="pct"/>
                  <w:noWrap w:val="0"/>
                  <w:vAlign w:val="center"/>
                </w:tcPr>
                <w:p w14:paraId="741718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226" w:type="pct"/>
                  <w:noWrap w:val="0"/>
                  <w:vAlign w:val="center"/>
                </w:tcPr>
                <w:p w14:paraId="7AE715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w:t>
                  </w:r>
                </w:p>
              </w:tc>
              <w:tc>
                <w:tcPr>
                  <w:tcW w:w="613" w:type="pct"/>
                  <w:vMerge w:val="continue"/>
                  <w:noWrap w:val="0"/>
                  <w:vAlign w:val="center"/>
                </w:tcPr>
                <w:p w14:paraId="4FB42F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000000"/>
                      <w:sz w:val="18"/>
                      <w:szCs w:val="18"/>
                      <w:highlight w:val="none"/>
                    </w:rPr>
                  </w:pPr>
                </w:p>
              </w:tc>
            </w:tr>
          </w:tbl>
          <w:p w14:paraId="5677D94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rightChars="0" w:firstLine="480" w:firstLineChars="200"/>
              <w:textAlignment w:val="auto"/>
              <w:rPr>
                <w:rFonts w:hint="default" w:ascii="Times New Roman" w:hAnsi="Times New Roman" w:eastAsia="宋体" w:cs="Times New Roman"/>
                <w:color w:val="000000"/>
                <w:kern w:val="2"/>
                <w:sz w:val="24"/>
                <w:szCs w:val="21"/>
                <w:highlight w:val="none"/>
                <w:lang w:val="en-US" w:eastAsia="zh-CN" w:bidi="ar-SA"/>
              </w:rPr>
            </w:pPr>
            <w:r>
              <w:rPr>
                <w:rFonts w:hint="default" w:ascii="Times New Roman" w:hAnsi="Times New Roman" w:cs="Times New Roman"/>
                <w:color w:val="000000"/>
                <w:kern w:val="2"/>
                <w:sz w:val="24"/>
                <w:szCs w:val="21"/>
                <w:highlight w:val="none"/>
                <w:lang w:val="en-US" w:eastAsia="zh-CN" w:bidi="ar-SA"/>
              </w:rPr>
              <w:t>排放口基本情况见下表。</w:t>
            </w:r>
            <w:r>
              <w:rPr>
                <w:rFonts w:hint="default" w:ascii="Times New Roman" w:hAnsi="Times New Roman" w:eastAsia="宋体" w:cs="Times New Roman"/>
                <w:color w:val="000000"/>
                <w:kern w:val="2"/>
                <w:sz w:val="24"/>
                <w:szCs w:val="21"/>
                <w:highlight w:val="none"/>
                <w:lang w:val="en-US" w:eastAsia="zh-CN" w:bidi="ar-SA"/>
              </w:rPr>
              <w:t xml:space="preserve"> </w:t>
            </w:r>
          </w:p>
          <w:p w14:paraId="322F04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color w:val="000000"/>
                <w:sz w:val="24"/>
                <w:highlight w:val="none"/>
                <w:lang w:val="en-US" w:eastAsia="zh-CN"/>
              </w:rPr>
            </w:pPr>
            <w:r>
              <w:rPr>
                <w:rFonts w:hint="default" w:ascii="Times New Roman" w:hAnsi="Times New Roman" w:eastAsia="宋体" w:cs="Times New Roman"/>
                <w:b/>
                <w:color w:val="000000"/>
                <w:sz w:val="24"/>
                <w:highlight w:val="none"/>
                <w:lang w:val="en-US" w:eastAsia="zh-CN"/>
              </w:rPr>
              <w:t>表4-</w:t>
            </w:r>
            <w:r>
              <w:rPr>
                <w:rFonts w:hint="default" w:ascii="Times New Roman" w:hAnsi="Times New Roman" w:cs="Times New Roman"/>
                <w:b/>
                <w:color w:val="000000"/>
                <w:sz w:val="24"/>
                <w:highlight w:val="none"/>
                <w:lang w:val="en-US" w:eastAsia="zh-CN"/>
              </w:rPr>
              <w:t>7</w:t>
            </w:r>
            <w:r>
              <w:rPr>
                <w:rFonts w:hint="default" w:ascii="Times New Roman" w:hAnsi="Times New Roman" w:eastAsia="宋体" w:cs="Times New Roman"/>
                <w:b/>
                <w:color w:val="000000"/>
                <w:sz w:val="24"/>
                <w:highlight w:val="none"/>
                <w:lang w:val="en-US" w:eastAsia="zh-CN"/>
              </w:rPr>
              <w:t xml:space="preserve">    排放口基本情况一览表</w:t>
            </w:r>
          </w:p>
          <w:tbl>
            <w:tblPr>
              <w:tblStyle w:val="30"/>
              <w:tblW w:w="4996"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2408"/>
              <w:gridCol w:w="1172"/>
              <w:gridCol w:w="1800"/>
              <w:gridCol w:w="1470"/>
              <w:gridCol w:w="1880"/>
              <w:gridCol w:w="2347"/>
              <w:gridCol w:w="1883"/>
            </w:tblGrid>
            <w:tr w14:paraId="789A7F8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929" w:type="pct"/>
                  <w:vMerge w:val="restart"/>
                  <w:tcBorders>
                    <w:top w:val="single" w:color="auto" w:sz="4" w:space="0"/>
                    <w:left w:val="single" w:color="auto" w:sz="4" w:space="0"/>
                    <w:bottom w:val="single" w:color="000000" w:sz="4" w:space="0"/>
                    <w:right w:val="single" w:color="000000" w:sz="4" w:space="0"/>
                  </w:tcBorders>
                  <w:noWrap w:val="0"/>
                  <w:vAlign w:val="center"/>
                </w:tcPr>
                <w:p w14:paraId="443E0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rPr>
                  </w:pPr>
                  <w:r>
                    <w:rPr>
                      <w:rFonts w:hint="default" w:ascii="Times New Roman" w:hAnsi="Times New Roman" w:eastAsia="宋体" w:cs="Times New Roman"/>
                      <w:b/>
                      <w:bCs w:val="0"/>
                      <w:color w:val="000000"/>
                      <w:kern w:val="2"/>
                      <w:sz w:val="21"/>
                      <w:szCs w:val="21"/>
                      <w:highlight w:val="none"/>
                      <w:lang w:val="en-US" w:eastAsia="zh-CN" w:bidi="ar"/>
                    </w:rPr>
                    <w:t>编号及名称</w:t>
                  </w:r>
                </w:p>
              </w:tc>
              <w:tc>
                <w:tcPr>
                  <w:tcW w:w="452" w:type="pct"/>
                  <w:vMerge w:val="restart"/>
                  <w:tcBorders>
                    <w:top w:val="single" w:color="auto" w:sz="4" w:space="0"/>
                    <w:left w:val="single" w:color="000000" w:sz="4" w:space="0"/>
                    <w:bottom w:val="single" w:color="000000" w:sz="4" w:space="0"/>
                    <w:right w:val="single" w:color="000000" w:sz="4" w:space="0"/>
                  </w:tcBorders>
                  <w:noWrap w:val="0"/>
                  <w:vAlign w:val="center"/>
                </w:tcPr>
                <w:p w14:paraId="444E3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rPr>
                  </w:pPr>
                  <w:r>
                    <w:rPr>
                      <w:rFonts w:hint="default" w:ascii="Times New Roman" w:hAnsi="Times New Roman" w:eastAsia="宋体" w:cs="Times New Roman"/>
                      <w:b/>
                      <w:bCs w:val="0"/>
                      <w:color w:val="000000"/>
                      <w:kern w:val="2"/>
                      <w:sz w:val="21"/>
                      <w:szCs w:val="21"/>
                      <w:highlight w:val="none"/>
                      <w:lang w:val="en-US" w:eastAsia="zh-CN" w:bidi="ar"/>
                    </w:rPr>
                    <w:t>高度</w:t>
                  </w:r>
                </w:p>
              </w:tc>
              <w:tc>
                <w:tcPr>
                  <w:tcW w:w="694" w:type="pct"/>
                  <w:vMerge w:val="restart"/>
                  <w:tcBorders>
                    <w:top w:val="single" w:color="auto" w:sz="4" w:space="0"/>
                    <w:left w:val="single" w:color="000000" w:sz="4" w:space="0"/>
                    <w:bottom w:val="single" w:color="000000" w:sz="4" w:space="0"/>
                    <w:right w:val="single" w:color="000000" w:sz="4" w:space="0"/>
                  </w:tcBorders>
                  <w:noWrap w:val="0"/>
                  <w:vAlign w:val="center"/>
                </w:tcPr>
                <w:p w14:paraId="60B2E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lang w:val="en-US"/>
                    </w:rPr>
                  </w:pPr>
                  <w:r>
                    <w:rPr>
                      <w:rFonts w:hint="default" w:ascii="Times New Roman" w:hAnsi="Times New Roman" w:eastAsia="宋体" w:cs="Times New Roman"/>
                      <w:b/>
                      <w:bCs w:val="0"/>
                      <w:color w:val="000000"/>
                      <w:kern w:val="2"/>
                      <w:sz w:val="21"/>
                      <w:szCs w:val="21"/>
                      <w:highlight w:val="none"/>
                      <w:lang w:val="en-US" w:eastAsia="zh-CN" w:bidi="ar"/>
                    </w:rPr>
                    <w:t>内径</w:t>
                  </w:r>
                </w:p>
              </w:tc>
              <w:tc>
                <w:tcPr>
                  <w:tcW w:w="567" w:type="pct"/>
                  <w:vMerge w:val="restart"/>
                  <w:tcBorders>
                    <w:top w:val="single" w:color="auto" w:sz="4" w:space="0"/>
                    <w:left w:val="single" w:color="000000" w:sz="4" w:space="0"/>
                    <w:bottom w:val="single" w:color="000000" w:sz="4" w:space="0"/>
                    <w:right w:val="single" w:color="000000" w:sz="4" w:space="0"/>
                  </w:tcBorders>
                  <w:noWrap w:val="0"/>
                  <w:vAlign w:val="center"/>
                </w:tcPr>
                <w:p w14:paraId="163F39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rPr>
                  </w:pPr>
                  <w:r>
                    <w:rPr>
                      <w:rFonts w:hint="default" w:ascii="Times New Roman" w:hAnsi="Times New Roman" w:eastAsia="宋体" w:cs="Times New Roman"/>
                      <w:b/>
                      <w:bCs w:val="0"/>
                      <w:color w:val="000000"/>
                      <w:kern w:val="2"/>
                      <w:sz w:val="21"/>
                      <w:szCs w:val="21"/>
                      <w:highlight w:val="none"/>
                      <w:lang w:val="en-US" w:eastAsia="zh-CN" w:bidi="ar"/>
                    </w:rPr>
                    <w:t>温度</w:t>
                  </w:r>
                </w:p>
              </w:tc>
              <w:tc>
                <w:tcPr>
                  <w:tcW w:w="725" w:type="pct"/>
                  <w:vMerge w:val="restart"/>
                  <w:tcBorders>
                    <w:top w:val="single" w:color="auto" w:sz="4" w:space="0"/>
                    <w:left w:val="single" w:color="000000" w:sz="4" w:space="0"/>
                    <w:bottom w:val="single" w:color="000000" w:sz="4" w:space="0"/>
                    <w:right w:val="single" w:color="000000" w:sz="4" w:space="0"/>
                  </w:tcBorders>
                  <w:noWrap w:val="0"/>
                  <w:vAlign w:val="center"/>
                </w:tcPr>
                <w:p w14:paraId="1D8F5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rPr>
                  </w:pPr>
                  <w:r>
                    <w:rPr>
                      <w:rFonts w:hint="default" w:ascii="Times New Roman" w:hAnsi="Times New Roman" w:eastAsia="宋体" w:cs="Times New Roman"/>
                      <w:b/>
                      <w:bCs w:val="0"/>
                      <w:color w:val="000000"/>
                      <w:kern w:val="2"/>
                      <w:sz w:val="21"/>
                      <w:szCs w:val="21"/>
                      <w:highlight w:val="none"/>
                      <w:lang w:val="en-US" w:eastAsia="zh-CN" w:bidi="ar"/>
                    </w:rPr>
                    <w:t>类型</w:t>
                  </w:r>
                </w:p>
              </w:tc>
              <w:tc>
                <w:tcPr>
                  <w:tcW w:w="1631" w:type="pct"/>
                  <w:gridSpan w:val="2"/>
                  <w:tcBorders>
                    <w:top w:val="single" w:color="auto" w:sz="4" w:space="0"/>
                    <w:left w:val="single" w:color="000000" w:sz="4" w:space="0"/>
                    <w:bottom w:val="single" w:color="000000" w:sz="4" w:space="0"/>
                    <w:right w:val="single" w:color="auto" w:sz="4" w:space="0"/>
                  </w:tcBorders>
                  <w:noWrap w:val="0"/>
                  <w:vAlign w:val="center"/>
                </w:tcPr>
                <w:p w14:paraId="65364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rPr>
                  </w:pPr>
                  <w:r>
                    <w:rPr>
                      <w:rFonts w:hint="default" w:ascii="Times New Roman" w:hAnsi="Times New Roman" w:eastAsia="宋体" w:cs="Times New Roman"/>
                      <w:b/>
                      <w:bCs w:val="0"/>
                      <w:color w:val="000000"/>
                      <w:kern w:val="2"/>
                      <w:sz w:val="21"/>
                      <w:szCs w:val="21"/>
                      <w:highlight w:val="none"/>
                      <w:lang w:val="en-US" w:eastAsia="zh-CN" w:bidi="ar"/>
                    </w:rPr>
                    <w:t>地理坐标</w:t>
                  </w:r>
                </w:p>
              </w:tc>
            </w:tr>
            <w:tr w14:paraId="78FC449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929" w:type="pct"/>
                  <w:vMerge w:val="continue"/>
                  <w:tcBorders>
                    <w:top w:val="single" w:color="auto" w:sz="4" w:space="0"/>
                    <w:left w:val="single" w:color="auto" w:sz="4" w:space="0"/>
                    <w:bottom w:val="single" w:color="000000" w:sz="4" w:space="0"/>
                    <w:right w:val="single" w:color="000000" w:sz="4" w:space="0"/>
                  </w:tcBorders>
                  <w:noWrap w:val="0"/>
                  <w:vAlign w:val="center"/>
                </w:tcPr>
                <w:p w14:paraId="39403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cs="Times New Roman"/>
                      <w:b/>
                      <w:bCs w:val="0"/>
                      <w:color w:val="000000"/>
                      <w:sz w:val="20"/>
                      <w:szCs w:val="20"/>
                      <w:highlight w:val="none"/>
                    </w:rPr>
                  </w:pPr>
                </w:p>
              </w:tc>
              <w:tc>
                <w:tcPr>
                  <w:tcW w:w="452" w:type="pct"/>
                  <w:vMerge w:val="continue"/>
                  <w:tcBorders>
                    <w:top w:val="single" w:color="auto" w:sz="4" w:space="0"/>
                    <w:left w:val="single" w:color="000000" w:sz="4" w:space="0"/>
                    <w:bottom w:val="single" w:color="000000" w:sz="4" w:space="0"/>
                    <w:right w:val="single" w:color="000000" w:sz="4" w:space="0"/>
                  </w:tcBorders>
                  <w:noWrap w:val="0"/>
                  <w:vAlign w:val="center"/>
                </w:tcPr>
                <w:p w14:paraId="6EDADF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cs="Times New Roman"/>
                      <w:b/>
                      <w:bCs w:val="0"/>
                      <w:color w:val="000000"/>
                      <w:sz w:val="20"/>
                      <w:szCs w:val="20"/>
                      <w:highlight w:val="none"/>
                    </w:rPr>
                  </w:pPr>
                </w:p>
              </w:tc>
              <w:tc>
                <w:tcPr>
                  <w:tcW w:w="694" w:type="pct"/>
                  <w:vMerge w:val="continue"/>
                  <w:tcBorders>
                    <w:top w:val="single" w:color="auto" w:sz="4" w:space="0"/>
                    <w:left w:val="single" w:color="000000" w:sz="4" w:space="0"/>
                    <w:bottom w:val="single" w:color="000000" w:sz="4" w:space="0"/>
                    <w:right w:val="single" w:color="000000" w:sz="4" w:space="0"/>
                  </w:tcBorders>
                  <w:noWrap w:val="0"/>
                  <w:vAlign w:val="center"/>
                </w:tcPr>
                <w:p w14:paraId="59ABA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cs="Times New Roman"/>
                      <w:b/>
                      <w:bCs w:val="0"/>
                      <w:color w:val="000000"/>
                      <w:sz w:val="20"/>
                      <w:szCs w:val="20"/>
                      <w:highlight w:val="none"/>
                    </w:rPr>
                  </w:pPr>
                </w:p>
              </w:tc>
              <w:tc>
                <w:tcPr>
                  <w:tcW w:w="567" w:type="pct"/>
                  <w:vMerge w:val="continue"/>
                  <w:tcBorders>
                    <w:top w:val="single" w:color="auto" w:sz="4" w:space="0"/>
                    <w:left w:val="single" w:color="000000" w:sz="4" w:space="0"/>
                    <w:bottom w:val="single" w:color="000000" w:sz="4" w:space="0"/>
                    <w:right w:val="single" w:color="000000" w:sz="4" w:space="0"/>
                  </w:tcBorders>
                  <w:noWrap w:val="0"/>
                  <w:vAlign w:val="center"/>
                </w:tcPr>
                <w:p w14:paraId="7D077E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cs="Times New Roman"/>
                      <w:b/>
                      <w:bCs w:val="0"/>
                      <w:color w:val="000000"/>
                      <w:sz w:val="20"/>
                      <w:szCs w:val="20"/>
                      <w:highlight w:val="none"/>
                    </w:rPr>
                  </w:pPr>
                </w:p>
              </w:tc>
              <w:tc>
                <w:tcPr>
                  <w:tcW w:w="725" w:type="pct"/>
                  <w:vMerge w:val="continue"/>
                  <w:tcBorders>
                    <w:top w:val="single" w:color="auto" w:sz="4" w:space="0"/>
                    <w:left w:val="single" w:color="000000" w:sz="4" w:space="0"/>
                    <w:bottom w:val="single" w:color="000000" w:sz="4" w:space="0"/>
                    <w:right w:val="single" w:color="000000" w:sz="4" w:space="0"/>
                  </w:tcBorders>
                  <w:noWrap w:val="0"/>
                  <w:vAlign w:val="center"/>
                </w:tcPr>
                <w:p w14:paraId="46A76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cs="Times New Roman"/>
                      <w:b/>
                      <w:bCs w:val="0"/>
                      <w:color w:val="000000"/>
                      <w:sz w:val="20"/>
                      <w:szCs w:val="20"/>
                      <w:highlight w:val="none"/>
                    </w:rPr>
                  </w:pP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33E952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lang w:val="en-US"/>
                    </w:rPr>
                  </w:pPr>
                  <w:r>
                    <w:rPr>
                      <w:rFonts w:hint="default" w:ascii="Times New Roman" w:hAnsi="Times New Roman" w:eastAsia="宋体" w:cs="Times New Roman"/>
                      <w:b/>
                      <w:bCs w:val="0"/>
                      <w:color w:val="000000"/>
                      <w:kern w:val="2"/>
                      <w:sz w:val="21"/>
                      <w:szCs w:val="21"/>
                      <w:highlight w:val="none"/>
                      <w:lang w:val="en-US" w:eastAsia="zh-CN" w:bidi="ar"/>
                    </w:rPr>
                    <w:t>东经</w:t>
                  </w:r>
                </w:p>
              </w:tc>
              <w:tc>
                <w:tcPr>
                  <w:tcW w:w="725" w:type="pct"/>
                  <w:tcBorders>
                    <w:top w:val="single" w:color="000000" w:sz="4" w:space="0"/>
                    <w:left w:val="single" w:color="000000" w:sz="4" w:space="0"/>
                    <w:bottom w:val="single" w:color="000000" w:sz="4" w:space="0"/>
                    <w:right w:val="single" w:color="auto" w:sz="4" w:space="0"/>
                  </w:tcBorders>
                  <w:noWrap w:val="0"/>
                  <w:vAlign w:val="center"/>
                </w:tcPr>
                <w:p w14:paraId="05B568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val="0"/>
                      <w:color w:val="000000"/>
                      <w:kern w:val="2"/>
                      <w:sz w:val="21"/>
                      <w:szCs w:val="21"/>
                      <w:highlight w:val="none"/>
                      <w:lang w:val="en-US"/>
                    </w:rPr>
                  </w:pPr>
                  <w:r>
                    <w:rPr>
                      <w:rFonts w:hint="default" w:ascii="Times New Roman" w:hAnsi="Times New Roman" w:eastAsia="宋体" w:cs="Times New Roman"/>
                      <w:b/>
                      <w:bCs w:val="0"/>
                      <w:color w:val="000000"/>
                      <w:kern w:val="2"/>
                      <w:sz w:val="21"/>
                      <w:szCs w:val="21"/>
                      <w:highlight w:val="none"/>
                      <w:lang w:val="en-US" w:eastAsia="zh-CN" w:bidi="ar"/>
                    </w:rPr>
                    <w:t>北纬</w:t>
                  </w:r>
                  <w:r>
                    <w:rPr>
                      <w:rFonts w:hint="default" w:ascii="Times New Roman" w:hAnsi="Times New Roman" w:cs="Times New Roman"/>
                      <w:b/>
                      <w:bCs w:val="0"/>
                      <w:color w:val="000000"/>
                      <w:kern w:val="2"/>
                      <w:sz w:val="21"/>
                      <w:szCs w:val="21"/>
                      <w:highlight w:val="none"/>
                      <w:lang w:val="en-US" w:eastAsia="zh-CN" w:bidi="ar"/>
                    </w:rPr>
                    <w:t xml:space="preserve"> </w:t>
                  </w:r>
                </w:p>
              </w:tc>
            </w:tr>
            <w:tr w14:paraId="1C6D8E1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29" w:type="pct"/>
                  <w:tcBorders>
                    <w:top w:val="single" w:color="000000" w:sz="4" w:space="0"/>
                    <w:left w:val="single" w:color="auto" w:sz="4" w:space="0"/>
                    <w:bottom w:val="single" w:color="000000" w:sz="4" w:space="0"/>
                    <w:right w:val="single" w:color="000000" w:sz="4" w:space="0"/>
                  </w:tcBorders>
                  <w:noWrap w:val="0"/>
                  <w:vAlign w:val="center"/>
                </w:tcPr>
                <w:p w14:paraId="2141B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DA001</w:t>
                  </w:r>
                </w:p>
              </w:tc>
              <w:tc>
                <w:tcPr>
                  <w:tcW w:w="452" w:type="pct"/>
                  <w:tcBorders>
                    <w:top w:val="single" w:color="000000" w:sz="4" w:space="0"/>
                    <w:left w:val="single" w:color="000000" w:sz="4" w:space="0"/>
                    <w:bottom w:val="single" w:color="000000" w:sz="4" w:space="0"/>
                    <w:right w:val="single" w:color="000000" w:sz="4" w:space="0"/>
                  </w:tcBorders>
                  <w:noWrap w:val="0"/>
                  <w:vAlign w:val="center"/>
                </w:tcPr>
                <w:p w14:paraId="6E34E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rPr>
                  </w:pPr>
                  <w:r>
                    <w:rPr>
                      <w:rFonts w:hint="default" w:ascii="Times New Roman" w:hAnsi="Times New Roman" w:cs="Times New Roman"/>
                      <w:bCs/>
                      <w:color w:val="000000"/>
                      <w:kern w:val="2"/>
                      <w:sz w:val="21"/>
                      <w:szCs w:val="21"/>
                      <w:highlight w:val="none"/>
                      <w:lang w:val="en-US" w:eastAsia="zh-CN" w:bidi="ar"/>
                    </w:rPr>
                    <w:t>15</w:t>
                  </w:r>
                  <w:r>
                    <w:rPr>
                      <w:rFonts w:hint="default" w:ascii="Times New Roman" w:hAnsi="Times New Roman" w:eastAsia="宋体" w:cs="Times New Roman"/>
                      <w:bCs/>
                      <w:color w:val="000000"/>
                      <w:kern w:val="2"/>
                      <w:sz w:val="21"/>
                      <w:szCs w:val="21"/>
                      <w:highlight w:val="none"/>
                      <w:lang w:val="en-US" w:eastAsia="zh-CN" w:bidi="ar"/>
                    </w:rPr>
                    <w:t>m</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003131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rPr>
                  </w:pPr>
                  <w:r>
                    <w:rPr>
                      <w:rFonts w:hint="default" w:ascii="Times New Roman" w:hAnsi="Times New Roman" w:cs="Times New Roman"/>
                      <w:bCs/>
                      <w:color w:val="000000"/>
                      <w:kern w:val="2"/>
                      <w:sz w:val="21"/>
                      <w:szCs w:val="21"/>
                      <w:highlight w:val="none"/>
                      <w:lang w:val="en-US" w:eastAsia="zh-CN" w:bidi="ar"/>
                    </w:rPr>
                    <w:t>0.9</w:t>
                  </w:r>
                  <w:r>
                    <w:rPr>
                      <w:rFonts w:hint="default" w:ascii="Times New Roman" w:hAnsi="Times New Roman" w:eastAsia="宋体" w:cs="Times New Roman"/>
                      <w:bCs/>
                      <w:color w:val="000000"/>
                      <w:kern w:val="2"/>
                      <w:sz w:val="21"/>
                      <w:szCs w:val="21"/>
                      <w:highlight w:val="none"/>
                      <w:lang w:val="en-US" w:eastAsia="zh-CN" w:bidi="ar"/>
                    </w:rPr>
                    <w:t>m</w:t>
                  </w:r>
                </w:p>
              </w:tc>
              <w:tc>
                <w:tcPr>
                  <w:tcW w:w="567" w:type="pct"/>
                  <w:tcBorders>
                    <w:top w:val="single" w:color="000000" w:sz="4" w:space="0"/>
                    <w:left w:val="single" w:color="000000" w:sz="4" w:space="0"/>
                    <w:bottom w:val="single" w:color="000000" w:sz="4" w:space="0"/>
                    <w:right w:val="single" w:color="000000" w:sz="4" w:space="0"/>
                  </w:tcBorders>
                  <w:noWrap w:val="0"/>
                  <w:vAlign w:val="center"/>
                </w:tcPr>
                <w:p w14:paraId="6FE9EA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rPr>
                  </w:pPr>
                  <w:r>
                    <w:rPr>
                      <w:rFonts w:hint="default" w:ascii="Times New Roman" w:hAnsi="Times New Roman" w:cs="Times New Roman"/>
                      <w:bCs/>
                      <w:color w:val="000000"/>
                      <w:kern w:val="2"/>
                      <w:sz w:val="21"/>
                      <w:szCs w:val="21"/>
                      <w:highlight w:val="none"/>
                      <w:lang w:val="en-US" w:eastAsia="zh-CN" w:bidi="ar"/>
                    </w:rPr>
                    <w:t>常温</w:t>
                  </w:r>
                </w:p>
              </w:tc>
              <w:tc>
                <w:tcPr>
                  <w:tcW w:w="725" w:type="pct"/>
                  <w:tcBorders>
                    <w:top w:val="single" w:color="000000" w:sz="4" w:space="0"/>
                    <w:left w:val="single" w:color="000000" w:sz="4" w:space="0"/>
                    <w:bottom w:val="single" w:color="000000" w:sz="4" w:space="0"/>
                    <w:right w:val="single" w:color="000000" w:sz="4" w:space="0"/>
                  </w:tcBorders>
                  <w:noWrap w:val="0"/>
                  <w:vAlign w:val="center"/>
                </w:tcPr>
                <w:p w14:paraId="632C4E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rPr>
                  </w:pPr>
                  <w:r>
                    <w:rPr>
                      <w:rFonts w:hint="default" w:ascii="Times New Roman" w:hAnsi="Times New Roman" w:eastAsia="宋体" w:cs="Times New Roman"/>
                      <w:bCs/>
                      <w:color w:val="000000"/>
                      <w:kern w:val="2"/>
                      <w:sz w:val="21"/>
                      <w:szCs w:val="21"/>
                      <w:highlight w:val="none"/>
                      <w:lang w:val="en-US" w:eastAsia="zh-CN" w:bidi="ar"/>
                    </w:rPr>
                    <w:t>一般排放口</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4DF1A4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118.60113502</w:t>
                  </w:r>
                </w:p>
              </w:tc>
              <w:tc>
                <w:tcPr>
                  <w:tcW w:w="725" w:type="pct"/>
                  <w:tcBorders>
                    <w:top w:val="single" w:color="000000" w:sz="4" w:space="0"/>
                    <w:left w:val="single" w:color="000000" w:sz="4" w:space="0"/>
                    <w:bottom w:val="single" w:color="000000" w:sz="4" w:space="0"/>
                    <w:right w:val="single" w:color="auto" w:sz="4" w:space="0"/>
                  </w:tcBorders>
                  <w:noWrap w:val="0"/>
                  <w:vAlign w:val="center"/>
                </w:tcPr>
                <w:p w14:paraId="3CEA70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39.98885531</w:t>
                  </w:r>
                </w:p>
              </w:tc>
            </w:tr>
            <w:tr w14:paraId="4F04068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29" w:type="pct"/>
                  <w:tcBorders>
                    <w:top w:val="single" w:color="000000" w:sz="4" w:space="0"/>
                    <w:left w:val="single" w:color="auto" w:sz="4" w:space="0"/>
                    <w:bottom w:val="single" w:color="000000" w:sz="4" w:space="0"/>
                    <w:right w:val="single" w:color="000000" w:sz="4" w:space="0"/>
                  </w:tcBorders>
                  <w:noWrap w:val="0"/>
                  <w:vAlign w:val="center"/>
                </w:tcPr>
                <w:p w14:paraId="64B73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DA002</w:t>
                  </w:r>
                </w:p>
              </w:tc>
              <w:tc>
                <w:tcPr>
                  <w:tcW w:w="452" w:type="pct"/>
                  <w:tcBorders>
                    <w:top w:val="single" w:color="000000" w:sz="4" w:space="0"/>
                    <w:left w:val="single" w:color="000000" w:sz="4" w:space="0"/>
                    <w:bottom w:val="single" w:color="000000" w:sz="4" w:space="0"/>
                    <w:right w:val="single" w:color="000000" w:sz="4" w:space="0"/>
                  </w:tcBorders>
                  <w:noWrap w:val="0"/>
                  <w:vAlign w:val="center"/>
                </w:tcPr>
                <w:p w14:paraId="74DDF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15</w:t>
                  </w:r>
                  <w:r>
                    <w:rPr>
                      <w:rFonts w:hint="default" w:ascii="Times New Roman" w:hAnsi="Times New Roman" w:eastAsia="宋体" w:cs="Times New Roman"/>
                      <w:bCs/>
                      <w:color w:val="000000"/>
                      <w:kern w:val="2"/>
                      <w:sz w:val="21"/>
                      <w:szCs w:val="21"/>
                      <w:highlight w:val="none"/>
                      <w:lang w:val="en-US" w:eastAsia="zh-CN" w:bidi="ar"/>
                    </w:rPr>
                    <w:t>m</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36F49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1.2m</w:t>
                  </w:r>
                </w:p>
              </w:tc>
              <w:tc>
                <w:tcPr>
                  <w:tcW w:w="1475" w:type="dxa"/>
                  <w:tcBorders>
                    <w:top w:val="single" w:color="000000" w:sz="4" w:space="0"/>
                    <w:left w:val="single" w:color="000000" w:sz="4" w:space="0"/>
                    <w:bottom w:val="single" w:color="000000" w:sz="4" w:space="0"/>
                    <w:right w:val="single" w:color="000000" w:sz="4" w:space="0"/>
                  </w:tcBorders>
                  <w:noWrap w:val="0"/>
                  <w:vAlign w:val="center"/>
                </w:tcPr>
                <w:p w14:paraId="28865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常温</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217DD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Cs/>
                      <w:color w:val="000000"/>
                      <w:kern w:val="2"/>
                      <w:sz w:val="21"/>
                      <w:szCs w:val="21"/>
                      <w:highlight w:val="none"/>
                      <w:lang w:val="en-US" w:eastAsia="zh-CN" w:bidi="ar"/>
                    </w:rPr>
                  </w:pPr>
                  <w:r>
                    <w:rPr>
                      <w:rFonts w:hint="default" w:ascii="Times New Roman" w:hAnsi="Times New Roman" w:eastAsia="宋体" w:cs="Times New Roman"/>
                      <w:bCs/>
                      <w:color w:val="000000"/>
                      <w:kern w:val="2"/>
                      <w:sz w:val="21"/>
                      <w:szCs w:val="21"/>
                      <w:highlight w:val="none"/>
                      <w:lang w:val="en-US" w:eastAsia="zh-CN" w:bidi="ar"/>
                    </w:rPr>
                    <w:t>一般排放口</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35D42F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118.60230982</w:t>
                  </w:r>
                </w:p>
              </w:tc>
              <w:tc>
                <w:tcPr>
                  <w:tcW w:w="725" w:type="pct"/>
                  <w:tcBorders>
                    <w:top w:val="single" w:color="000000" w:sz="4" w:space="0"/>
                    <w:left w:val="single" w:color="000000" w:sz="4" w:space="0"/>
                    <w:bottom w:val="single" w:color="000000" w:sz="4" w:space="0"/>
                    <w:right w:val="single" w:color="auto" w:sz="4" w:space="0"/>
                  </w:tcBorders>
                  <w:noWrap w:val="0"/>
                  <w:vAlign w:val="center"/>
                </w:tcPr>
                <w:p w14:paraId="2DA65A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39.98871557</w:t>
                  </w:r>
                </w:p>
              </w:tc>
            </w:tr>
            <w:tr w14:paraId="33C3B64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29" w:type="pct"/>
                  <w:tcBorders>
                    <w:top w:val="single" w:color="000000" w:sz="4" w:space="0"/>
                    <w:left w:val="single" w:color="auto" w:sz="4" w:space="0"/>
                    <w:bottom w:val="single" w:color="000000" w:sz="4" w:space="0"/>
                    <w:right w:val="single" w:color="000000" w:sz="4" w:space="0"/>
                  </w:tcBorders>
                  <w:noWrap w:val="0"/>
                  <w:vAlign w:val="center"/>
                </w:tcPr>
                <w:p w14:paraId="252AF5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DA003</w:t>
                  </w:r>
                </w:p>
              </w:tc>
              <w:tc>
                <w:tcPr>
                  <w:tcW w:w="452" w:type="pct"/>
                  <w:tcBorders>
                    <w:top w:val="single" w:color="000000" w:sz="4" w:space="0"/>
                    <w:left w:val="single" w:color="000000" w:sz="4" w:space="0"/>
                    <w:bottom w:val="single" w:color="000000" w:sz="4" w:space="0"/>
                    <w:right w:val="single" w:color="000000" w:sz="4" w:space="0"/>
                  </w:tcBorders>
                  <w:noWrap w:val="0"/>
                  <w:vAlign w:val="center"/>
                </w:tcPr>
                <w:p w14:paraId="1AD10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25</w:t>
                  </w:r>
                  <w:r>
                    <w:rPr>
                      <w:rFonts w:hint="default" w:ascii="Times New Roman" w:hAnsi="Times New Roman" w:eastAsia="宋体" w:cs="Times New Roman"/>
                      <w:bCs/>
                      <w:color w:val="000000"/>
                      <w:kern w:val="2"/>
                      <w:sz w:val="21"/>
                      <w:szCs w:val="21"/>
                      <w:highlight w:val="none"/>
                      <w:lang w:val="en-US" w:eastAsia="zh-CN" w:bidi="ar"/>
                    </w:rPr>
                    <w:t>m</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79D57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0.6m</w:t>
                  </w:r>
                </w:p>
              </w:tc>
              <w:tc>
                <w:tcPr>
                  <w:tcW w:w="1475" w:type="dxa"/>
                  <w:tcBorders>
                    <w:top w:val="single" w:color="000000" w:sz="4" w:space="0"/>
                    <w:left w:val="single" w:color="000000" w:sz="4" w:space="0"/>
                    <w:bottom w:val="single" w:color="000000" w:sz="4" w:space="0"/>
                    <w:right w:val="single" w:color="000000" w:sz="4" w:space="0"/>
                  </w:tcBorders>
                  <w:noWrap w:val="0"/>
                  <w:vAlign w:val="center"/>
                </w:tcPr>
                <w:p w14:paraId="6B169C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140</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1A111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Cs/>
                      <w:color w:val="000000"/>
                      <w:kern w:val="2"/>
                      <w:sz w:val="21"/>
                      <w:szCs w:val="21"/>
                      <w:highlight w:val="none"/>
                      <w:lang w:val="en-US" w:eastAsia="zh-CN" w:bidi="ar"/>
                    </w:rPr>
                  </w:pPr>
                  <w:r>
                    <w:rPr>
                      <w:rFonts w:hint="default" w:ascii="Times New Roman" w:hAnsi="Times New Roman" w:eastAsia="宋体" w:cs="Times New Roman"/>
                      <w:bCs/>
                      <w:color w:val="000000"/>
                      <w:kern w:val="2"/>
                      <w:sz w:val="21"/>
                      <w:szCs w:val="21"/>
                      <w:highlight w:val="none"/>
                      <w:lang w:val="en-US" w:eastAsia="zh-CN" w:bidi="ar"/>
                    </w:rPr>
                    <w:t>一般排放口</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3D2C20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118.60230982</w:t>
                  </w:r>
                </w:p>
              </w:tc>
              <w:tc>
                <w:tcPr>
                  <w:tcW w:w="725" w:type="pct"/>
                  <w:tcBorders>
                    <w:top w:val="single" w:color="000000" w:sz="4" w:space="0"/>
                    <w:left w:val="single" w:color="000000" w:sz="4" w:space="0"/>
                    <w:bottom w:val="single" w:color="000000" w:sz="4" w:space="0"/>
                    <w:right w:val="single" w:color="auto" w:sz="4" w:space="0"/>
                  </w:tcBorders>
                  <w:noWrap w:val="0"/>
                  <w:vAlign w:val="center"/>
                </w:tcPr>
                <w:p w14:paraId="326A83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39.98836621</w:t>
                  </w:r>
                </w:p>
              </w:tc>
            </w:tr>
            <w:tr w14:paraId="0733DF5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29" w:type="pct"/>
                  <w:tcBorders>
                    <w:top w:val="single" w:color="000000" w:sz="4" w:space="0"/>
                    <w:left w:val="single" w:color="auto" w:sz="4" w:space="0"/>
                    <w:bottom w:val="single" w:color="000000" w:sz="4" w:space="0"/>
                    <w:right w:val="single" w:color="000000" w:sz="4" w:space="0"/>
                  </w:tcBorders>
                  <w:noWrap w:val="0"/>
                  <w:vAlign w:val="center"/>
                </w:tcPr>
                <w:p w14:paraId="4FA13A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DA004</w:t>
                  </w:r>
                </w:p>
              </w:tc>
              <w:tc>
                <w:tcPr>
                  <w:tcW w:w="452" w:type="pct"/>
                  <w:tcBorders>
                    <w:top w:val="single" w:color="000000" w:sz="4" w:space="0"/>
                    <w:left w:val="single" w:color="000000" w:sz="4" w:space="0"/>
                    <w:bottom w:val="single" w:color="000000" w:sz="4" w:space="0"/>
                    <w:right w:val="single" w:color="000000" w:sz="4" w:space="0"/>
                  </w:tcBorders>
                  <w:noWrap w:val="0"/>
                  <w:vAlign w:val="center"/>
                </w:tcPr>
                <w:p w14:paraId="5CEDB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15</w:t>
                  </w:r>
                  <w:r>
                    <w:rPr>
                      <w:rFonts w:hint="default" w:ascii="Times New Roman" w:hAnsi="Times New Roman" w:eastAsia="宋体" w:cs="Times New Roman"/>
                      <w:bCs/>
                      <w:color w:val="000000"/>
                      <w:kern w:val="2"/>
                      <w:sz w:val="21"/>
                      <w:szCs w:val="21"/>
                      <w:highlight w:val="none"/>
                      <w:lang w:val="en-US" w:eastAsia="zh-CN" w:bidi="ar"/>
                    </w:rPr>
                    <w:t>m</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14:paraId="2B402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0.6m</w:t>
                  </w:r>
                </w:p>
              </w:tc>
              <w:tc>
                <w:tcPr>
                  <w:tcW w:w="1475" w:type="dxa"/>
                  <w:tcBorders>
                    <w:top w:val="single" w:color="000000" w:sz="4" w:space="0"/>
                    <w:left w:val="single" w:color="000000" w:sz="4" w:space="0"/>
                    <w:bottom w:val="single" w:color="000000" w:sz="4" w:space="0"/>
                    <w:right w:val="single" w:color="000000" w:sz="4" w:space="0"/>
                  </w:tcBorders>
                  <w:noWrap w:val="0"/>
                  <w:vAlign w:val="center"/>
                </w:tcPr>
                <w:p w14:paraId="4DDDB6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cs="Times New Roman"/>
                      <w:bCs/>
                      <w:color w:val="000000"/>
                      <w:kern w:val="2"/>
                      <w:sz w:val="21"/>
                      <w:szCs w:val="21"/>
                      <w:highlight w:val="none"/>
                      <w:lang w:val="en-US" w:eastAsia="zh-CN" w:bidi="ar"/>
                    </w:rPr>
                  </w:pPr>
                  <w:r>
                    <w:rPr>
                      <w:rFonts w:hint="default" w:ascii="Times New Roman" w:hAnsi="Times New Roman" w:cs="Times New Roman"/>
                      <w:bCs/>
                      <w:color w:val="000000"/>
                      <w:kern w:val="2"/>
                      <w:sz w:val="21"/>
                      <w:szCs w:val="21"/>
                      <w:highlight w:val="none"/>
                      <w:lang w:val="en-US" w:eastAsia="zh-CN" w:bidi="ar"/>
                    </w:rPr>
                    <w:t>常温</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6853B8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Cs/>
                      <w:color w:val="000000"/>
                      <w:kern w:val="2"/>
                      <w:sz w:val="21"/>
                      <w:szCs w:val="21"/>
                      <w:highlight w:val="none"/>
                      <w:lang w:val="en-US" w:eastAsia="zh-CN" w:bidi="ar"/>
                    </w:rPr>
                  </w:pPr>
                  <w:r>
                    <w:rPr>
                      <w:rFonts w:hint="default" w:ascii="Times New Roman" w:hAnsi="Times New Roman" w:eastAsia="宋体" w:cs="Times New Roman"/>
                      <w:bCs/>
                      <w:color w:val="000000"/>
                      <w:kern w:val="2"/>
                      <w:sz w:val="21"/>
                      <w:szCs w:val="21"/>
                      <w:highlight w:val="none"/>
                      <w:lang w:val="en-US" w:eastAsia="zh-CN" w:bidi="ar"/>
                    </w:rPr>
                    <w:t>一般排放口</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54DB8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118.60177338</w:t>
                  </w:r>
                </w:p>
              </w:tc>
              <w:tc>
                <w:tcPr>
                  <w:tcW w:w="725" w:type="pct"/>
                  <w:tcBorders>
                    <w:top w:val="single" w:color="000000" w:sz="4" w:space="0"/>
                    <w:left w:val="single" w:color="000000" w:sz="4" w:space="0"/>
                    <w:bottom w:val="single" w:color="000000" w:sz="4" w:space="0"/>
                    <w:right w:val="single" w:color="auto" w:sz="4" w:space="0"/>
                  </w:tcBorders>
                  <w:noWrap w:val="0"/>
                  <w:vAlign w:val="center"/>
                </w:tcPr>
                <w:p w14:paraId="7611C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Cs/>
                      <w:color w:val="000000"/>
                      <w:kern w:val="2"/>
                      <w:sz w:val="21"/>
                      <w:szCs w:val="21"/>
                      <w:highlight w:val="none"/>
                      <w:lang w:val="en-US" w:eastAsia="zh-CN"/>
                    </w:rPr>
                  </w:pPr>
                  <w:r>
                    <w:rPr>
                      <w:rFonts w:hint="default" w:ascii="Times New Roman" w:hAnsi="Times New Roman" w:eastAsia="宋体" w:cs="Times New Roman"/>
                      <w:bCs/>
                      <w:color w:val="000000"/>
                      <w:kern w:val="2"/>
                      <w:sz w:val="21"/>
                      <w:szCs w:val="21"/>
                      <w:highlight w:val="none"/>
                      <w:lang w:val="en-US" w:eastAsia="zh-CN"/>
                    </w:rPr>
                    <w:t>39.98812371</w:t>
                  </w:r>
                </w:p>
              </w:tc>
            </w:tr>
          </w:tbl>
          <w:p w14:paraId="42B63D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5</w:t>
            </w:r>
            <w:r>
              <w:rPr>
                <w:rFonts w:hint="default" w:ascii="Times New Roman" w:hAnsi="Times New Roman" w:cs="Times New Roman"/>
                <w:color w:val="000000"/>
                <w:sz w:val="24"/>
                <w:highlight w:val="none"/>
              </w:rPr>
              <w:t>）污染治理措施可行性分析</w:t>
            </w:r>
          </w:p>
          <w:p w14:paraId="4B7732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sz w:val="24"/>
                <w:highlight w:val="none"/>
                <w:lang w:val="en-US" w:eastAsia="zh-CN"/>
              </w:rPr>
            </w:pPr>
            <w:r>
              <w:rPr>
                <w:rFonts w:hint="default" w:ascii="Times New Roman" w:hAnsi="Times New Roman" w:cs="Times New Roman"/>
                <w:color w:val="000000"/>
                <w:sz w:val="24"/>
                <w:highlight w:val="none"/>
              </w:rPr>
              <w:t>本项目</w:t>
            </w:r>
            <w:r>
              <w:rPr>
                <w:rFonts w:hint="default" w:ascii="Times New Roman" w:hAnsi="Times New Roman" w:cs="Times New Roman"/>
                <w:color w:val="000000"/>
                <w:sz w:val="24"/>
                <w:highlight w:val="none"/>
                <w:lang w:val="en-US" w:eastAsia="zh-CN"/>
              </w:rPr>
              <w:t>所用</w:t>
            </w:r>
            <w:r>
              <w:rPr>
                <w:rFonts w:hint="default" w:ascii="Times New Roman" w:hAnsi="Times New Roman" w:cs="Times New Roman"/>
                <w:color w:val="000000"/>
                <w:sz w:val="24"/>
                <w:highlight w:val="none"/>
              </w:rPr>
              <w:t>脉冲布袋除尘器，</w:t>
            </w:r>
            <w:r>
              <w:rPr>
                <w:rFonts w:hint="default" w:ascii="Times New Roman" w:hAnsi="Times New Roman" w:cs="Times New Roman"/>
                <w:color w:val="000000"/>
                <w:sz w:val="24"/>
                <w:highlight w:val="none"/>
                <w:lang w:val="en-US" w:eastAsia="zh-CN"/>
              </w:rPr>
              <w:t>布袋材质</w:t>
            </w:r>
            <w:r>
              <w:rPr>
                <w:rFonts w:hint="default" w:ascii="Times New Roman" w:hAnsi="Times New Roman" w:cs="Times New Roman"/>
                <w:color w:val="000000"/>
                <w:sz w:val="24"/>
                <w:highlight w:val="none"/>
              </w:rPr>
              <w:t>为</w:t>
            </w:r>
            <w:r>
              <w:rPr>
                <w:rFonts w:hint="default" w:ascii="Times New Roman" w:hAnsi="Times New Roman" w:cs="Times New Roman"/>
                <w:color w:val="000000"/>
                <w:sz w:val="24"/>
                <w:highlight w:val="none"/>
                <w:lang w:val="en-US" w:eastAsia="zh-CN"/>
              </w:rPr>
              <w:t>覆膜涤纶针刺毡</w:t>
            </w:r>
            <w:r>
              <w:rPr>
                <w:rFonts w:hint="default" w:ascii="Times New Roman" w:hAnsi="Times New Roman" w:cs="Times New Roman"/>
                <w:color w:val="000000"/>
                <w:sz w:val="24"/>
                <w:highlight w:val="none"/>
              </w:rPr>
              <w:t>，是在普通滤料表面</w:t>
            </w:r>
            <w:r>
              <w:rPr>
                <w:rFonts w:hint="default" w:ascii="Times New Roman" w:hAnsi="Times New Roman" w:cs="Times New Roman"/>
                <w:color w:val="000000"/>
                <w:sz w:val="24"/>
                <w:highlight w:val="none"/>
                <w:lang w:eastAsia="zh-CN"/>
              </w:rPr>
              <w:t>覆盖</w:t>
            </w:r>
            <w:r>
              <w:rPr>
                <w:rFonts w:hint="default" w:ascii="Times New Roman" w:hAnsi="Times New Roman" w:cs="Times New Roman"/>
                <w:color w:val="000000"/>
                <w:sz w:val="24"/>
                <w:highlight w:val="none"/>
              </w:rPr>
              <w:t>一层聚四氟乙烯（PTFE）薄膜而</w:t>
            </w:r>
            <w:r>
              <w:rPr>
                <w:rFonts w:hint="eastAsia" w:cs="Times New Roman"/>
                <w:color w:val="000000"/>
                <w:sz w:val="24"/>
                <w:highlight w:val="none"/>
                <w:lang w:eastAsia="zh-CN"/>
              </w:rPr>
              <w:t>形成</w:t>
            </w:r>
            <w:r>
              <w:rPr>
                <w:rFonts w:hint="default" w:ascii="Times New Roman" w:hAnsi="Times New Roman" w:cs="Times New Roman"/>
                <w:color w:val="000000"/>
                <w:sz w:val="24"/>
                <w:highlight w:val="none"/>
              </w:rPr>
              <w:t>的一种新型滤料</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lang w:val="en-US" w:eastAsia="zh-CN"/>
              </w:rPr>
              <w:t>过滤风速为0.8m/min</w:t>
            </w:r>
            <w:r>
              <w:rPr>
                <w:rFonts w:hint="default" w:ascii="Times New Roman" w:hAnsi="Times New Roman" w:cs="Times New Roman"/>
                <w:color w:val="000000"/>
                <w:sz w:val="24"/>
                <w:highlight w:val="none"/>
              </w:rPr>
              <w:t>。这层薄膜相当于起到了“一次粉尘层”的作用，物料交换是在膜表面进行的，使用之初就能进行有效的过滤。薄膜特有的立体网状结构，使粉尘无法穿过，无孔隙堵塞之虞。这种过滤方式称为“表面过滤”。覆膜滤料不仅可实现近于零排放，同时由于薄膜不粘性、摩擦系数小，故粉饼会自动脱落，确保了设备阻力长期稳定，因此充分发挥了袋式除尘器优越性，是理想的过滤材料。该方案不受粉尘比电阻的影响；操作弹性大，适应性强；结构简单，使用灵活，可以广泛</w:t>
            </w:r>
            <w:r>
              <w:rPr>
                <w:rFonts w:hint="eastAsia" w:cs="Times New Roman"/>
                <w:color w:val="000000"/>
                <w:sz w:val="24"/>
                <w:highlight w:val="none"/>
                <w:lang w:eastAsia="zh-CN"/>
              </w:rPr>
              <w:t>地</w:t>
            </w:r>
            <w:r>
              <w:rPr>
                <w:rFonts w:hint="default" w:ascii="Times New Roman" w:hAnsi="Times New Roman" w:cs="Times New Roman"/>
                <w:color w:val="000000"/>
                <w:sz w:val="24"/>
                <w:highlight w:val="none"/>
              </w:rPr>
              <w:t>适用于钢铁、矿山、水泥等行业。同时是《排污许可证申请与核发技术规范 废弃资源加工工业》（HJ1034-2019）中规定的可行性技术。</w:t>
            </w:r>
            <w:r>
              <w:rPr>
                <w:rFonts w:hint="default" w:ascii="Times New Roman" w:hAnsi="Times New Roman" w:cs="Times New Roman"/>
                <w:color w:val="000000"/>
                <w:sz w:val="24"/>
                <w:highlight w:val="none"/>
                <w:lang w:val="en-US" w:eastAsia="zh-CN"/>
              </w:rPr>
              <w:t>项目除尘器布袋由厂家更换、回收，建议每半年更换一次。</w:t>
            </w:r>
          </w:p>
          <w:p w14:paraId="610B6A8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sz w:val="24"/>
                <w:highlight w:val="none"/>
                <w:lang w:val="en-US" w:eastAsia="zh-CN"/>
              </w:rPr>
            </w:pPr>
            <w:r>
              <w:rPr>
                <w:rFonts w:hint="default" w:ascii="Times New Roman" w:hAnsi="Times New Roman" w:cs="Times New Roman"/>
                <w:color w:val="auto"/>
                <w:sz w:val="24"/>
                <w:szCs w:val="24"/>
                <w:highlight w:val="none"/>
                <w:lang w:val="en-US" w:eastAsia="zh-CN"/>
              </w:rPr>
              <w:t>项目替代颗粒燃烧废气</w:t>
            </w:r>
            <w:r>
              <w:rPr>
                <w:rFonts w:hint="default" w:ascii="Times New Roman" w:hAnsi="Times New Roman" w:eastAsia="宋体" w:cs="Times New Roman"/>
                <w:color w:val="auto"/>
                <w:sz w:val="24"/>
                <w:szCs w:val="24"/>
                <w:highlight w:val="none"/>
                <w:lang w:val="en-US" w:eastAsia="zh-CN"/>
              </w:rPr>
              <w:t>配套“低氮燃烧+SCR脱硝+干法脱硫+脉冲布袋除尘器”处理措施，满足《排污许可证申请与核发技术规范 锅炉》表7锅炉烟气污染防治可行技术中给出的生物质锅炉炉型、氮氧化物、颗粒物和汞及其化合物可行技术。</w:t>
            </w:r>
          </w:p>
          <w:p w14:paraId="007A90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低温等离子体是指通过高压放电（如介质阻挡放电、电晕放电等）使气体部分电离，形成包含电子、离子、自由基（如・OH、・O）等活性粒子的非平衡态体系。这些活性粒子与废气中的污染物（恶臭气体等）发生碰撞，通过分解、氧化、聚合等反应，将其转化为无害的</w:t>
            </w:r>
            <w:r>
              <w:rPr>
                <w:rFonts w:hint="default" w:ascii="Times New Roman" w:hAnsi="Times New Roman" w:cs="Times New Roman"/>
                <w:color w:val="auto"/>
                <w:sz w:val="24"/>
                <w:highlight w:val="none"/>
                <w:lang w:val="en-US" w:eastAsia="zh-CN"/>
              </w:rPr>
              <w:t>二氧化碳、水</w:t>
            </w:r>
            <w:r>
              <w:rPr>
                <w:rFonts w:hint="default" w:ascii="Times New Roman" w:hAnsi="Times New Roman" w:cs="Times New Roman"/>
                <w:color w:val="auto"/>
                <w:sz w:val="24"/>
                <w:highlight w:val="none"/>
                <w:lang w:eastAsia="zh-CN"/>
              </w:rPr>
              <w:t>或低毒物质。</w:t>
            </w:r>
          </w:p>
          <w:p w14:paraId="25CCFC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生物除臭塔：生物降解技术最早应用于脱臭，近年来逐渐发展成为新型污染控制技术。该技术中，废气由湿度控制器进行加湿后通过生物滤床的布气板，沿滤料均匀向上移动，在停留时间内，气相物质通过平流效应、扩散效应、吸附等综合作用，进入包围在滤料表面的</w:t>
            </w:r>
            <w:r>
              <w:rPr>
                <w:rFonts w:hint="default" w:ascii="Times New Roman" w:hAnsi="Times New Roman" w:cs="Times New Roman"/>
                <w:color w:val="auto"/>
                <w:sz w:val="24"/>
                <w:highlight w:val="none"/>
              </w:rPr>
              <w:t>活性生物层，与生物层内的微生物发生好氧反应，进行生物降解，最终生成CO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和H</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lang w:val="en-US" w:eastAsia="zh-CN"/>
              </w:rPr>
              <w:t>O</w:t>
            </w:r>
            <w:r>
              <w:rPr>
                <w:rFonts w:hint="default" w:ascii="Times New Roman" w:hAnsi="Times New Roman" w:cs="Times New Roman"/>
                <w:color w:val="auto"/>
                <w:sz w:val="24"/>
                <w:highlight w:val="none"/>
              </w:rPr>
              <w:t>。</w:t>
            </w:r>
          </w:p>
          <w:p w14:paraId="15371C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cs="Times New Roman"/>
                <w:color w:val="000000"/>
                <w:kern w:val="0"/>
                <w:sz w:val="24"/>
                <w:highlight w:val="none"/>
                <w:lang w:eastAsia="zh-CN" w:bidi="ar"/>
              </w:rPr>
            </w:pPr>
            <w:r>
              <w:rPr>
                <w:rFonts w:hint="default" w:ascii="Times New Roman" w:hAnsi="Times New Roman" w:cs="Times New Roman"/>
                <w:color w:val="auto"/>
                <w:sz w:val="24"/>
                <w:highlight w:val="none"/>
                <w:lang w:eastAsia="zh-CN"/>
              </w:rPr>
              <w:t>活性炭吸附</w:t>
            </w:r>
            <w:r>
              <w:rPr>
                <w:rFonts w:hint="default" w:ascii="Times New Roman" w:hAnsi="Times New Roman" w:cs="Times New Roman"/>
                <w:color w:val="auto"/>
                <w:sz w:val="24"/>
                <w:highlight w:val="none"/>
              </w:rPr>
              <w:t>：活性炭是常用的吸附剂，具有性能稳定、抗腐蚀等优点。由于它的疏水性，并具有非极性表面，为疏水性和亲水性有机物的吸附剂，常被用来吸附回收恶臭物质及有机物质，能较好地吸附臭味中的NH</w:t>
            </w:r>
            <w:r>
              <w:rPr>
                <w:rFonts w:hint="default" w:ascii="Times New Roman" w:hAnsi="Times New Roman" w:cs="Times New Roman"/>
                <w:color w:val="auto"/>
                <w:sz w:val="24"/>
                <w:highlight w:val="none"/>
                <w:vertAlign w:val="subscript"/>
              </w:rPr>
              <w:t>3</w:t>
            </w:r>
            <w:r>
              <w:rPr>
                <w:rFonts w:hint="default" w:ascii="Times New Roman" w:hAnsi="Times New Roman" w:cs="Times New Roman"/>
                <w:color w:val="auto"/>
                <w:sz w:val="24"/>
                <w:highlight w:val="none"/>
              </w:rPr>
              <w:t>和H</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S。本项目恶臭气体采用生物除臭塔+</w:t>
            </w:r>
            <w:r>
              <w:rPr>
                <w:rFonts w:hint="default" w:ascii="Times New Roman" w:hAnsi="Times New Roman" w:cs="Times New Roman"/>
                <w:color w:val="auto"/>
                <w:sz w:val="24"/>
                <w:highlight w:val="none"/>
                <w:lang w:eastAsia="zh-CN"/>
              </w:rPr>
              <w:t>活性炭吸附</w:t>
            </w:r>
            <w:r>
              <w:rPr>
                <w:rFonts w:hint="default" w:ascii="Times New Roman" w:hAnsi="Times New Roman" w:cs="Times New Roman"/>
                <w:color w:val="auto"/>
                <w:sz w:val="24"/>
                <w:highlight w:val="none"/>
              </w:rPr>
              <w:t>组合工艺，治理效率可达95%。经预测NH</w:t>
            </w:r>
            <w:r>
              <w:rPr>
                <w:rFonts w:hint="default" w:ascii="Times New Roman" w:hAnsi="Times New Roman" w:cs="Times New Roman"/>
                <w:color w:val="auto"/>
                <w:sz w:val="24"/>
                <w:highlight w:val="none"/>
                <w:vertAlign w:val="subscript"/>
              </w:rPr>
              <w:t>3</w:t>
            </w:r>
            <w:r>
              <w:rPr>
                <w:rFonts w:hint="default" w:ascii="Times New Roman" w:hAnsi="Times New Roman" w:cs="Times New Roman"/>
                <w:color w:val="auto"/>
                <w:kern w:val="0"/>
                <w:sz w:val="24"/>
                <w:highlight w:val="none"/>
              </w:rPr>
              <w:t>、</w:t>
            </w:r>
            <w:r>
              <w:rPr>
                <w:rFonts w:hint="default" w:ascii="Times New Roman" w:hAnsi="Times New Roman" w:cs="Times New Roman"/>
                <w:color w:val="auto"/>
                <w:sz w:val="24"/>
                <w:highlight w:val="none"/>
              </w:rPr>
              <w:t>H</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S排放满足《恶臭污染物排放标准》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GB14554-1993</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中表2标准限值要求。</w:t>
            </w:r>
          </w:p>
          <w:p w14:paraId="248F59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left"/>
              <w:rPr>
                <w:rFonts w:hint="default" w:ascii="Times New Roman" w:hAnsi="Times New Roman" w:cs="Times New Roman"/>
                <w:color w:val="000000"/>
                <w:kern w:val="0"/>
                <w:sz w:val="24"/>
                <w:highlight w:val="none"/>
                <w:lang w:bidi="ar"/>
              </w:rPr>
            </w:pPr>
            <w:r>
              <w:rPr>
                <w:rFonts w:hint="default" w:ascii="Times New Roman" w:hAnsi="Times New Roman" w:cs="Times New Roman"/>
                <w:color w:val="000000"/>
                <w:kern w:val="0"/>
                <w:sz w:val="24"/>
                <w:highlight w:val="none"/>
                <w:lang w:eastAsia="zh-CN" w:bidi="ar"/>
              </w:rPr>
              <w:t>（</w:t>
            </w:r>
            <w:r>
              <w:rPr>
                <w:rFonts w:hint="default" w:ascii="Times New Roman" w:hAnsi="Times New Roman" w:cs="Times New Roman"/>
                <w:color w:val="000000"/>
                <w:kern w:val="0"/>
                <w:sz w:val="24"/>
                <w:highlight w:val="none"/>
                <w:lang w:val="en-US" w:eastAsia="zh-CN" w:bidi="ar"/>
              </w:rPr>
              <w:t>6</w:t>
            </w:r>
            <w:r>
              <w:rPr>
                <w:rFonts w:hint="default" w:ascii="Times New Roman" w:hAnsi="Times New Roman" w:cs="Times New Roman"/>
                <w:color w:val="000000"/>
                <w:kern w:val="0"/>
                <w:sz w:val="24"/>
                <w:highlight w:val="none"/>
                <w:lang w:eastAsia="zh-CN" w:bidi="ar"/>
              </w:rPr>
              <w:t>）</w:t>
            </w:r>
            <w:r>
              <w:rPr>
                <w:rFonts w:hint="default" w:ascii="Times New Roman" w:hAnsi="Times New Roman" w:cs="Times New Roman"/>
                <w:color w:val="000000"/>
                <w:kern w:val="0"/>
                <w:sz w:val="24"/>
                <w:highlight w:val="none"/>
                <w:lang w:bidi="ar"/>
              </w:rPr>
              <w:t>非正常工况</w:t>
            </w:r>
          </w:p>
          <w:p w14:paraId="2686D7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left"/>
              <w:rPr>
                <w:rFonts w:hint="default" w:ascii="Times New Roman" w:hAnsi="Times New Roman" w:cs="Times New Roman"/>
                <w:bCs/>
                <w:color w:val="000000"/>
                <w:szCs w:val="21"/>
                <w:highlight w:val="none"/>
              </w:rPr>
            </w:pPr>
            <w:r>
              <w:rPr>
                <w:rFonts w:hint="default" w:ascii="Times New Roman" w:hAnsi="Times New Roman" w:cs="Times New Roman"/>
                <w:color w:val="000000"/>
                <w:kern w:val="0"/>
                <w:sz w:val="24"/>
                <w:highlight w:val="none"/>
                <w:lang w:bidi="ar"/>
              </w:rPr>
              <w:t>本项目涉及的非正常工况主要为各废气治理设施不开启或发生故障，从而导致废气超标排放，污染区域大气环境。假设布袋破损，</w:t>
            </w:r>
            <w:r>
              <w:rPr>
                <w:rFonts w:hint="default" w:ascii="Times New Roman" w:hAnsi="Times New Roman" w:cs="Times New Roman"/>
                <w:color w:val="000000"/>
                <w:kern w:val="0"/>
                <w:sz w:val="24"/>
                <w:highlight w:val="none"/>
                <w:lang w:val="en-US" w:eastAsia="zh-CN" w:bidi="ar"/>
              </w:rPr>
              <w:t>污染物</w:t>
            </w:r>
            <w:r>
              <w:rPr>
                <w:rFonts w:hint="default" w:ascii="Times New Roman" w:hAnsi="Times New Roman" w:cs="Times New Roman"/>
                <w:color w:val="000000"/>
                <w:kern w:val="0"/>
                <w:sz w:val="24"/>
                <w:highlight w:val="none"/>
                <w:lang w:bidi="ar"/>
              </w:rPr>
              <w:t>去除效率降低为</w:t>
            </w:r>
            <w:r>
              <w:rPr>
                <w:rFonts w:hint="default" w:ascii="Times New Roman" w:hAnsi="Times New Roman" w:cs="Times New Roman"/>
                <w:color w:val="000000"/>
                <w:kern w:val="0"/>
                <w:sz w:val="24"/>
                <w:highlight w:val="none"/>
                <w:lang w:val="en-US" w:eastAsia="zh-CN" w:bidi="ar"/>
              </w:rPr>
              <w:t>5</w:t>
            </w:r>
            <w:r>
              <w:rPr>
                <w:rFonts w:hint="default" w:ascii="Times New Roman" w:hAnsi="Times New Roman" w:cs="Times New Roman"/>
                <w:color w:val="000000"/>
                <w:kern w:val="0"/>
                <w:sz w:val="24"/>
                <w:highlight w:val="none"/>
                <w:lang w:bidi="ar"/>
              </w:rPr>
              <w:t>0%，故障在</w:t>
            </w:r>
            <w:r>
              <w:rPr>
                <w:rFonts w:hint="default" w:ascii="Times New Roman" w:hAnsi="Times New Roman" w:cs="Times New Roman"/>
                <w:color w:val="000000"/>
                <w:kern w:val="0"/>
                <w:sz w:val="24"/>
                <w:highlight w:val="none"/>
                <w:lang w:val="en-US" w:eastAsia="zh-CN" w:bidi="ar"/>
              </w:rPr>
              <w:t>1</w:t>
            </w:r>
            <w:r>
              <w:rPr>
                <w:rFonts w:hint="default" w:ascii="Times New Roman" w:hAnsi="Times New Roman" w:cs="Times New Roman"/>
                <w:color w:val="000000"/>
                <w:kern w:val="0"/>
                <w:sz w:val="24"/>
                <w:highlight w:val="none"/>
                <w:lang w:bidi="ar"/>
              </w:rPr>
              <w:t>h内发现，则本项目非正常工况下废气污染物的排放情况见下表。</w:t>
            </w:r>
          </w:p>
          <w:p w14:paraId="7CA7BFA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baseline"/>
              <w:rPr>
                <w:rFonts w:hint="default" w:ascii="Times New Roman" w:hAnsi="Times New Roman" w:cs="Times New Roman"/>
                <w:b/>
                <w:bCs/>
                <w:color w:val="000000"/>
                <w:sz w:val="24"/>
                <w:highlight w:val="none"/>
              </w:rPr>
            </w:pPr>
            <w:r>
              <w:rPr>
                <w:rFonts w:hint="default" w:ascii="Times New Roman" w:hAnsi="Times New Roman" w:cs="Times New Roman"/>
                <w:b/>
                <w:bCs/>
                <w:color w:val="000000"/>
                <w:sz w:val="24"/>
                <w:highlight w:val="none"/>
              </w:rPr>
              <w:t>表4-</w:t>
            </w:r>
            <w:r>
              <w:rPr>
                <w:rFonts w:hint="default" w:ascii="Times New Roman" w:hAnsi="Times New Roman" w:cs="Times New Roman"/>
                <w:b/>
                <w:bCs/>
                <w:color w:val="000000"/>
                <w:sz w:val="24"/>
                <w:highlight w:val="none"/>
                <w:lang w:val="en-US" w:eastAsia="zh-CN"/>
              </w:rPr>
              <w:t>8</w:t>
            </w:r>
            <w:r>
              <w:rPr>
                <w:rFonts w:hint="default" w:ascii="Times New Roman" w:hAnsi="Times New Roman" w:cs="Times New Roman"/>
                <w:b/>
                <w:bCs/>
                <w:color w:val="000000"/>
                <w:sz w:val="24"/>
                <w:highlight w:val="none"/>
              </w:rPr>
              <w:t xml:space="preserve"> </w:t>
            </w:r>
            <w:r>
              <w:rPr>
                <w:rFonts w:hint="default" w:ascii="Times New Roman" w:hAnsi="Times New Roman" w:cs="Times New Roman"/>
                <w:b/>
                <w:bCs/>
                <w:color w:val="000000"/>
                <w:sz w:val="24"/>
                <w:highlight w:val="none"/>
                <w:lang w:val="en-US" w:eastAsia="zh-CN"/>
              </w:rPr>
              <w:t xml:space="preserve"> </w:t>
            </w:r>
            <w:r>
              <w:rPr>
                <w:rFonts w:hint="default" w:ascii="Times New Roman" w:hAnsi="Times New Roman" w:cs="Times New Roman"/>
                <w:b/>
                <w:bCs/>
                <w:color w:val="000000"/>
                <w:sz w:val="24"/>
                <w:highlight w:val="none"/>
              </w:rPr>
              <w:t xml:space="preserve">  非正常工况下废气情况一览表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1287"/>
              <w:gridCol w:w="1443"/>
              <w:gridCol w:w="1090"/>
              <w:gridCol w:w="1253"/>
              <w:gridCol w:w="1430"/>
              <w:gridCol w:w="1419"/>
              <w:gridCol w:w="3990"/>
            </w:tblGrid>
            <w:tr w14:paraId="1B14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07C86785">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产污环节</w:t>
                  </w:r>
                </w:p>
              </w:tc>
              <w:tc>
                <w:tcPr>
                  <w:tcW w:w="496" w:type="pct"/>
                  <w:noWrap w:val="0"/>
                  <w:vAlign w:val="center"/>
                </w:tcPr>
                <w:p w14:paraId="3D869B5C">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kern w:val="0"/>
                      <w:sz w:val="18"/>
                      <w:szCs w:val="18"/>
                      <w:highlight w:val="none"/>
                    </w:rPr>
                    <w:t>非正常排放原因</w:t>
                  </w:r>
                </w:p>
              </w:tc>
              <w:tc>
                <w:tcPr>
                  <w:tcW w:w="556" w:type="pct"/>
                  <w:noWrap w:val="0"/>
                  <w:vAlign w:val="center"/>
                </w:tcPr>
                <w:p w14:paraId="7B13456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污染物种类</w:t>
                  </w:r>
                </w:p>
              </w:tc>
              <w:tc>
                <w:tcPr>
                  <w:tcW w:w="420" w:type="pct"/>
                  <w:noWrap w:val="0"/>
                  <w:vAlign w:val="center"/>
                </w:tcPr>
                <w:p w14:paraId="03FBC13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频次</w:t>
                  </w:r>
                </w:p>
              </w:tc>
              <w:tc>
                <w:tcPr>
                  <w:tcW w:w="483" w:type="pct"/>
                  <w:noWrap w:val="0"/>
                  <w:vAlign w:val="center"/>
                </w:tcPr>
                <w:p w14:paraId="55BB0F7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持续时间/h</w:t>
                  </w:r>
                </w:p>
              </w:tc>
              <w:tc>
                <w:tcPr>
                  <w:tcW w:w="551" w:type="pct"/>
                  <w:noWrap w:val="0"/>
                  <w:vAlign w:val="center"/>
                </w:tcPr>
                <w:p w14:paraId="0F43251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污染物排放量kg/h</w:t>
                  </w:r>
                </w:p>
              </w:tc>
              <w:tc>
                <w:tcPr>
                  <w:tcW w:w="547" w:type="pct"/>
                  <w:noWrap w:val="0"/>
                  <w:vAlign w:val="center"/>
                </w:tcPr>
                <w:p w14:paraId="5A880E9B">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污染物排放浓度mg/m</w:t>
                  </w:r>
                  <w:r>
                    <w:rPr>
                      <w:rFonts w:hint="default" w:ascii="Times New Roman" w:hAnsi="Times New Roman" w:cs="Times New Roman"/>
                      <w:color w:val="000000"/>
                      <w:spacing w:val="2"/>
                      <w:kern w:val="0"/>
                      <w:sz w:val="18"/>
                      <w:szCs w:val="18"/>
                      <w:highlight w:val="none"/>
                      <w:vertAlign w:val="superscript"/>
                    </w:rPr>
                    <w:t>3</w:t>
                  </w:r>
                </w:p>
              </w:tc>
              <w:tc>
                <w:tcPr>
                  <w:tcW w:w="1538" w:type="pct"/>
                  <w:noWrap w:val="0"/>
                  <w:vAlign w:val="center"/>
                </w:tcPr>
                <w:p w14:paraId="4200FBCF">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措施</w:t>
                  </w:r>
                </w:p>
              </w:tc>
            </w:tr>
            <w:tr w14:paraId="09CC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restart"/>
                  <w:noWrap w:val="0"/>
                  <w:vAlign w:val="center"/>
                </w:tcPr>
                <w:p w14:paraId="27CCF7A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lang w:val="en-US" w:eastAsia="zh-CN"/>
                    </w:rPr>
                    <w:t>废气排气筒DA001</w:t>
                  </w:r>
                </w:p>
              </w:tc>
              <w:tc>
                <w:tcPr>
                  <w:tcW w:w="496" w:type="pct"/>
                  <w:vMerge w:val="restart"/>
                  <w:noWrap w:val="0"/>
                  <w:vAlign w:val="center"/>
                </w:tcPr>
                <w:p w14:paraId="32B5173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废气处理装置故障</w:t>
                  </w:r>
                </w:p>
              </w:tc>
              <w:tc>
                <w:tcPr>
                  <w:tcW w:w="556" w:type="pct"/>
                  <w:noWrap w:val="0"/>
                  <w:vAlign w:val="center"/>
                </w:tcPr>
                <w:p w14:paraId="14F485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pacing w:val="2"/>
                      <w:kern w:val="0"/>
                      <w:sz w:val="18"/>
                      <w:szCs w:val="18"/>
                      <w:highlight w:val="none"/>
                      <w:lang w:eastAsia="zh-CN"/>
                    </w:rPr>
                  </w:pPr>
                  <w:r>
                    <w:rPr>
                      <w:rFonts w:hint="default" w:ascii="Times New Roman" w:hAnsi="Times New Roman" w:eastAsia="宋体" w:cs="Times New Roman"/>
                      <w:i w:val="0"/>
                      <w:iCs w:val="0"/>
                      <w:color w:val="000000"/>
                      <w:kern w:val="0"/>
                      <w:sz w:val="18"/>
                      <w:szCs w:val="18"/>
                      <w:u w:val="none"/>
                      <w:lang w:val="en-US" w:eastAsia="zh-CN" w:bidi="ar"/>
                    </w:rPr>
                    <w:t>氨</w:t>
                  </w:r>
                </w:p>
              </w:tc>
              <w:tc>
                <w:tcPr>
                  <w:tcW w:w="420" w:type="pct"/>
                  <w:vMerge w:val="restart"/>
                  <w:noWrap w:val="0"/>
                  <w:vAlign w:val="center"/>
                </w:tcPr>
                <w:p w14:paraId="58F5FAE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r>
                    <w:rPr>
                      <w:rFonts w:hint="default" w:ascii="Times New Roman" w:hAnsi="Times New Roman" w:cs="Times New Roman"/>
                      <w:color w:val="000000"/>
                      <w:spacing w:val="2"/>
                      <w:kern w:val="0"/>
                      <w:sz w:val="18"/>
                      <w:szCs w:val="18"/>
                      <w:highlight w:val="none"/>
                    </w:rPr>
                    <w:t>1次/a</w:t>
                  </w:r>
                </w:p>
              </w:tc>
              <w:tc>
                <w:tcPr>
                  <w:tcW w:w="483" w:type="pct"/>
                  <w:vMerge w:val="restart"/>
                  <w:noWrap w:val="0"/>
                  <w:vAlign w:val="center"/>
                </w:tcPr>
                <w:p w14:paraId="36DE52DE">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eastAsia="zh-CN"/>
                    </w:rPr>
                  </w:pPr>
                  <w:r>
                    <w:rPr>
                      <w:rFonts w:hint="default" w:ascii="Times New Roman" w:hAnsi="Times New Roman" w:cs="Times New Roman"/>
                      <w:color w:val="000000"/>
                      <w:spacing w:val="2"/>
                      <w:kern w:val="0"/>
                      <w:sz w:val="18"/>
                      <w:szCs w:val="18"/>
                      <w:highlight w:val="none"/>
                      <w:lang w:val="en-US" w:eastAsia="zh-CN"/>
                    </w:rPr>
                    <w:t>1</w:t>
                  </w:r>
                </w:p>
              </w:tc>
              <w:tc>
                <w:tcPr>
                  <w:tcW w:w="551" w:type="pct"/>
                  <w:noWrap w:val="0"/>
                  <w:vAlign w:val="center"/>
                </w:tcPr>
                <w:p w14:paraId="5DBB08A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0.687</w:t>
                  </w:r>
                </w:p>
              </w:tc>
              <w:tc>
                <w:tcPr>
                  <w:tcW w:w="547" w:type="pct"/>
                  <w:noWrap w:val="0"/>
                  <w:vAlign w:val="center"/>
                </w:tcPr>
                <w:p w14:paraId="589140F8">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17.176</w:t>
                  </w:r>
                </w:p>
              </w:tc>
              <w:tc>
                <w:tcPr>
                  <w:tcW w:w="1538" w:type="pct"/>
                  <w:vMerge w:val="restart"/>
                  <w:noWrap w:val="0"/>
                  <w:vAlign w:val="center"/>
                </w:tcPr>
                <w:p w14:paraId="354E218C">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r>
                    <w:rPr>
                      <w:rFonts w:hint="default" w:ascii="Times New Roman" w:hAnsi="Times New Roman" w:cs="Times New Roman"/>
                      <w:color w:val="000000"/>
                      <w:sz w:val="18"/>
                      <w:szCs w:val="18"/>
                      <w:highlight w:val="none"/>
                      <w:lang w:bidi="ar"/>
                    </w:rPr>
                    <w:t>当非正常工况发生时，建设单位应立即停止生产，并及时对环保设备进行检修，在环保设备检修完成，且确保能够正常工作后再恢复生产。建议建设单位定期对各废气治理设施进行检修，降低非正常工况的发生频次，减少非正常工况的持续时间</w:t>
                  </w:r>
                </w:p>
              </w:tc>
            </w:tr>
            <w:tr w14:paraId="6048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6F11D76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3F54961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78C92F2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硫化氢</w:t>
                  </w:r>
                </w:p>
              </w:tc>
              <w:tc>
                <w:tcPr>
                  <w:tcW w:w="420" w:type="pct"/>
                  <w:vMerge w:val="continue"/>
                  <w:noWrap w:val="0"/>
                  <w:vAlign w:val="center"/>
                </w:tcPr>
                <w:p w14:paraId="29D477A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5E5CA65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551" w:type="pct"/>
                  <w:noWrap w:val="0"/>
                  <w:vAlign w:val="center"/>
                </w:tcPr>
                <w:p w14:paraId="5B8B444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0.035</w:t>
                  </w:r>
                </w:p>
              </w:tc>
              <w:tc>
                <w:tcPr>
                  <w:tcW w:w="547" w:type="pct"/>
                  <w:noWrap w:val="0"/>
                  <w:vAlign w:val="center"/>
                </w:tcPr>
                <w:p w14:paraId="2949A5EF">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0.877</w:t>
                  </w:r>
                </w:p>
              </w:tc>
              <w:tc>
                <w:tcPr>
                  <w:tcW w:w="1538" w:type="pct"/>
                  <w:vMerge w:val="continue"/>
                  <w:noWrap w:val="0"/>
                  <w:vAlign w:val="center"/>
                </w:tcPr>
                <w:p w14:paraId="2786663C">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71D1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244ED06D">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50D70FB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61497B3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臭气浓度</w:t>
                  </w:r>
                </w:p>
              </w:tc>
              <w:tc>
                <w:tcPr>
                  <w:tcW w:w="420" w:type="pct"/>
                  <w:vMerge w:val="continue"/>
                  <w:noWrap w:val="0"/>
                  <w:vAlign w:val="center"/>
                </w:tcPr>
                <w:p w14:paraId="755C6203">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1F2AC72C">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551" w:type="pct"/>
                  <w:noWrap w:val="0"/>
                  <w:vAlign w:val="center"/>
                </w:tcPr>
                <w:p w14:paraId="105AD91F">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w:t>
                  </w:r>
                </w:p>
              </w:tc>
              <w:tc>
                <w:tcPr>
                  <w:tcW w:w="547" w:type="pct"/>
                  <w:noWrap w:val="0"/>
                  <w:vAlign w:val="center"/>
                </w:tcPr>
                <w:p w14:paraId="7B83DDA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w:t>
                  </w:r>
                </w:p>
              </w:tc>
              <w:tc>
                <w:tcPr>
                  <w:tcW w:w="1538" w:type="pct"/>
                  <w:vMerge w:val="continue"/>
                  <w:noWrap w:val="0"/>
                  <w:vAlign w:val="center"/>
                </w:tcPr>
                <w:p w14:paraId="4C4158F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5632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33D4B5D3">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废气排气筒DA002</w:t>
                  </w:r>
                </w:p>
              </w:tc>
              <w:tc>
                <w:tcPr>
                  <w:tcW w:w="496" w:type="pct"/>
                  <w:vMerge w:val="continue"/>
                  <w:noWrap w:val="0"/>
                  <w:vAlign w:val="center"/>
                </w:tcPr>
                <w:p w14:paraId="0B94711C">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3282DF23">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颗粒物</w:t>
                  </w:r>
                </w:p>
              </w:tc>
              <w:tc>
                <w:tcPr>
                  <w:tcW w:w="420" w:type="pct"/>
                  <w:vMerge w:val="continue"/>
                  <w:noWrap w:val="0"/>
                  <w:vAlign w:val="center"/>
                </w:tcPr>
                <w:p w14:paraId="07CC0B3D">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5933A9EA">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1435" w:type="dxa"/>
                  <w:noWrap w:val="0"/>
                  <w:vAlign w:val="center"/>
                </w:tcPr>
                <w:p w14:paraId="247C664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4.365</w:t>
                  </w:r>
                </w:p>
              </w:tc>
              <w:tc>
                <w:tcPr>
                  <w:tcW w:w="1425" w:type="dxa"/>
                  <w:noWrap w:val="0"/>
                  <w:vAlign w:val="center"/>
                </w:tcPr>
                <w:p w14:paraId="47C08023">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54.557</w:t>
                  </w:r>
                </w:p>
              </w:tc>
              <w:tc>
                <w:tcPr>
                  <w:tcW w:w="1538" w:type="pct"/>
                  <w:vMerge w:val="continue"/>
                  <w:noWrap w:val="0"/>
                  <w:vAlign w:val="center"/>
                </w:tcPr>
                <w:p w14:paraId="4319584A">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12C1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restart"/>
                  <w:noWrap w:val="0"/>
                  <w:vAlign w:val="center"/>
                </w:tcPr>
                <w:p w14:paraId="627C86C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废气排气筒DA003</w:t>
                  </w:r>
                </w:p>
              </w:tc>
              <w:tc>
                <w:tcPr>
                  <w:tcW w:w="496" w:type="pct"/>
                  <w:vMerge w:val="continue"/>
                  <w:noWrap w:val="0"/>
                  <w:vAlign w:val="center"/>
                </w:tcPr>
                <w:p w14:paraId="1016617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6849413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颗粒物</w:t>
                  </w:r>
                </w:p>
              </w:tc>
              <w:tc>
                <w:tcPr>
                  <w:tcW w:w="420" w:type="pct"/>
                  <w:vMerge w:val="continue"/>
                  <w:noWrap w:val="0"/>
                  <w:vAlign w:val="center"/>
                </w:tcPr>
                <w:p w14:paraId="793C6FC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6F06E95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1435" w:type="dxa"/>
                  <w:noWrap w:val="0"/>
                  <w:vAlign w:val="center"/>
                </w:tcPr>
                <w:p w14:paraId="4C40950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2.785</w:t>
                  </w:r>
                </w:p>
              </w:tc>
              <w:tc>
                <w:tcPr>
                  <w:tcW w:w="1425" w:type="dxa"/>
                  <w:noWrap w:val="0"/>
                  <w:vAlign w:val="center"/>
                </w:tcPr>
                <w:p w14:paraId="4CAB51D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143.105</w:t>
                  </w:r>
                </w:p>
              </w:tc>
              <w:tc>
                <w:tcPr>
                  <w:tcW w:w="1538" w:type="pct"/>
                  <w:vMerge w:val="continue"/>
                  <w:noWrap w:val="0"/>
                  <w:vAlign w:val="center"/>
                </w:tcPr>
                <w:p w14:paraId="68DFBFC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5E59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60DE233E">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448BA5A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0F928C2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二氧化硫</w:t>
                  </w:r>
                </w:p>
              </w:tc>
              <w:tc>
                <w:tcPr>
                  <w:tcW w:w="420" w:type="pct"/>
                  <w:vMerge w:val="continue"/>
                  <w:noWrap w:val="0"/>
                  <w:vAlign w:val="center"/>
                </w:tcPr>
                <w:p w14:paraId="2F07A1F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2848047E">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1435" w:type="dxa"/>
                  <w:noWrap w:val="0"/>
                  <w:vAlign w:val="center"/>
                </w:tcPr>
                <w:p w14:paraId="3FF7687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3.333</w:t>
                  </w:r>
                </w:p>
              </w:tc>
              <w:tc>
                <w:tcPr>
                  <w:tcW w:w="1425" w:type="dxa"/>
                  <w:noWrap w:val="0"/>
                  <w:vAlign w:val="center"/>
                </w:tcPr>
                <w:p w14:paraId="6AE1EE48">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171.298</w:t>
                  </w:r>
                </w:p>
              </w:tc>
              <w:tc>
                <w:tcPr>
                  <w:tcW w:w="1538" w:type="pct"/>
                  <w:vMerge w:val="continue"/>
                  <w:noWrap w:val="0"/>
                  <w:vAlign w:val="center"/>
                </w:tcPr>
                <w:p w14:paraId="698B3F6B">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688A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6A31703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0C162E03">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5A69E73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氮氧化物</w:t>
                  </w:r>
                </w:p>
              </w:tc>
              <w:tc>
                <w:tcPr>
                  <w:tcW w:w="420" w:type="pct"/>
                  <w:vMerge w:val="continue"/>
                  <w:noWrap w:val="0"/>
                  <w:vAlign w:val="center"/>
                </w:tcPr>
                <w:p w14:paraId="467F702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2F6036A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1435" w:type="dxa"/>
                  <w:noWrap w:val="0"/>
                  <w:vAlign w:val="center"/>
                </w:tcPr>
                <w:p w14:paraId="39339B5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4.785</w:t>
                  </w:r>
                </w:p>
              </w:tc>
              <w:tc>
                <w:tcPr>
                  <w:tcW w:w="1425" w:type="dxa"/>
                  <w:noWrap w:val="0"/>
                  <w:vAlign w:val="center"/>
                </w:tcPr>
                <w:p w14:paraId="24F7DC1E">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245.884</w:t>
                  </w:r>
                </w:p>
              </w:tc>
              <w:tc>
                <w:tcPr>
                  <w:tcW w:w="1538" w:type="pct"/>
                  <w:vMerge w:val="continue"/>
                  <w:noWrap w:val="0"/>
                  <w:vAlign w:val="center"/>
                </w:tcPr>
                <w:p w14:paraId="4841BCB4">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57B2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12FDEB45">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417B4AE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6A8BAFE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氨</w:t>
                  </w:r>
                </w:p>
              </w:tc>
              <w:tc>
                <w:tcPr>
                  <w:tcW w:w="420" w:type="pct"/>
                  <w:vMerge w:val="continue"/>
                  <w:noWrap w:val="0"/>
                  <w:vAlign w:val="center"/>
                </w:tcPr>
                <w:p w14:paraId="14E7D97A">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496A4D5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551" w:type="pct"/>
                  <w:noWrap w:val="0"/>
                  <w:vAlign w:val="center"/>
                </w:tcPr>
                <w:p w14:paraId="45B71FCE">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w:t>
                  </w:r>
                </w:p>
              </w:tc>
              <w:tc>
                <w:tcPr>
                  <w:tcW w:w="547" w:type="pct"/>
                  <w:noWrap w:val="0"/>
                  <w:vAlign w:val="center"/>
                </w:tcPr>
                <w:p w14:paraId="4AC15F9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w:t>
                  </w:r>
                </w:p>
              </w:tc>
              <w:tc>
                <w:tcPr>
                  <w:tcW w:w="1538" w:type="pct"/>
                  <w:vMerge w:val="continue"/>
                  <w:noWrap w:val="0"/>
                  <w:vAlign w:val="center"/>
                </w:tcPr>
                <w:p w14:paraId="3F1CC54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4DC7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38EF2B85">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6D31FAEB">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09D4953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汞及其化合物</w:t>
                  </w:r>
                </w:p>
              </w:tc>
              <w:tc>
                <w:tcPr>
                  <w:tcW w:w="420" w:type="pct"/>
                  <w:vMerge w:val="continue"/>
                  <w:noWrap w:val="0"/>
                  <w:vAlign w:val="center"/>
                </w:tcPr>
                <w:p w14:paraId="043120B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221401EF">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1435" w:type="dxa"/>
                  <w:noWrap w:val="0"/>
                  <w:vAlign w:val="center"/>
                </w:tcPr>
                <w:p w14:paraId="67A9ACC0">
                  <w:pPr>
                    <w:keepNext w:val="0"/>
                    <w:keepLines w:val="0"/>
                    <w:widowControl/>
                    <w:suppressLineNumbers w:val="0"/>
                    <w:autoSpaceDE w:val="0"/>
                    <w:autoSpaceDN w:val="0"/>
                    <w:adjustRightInd w:val="0"/>
                    <w:snapToGrid w:val="0"/>
                    <w:spacing w:before="0" w:beforeAutospacing="0" w:after="0" w:afterAutospacing="0" w:line="0" w:lineRule="atLeast"/>
                    <w:ind w:left="0" w:right="0"/>
                    <w:jc w:val="center"/>
                    <w:textAlignment w:val="auto"/>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spacing w:val="2"/>
                      <w:kern w:val="0"/>
                      <w:sz w:val="18"/>
                      <w:szCs w:val="18"/>
                      <w:highlight w:val="none"/>
                      <w:u w:val="none"/>
                      <w:lang w:val="en-US" w:eastAsia="zh-CN" w:bidi="ar"/>
                    </w:rPr>
                    <w:t xml:space="preserve">0.000005 </w:t>
                  </w:r>
                </w:p>
              </w:tc>
              <w:tc>
                <w:tcPr>
                  <w:tcW w:w="1425" w:type="dxa"/>
                  <w:noWrap w:val="0"/>
                  <w:vAlign w:val="center"/>
                </w:tcPr>
                <w:p w14:paraId="35F14D8E">
                  <w:pPr>
                    <w:keepNext w:val="0"/>
                    <w:keepLines w:val="0"/>
                    <w:widowControl/>
                    <w:suppressLineNumbers w:val="0"/>
                    <w:autoSpaceDE w:val="0"/>
                    <w:autoSpaceDN w:val="0"/>
                    <w:adjustRightInd w:val="0"/>
                    <w:snapToGrid w:val="0"/>
                    <w:spacing w:before="0" w:beforeAutospacing="0" w:after="0" w:afterAutospacing="0" w:line="0" w:lineRule="atLeast"/>
                    <w:ind w:left="0" w:right="0"/>
                    <w:jc w:val="center"/>
                    <w:textAlignment w:val="auto"/>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spacing w:val="2"/>
                      <w:kern w:val="0"/>
                      <w:sz w:val="18"/>
                      <w:szCs w:val="18"/>
                      <w:highlight w:val="none"/>
                      <w:u w:val="none"/>
                      <w:lang w:val="en-US" w:eastAsia="zh-CN" w:bidi="ar"/>
                    </w:rPr>
                    <w:t xml:space="preserve">0.000275 </w:t>
                  </w:r>
                </w:p>
              </w:tc>
              <w:tc>
                <w:tcPr>
                  <w:tcW w:w="1538" w:type="pct"/>
                  <w:vMerge w:val="continue"/>
                  <w:noWrap w:val="0"/>
                  <w:vAlign w:val="center"/>
                </w:tcPr>
                <w:p w14:paraId="2FEDA97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4693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vMerge w:val="continue"/>
                  <w:noWrap w:val="0"/>
                  <w:vAlign w:val="center"/>
                </w:tcPr>
                <w:p w14:paraId="0EAD757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p>
              </w:tc>
              <w:tc>
                <w:tcPr>
                  <w:tcW w:w="496" w:type="pct"/>
                  <w:vMerge w:val="continue"/>
                  <w:noWrap w:val="0"/>
                  <w:vAlign w:val="center"/>
                </w:tcPr>
                <w:p w14:paraId="410C9646">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3E0F42D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烟气黑度</w:t>
                  </w:r>
                </w:p>
              </w:tc>
              <w:tc>
                <w:tcPr>
                  <w:tcW w:w="420" w:type="pct"/>
                  <w:vMerge w:val="continue"/>
                  <w:noWrap w:val="0"/>
                  <w:vAlign w:val="center"/>
                </w:tcPr>
                <w:p w14:paraId="2C70844C">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6859A38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551" w:type="pct"/>
                  <w:noWrap w:val="0"/>
                  <w:vAlign w:val="center"/>
                </w:tcPr>
                <w:p w14:paraId="22B9632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w:t>
                  </w:r>
                </w:p>
              </w:tc>
              <w:tc>
                <w:tcPr>
                  <w:tcW w:w="547" w:type="pct"/>
                  <w:noWrap w:val="0"/>
                  <w:vAlign w:val="center"/>
                </w:tcPr>
                <w:p w14:paraId="7DACC20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w:t>
                  </w:r>
                </w:p>
              </w:tc>
              <w:tc>
                <w:tcPr>
                  <w:tcW w:w="1538" w:type="pct"/>
                  <w:vMerge w:val="continue"/>
                  <w:noWrap w:val="0"/>
                  <w:vAlign w:val="center"/>
                </w:tcPr>
                <w:p w14:paraId="3DBA293D">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r w14:paraId="166C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5E6DFA62">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废气排气筒DA004</w:t>
                  </w:r>
                </w:p>
              </w:tc>
              <w:tc>
                <w:tcPr>
                  <w:tcW w:w="496" w:type="pct"/>
                  <w:vMerge w:val="continue"/>
                  <w:noWrap w:val="0"/>
                  <w:vAlign w:val="center"/>
                </w:tcPr>
                <w:p w14:paraId="4A09BB91">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rPr>
                  </w:pPr>
                </w:p>
              </w:tc>
              <w:tc>
                <w:tcPr>
                  <w:tcW w:w="556" w:type="pct"/>
                  <w:noWrap w:val="0"/>
                  <w:vAlign w:val="center"/>
                </w:tcPr>
                <w:p w14:paraId="560C593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颗粒物</w:t>
                  </w:r>
                </w:p>
              </w:tc>
              <w:tc>
                <w:tcPr>
                  <w:tcW w:w="420" w:type="pct"/>
                  <w:vMerge w:val="continue"/>
                  <w:noWrap w:val="0"/>
                  <w:vAlign w:val="center"/>
                </w:tcPr>
                <w:p w14:paraId="6967F7EB">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483" w:type="pct"/>
                  <w:vMerge w:val="continue"/>
                  <w:noWrap w:val="0"/>
                  <w:vAlign w:val="center"/>
                </w:tcPr>
                <w:p w14:paraId="4126E998">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pacing w:val="2"/>
                      <w:kern w:val="0"/>
                      <w:sz w:val="18"/>
                      <w:szCs w:val="18"/>
                      <w:highlight w:val="none"/>
                    </w:rPr>
                  </w:pPr>
                </w:p>
              </w:tc>
              <w:tc>
                <w:tcPr>
                  <w:tcW w:w="1435" w:type="dxa"/>
                  <w:noWrap w:val="0"/>
                  <w:vAlign w:val="center"/>
                </w:tcPr>
                <w:p w14:paraId="0F7D80F7">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eastAsia="宋体" w:cs="Times New Roman"/>
                      <w:color w:val="000000"/>
                      <w:spacing w:val="2"/>
                      <w:kern w:val="0"/>
                      <w:sz w:val="18"/>
                      <w:szCs w:val="18"/>
                      <w:highlight w:val="none"/>
                      <w:lang w:val="en-US" w:eastAsia="zh-CN"/>
                    </w:rPr>
                    <w:t>2.392</w:t>
                  </w:r>
                </w:p>
              </w:tc>
              <w:tc>
                <w:tcPr>
                  <w:tcW w:w="1425" w:type="dxa"/>
                  <w:noWrap w:val="0"/>
                  <w:vAlign w:val="center"/>
                </w:tcPr>
                <w:p w14:paraId="0548C349">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000000"/>
                      <w:spacing w:val="2"/>
                      <w:kern w:val="0"/>
                      <w:sz w:val="18"/>
                      <w:szCs w:val="18"/>
                      <w:highlight w:val="none"/>
                      <w:lang w:val="en-US" w:eastAsia="zh-CN"/>
                    </w:rPr>
                  </w:pPr>
                  <w:r>
                    <w:rPr>
                      <w:rFonts w:hint="default" w:ascii="Times New Roman" w:hAnsi="Times New Roman" w:cs="Times New Roman"/>
                      <w:color w:val="000000"/>
                      <w:spacing w:val="2"/>
                      <w:kern w:val="0"/>
                      <w:sz w:val="18"/>
                      <w:szCs w:val="18"/>
                      <w:highlight w:val="none"/>
                      <w:lang w:val="en-US" w:eastAsia="zh-CN"/>
                    </w:rPr>
                    <w:t>149.489</w:t>
                  </w:r>
                </w:p>
              </w:tc>
              <w:tc>
                <w:tcPr>
                  <w:tcW w:w="1538" w:type="pct"/>
                  <w:vMerge w:val="continue"/>
                  <w:noWrap w:val="0"/>
                  <w:vAlign w:val="center"/>
                </w:tcPr>
                <w:p w14:paraId="0A279720">
                  <w:pPr>
                    <w:keepNext w:val="0"/>
                    <w:keepLines w:val="0"/>
                    <w:suppressLineNumbers w:val="0"/>
                    <w:autoSpaceDE w:val="0"/>
                    <w:autoSpaceDN w:val="0"/>
                    <w:adjustRightInd w:val="0"/>
                    <w:snapToGrid w:val="0"/>
                    <w:spacing w:before="0" w:beforeAutospacing="0" w:after="0" w:afterAutospacing="0" w:line="0" w:lineRule="atLeast"/>
                    <w:ind w:left="0" w:right="0"/>
                    <w:jc w:val="center"/>
                    <w:rPr>
                      <w:rFonts w:hint="default" w:ascii="Times New Roman" w:hAnsi="Times New Roman" w:cs="Times New Roman"/>
                      <w:color w:val="000000"/>
                      <w:sz w:val="18"/>
                      <w:szCs w:val="18"/>
                      <w:highlight w:val="none"/>
                      <w:lang w:bidi="ar"/>
                    </w:rPr>
                  </w:pPr>
                </w:p>
              </w:tc>
            </w:tr>
          </w:tbl>
          <w:p w14:paraId="46E5C3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eastAsia="宋体" w:cs="Times New Roman"/>
                <w:color w:val="000000"/>
                <w:kern w:val="0"/>
                <w:sz w:val="24"/>
                <w:highlight w:val="none"/>
                <w:lang w:val="en-US" w:eastAsia="zh-CN" w:bidi="ar"/>
              </w:rPr>
              <w:t>（7）监测方案</w:t>
            </w:r>
          </w:p>
          <w:p w14:paraId="7C128C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表4-</w:t>
            </w:r>
            <w:r>
              <w:rPr>
                <w:rFonts w:hint="default" w:ascii="Times New Roman" w:hAnsi="Times New Roman" w:cs="Times New Roman"/>
                <w:b/>
                <w:color w:val="auto"/>
                <w:sz w:val="24"/>
                <w:szCs w:val="24"/>
                <w:highlight w:val="none"/>
                <w:lang w:val="en-US" w:eastAsia="zh-CN"/>
              </w:rPr>
              <w:t>9</w:t>
            </w:r>
            <w:r>
              <w:rPr>
                <w:rFonts w:hint="default" w:ascii="Times New Roman" w:hAnsi="Times New Roman" w:eastAsia="宋体" w:cs="Times New Roman"/>
                <w:b/>
                <w:color w:val="auto"/>
                <w:sz w:val="24"/>
                <w:szCs w:val="24"/>
                <w:highlight w:val="none"/>
                <w:lang w:val="en-US" w:eastAsia="zh-CN"/>
              </w:rPr>
              <w:t xml:space="preserve">  大气环境监测情况一览表</w:t>
            </w:r>
          </w:p>
          <w:tbl>
            <w:tblPr>
              <w:tblStyle w:val="31"/>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678"/>
              <w:gridCol w:w="1809"/>
              <w:gridCol w:w="1924"/>
              <w:gridCol w:w="6546"/>
            </w:tblGrid>
            <w:tr w14:paraId="30EAAE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tcBorders>
                    <w:tl2br w:val="nil"/>
                    <w:tr2bl w:val="nil"/>
                  </w:tcBorders>
                  <w:noWrap w:val="0"/>
                  <w:vAlign w:val="center"/>
                </w:tcPr>
                <w:p w14:paraId="4164211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监测点位</w:t>
                  </w:r>
                </w:p>
              </w:tc>
              <w:tc>
                <w:tcPr>
                  <w:tcW w:w="698" w:type="pct"/>
                  <w:tcBorders>
                    <w:tl2br w:val="nil"/>
                    <w:tr2bl w:val="nil"/>
                  </w:tcBorders>
                  <w:noWrap w:val="0"/>
                  <w:vAlign w:val="center"/>
                </w:tcPr>
                <w:p w14:paraId="0FD950A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监测指标</w:t>
                  </w:r>
                </w:p>
              </w:tc>
              <w:tc>
                <w:tcPr>
                  <w:tcW w:w="742" w:type="pct"/>
                  <w:tcBorders>
                    <w:tl2br w:val="nil"/>
                    <w:tr2bl w:val="nil"/>
                  </w:tcBorders>
                  <w:noWrap w:val="0"/>
                  <w:vAlign w:val="center"/>
                </w:tcPr>
                <w:p w14:paraId="381FEFB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监测频次</w:t>
                  </w:r>
                </w:p>
              </w:tc>
              <w:tc>
                <w:tcPr>
                  <w:tcW w:w="2525" w:type="pct"/>
                  <w:tcBorders>
                    <w:tl2br w:val="nil"/>
                    <w:tr2bl w:val="nil"/>
                  </w:tcBorders>
                  <w:noWrap w:val="0"/>
                  <w:vAlign w:val="center"/>
                </w:tcPr>
                <w:p w14:paraId="04F2FE5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执行标准</w:t>
                  </w:r>
                </w:p>
              </w:tc>
            </w:tr>
            <w:tr w14:paraId="1D7F5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restart"/>
                  <w:tcBorders>
                    <w:tl2br w:val="nil"/>
                    <w:tr2bl w:val="nil"/>
                  </w:tcBorders>
                  <w:noWrap w:val="0"/>
                  <w:vAlign w:val="center"/>
                </w:tcPr>
                <w:p w14:paraId="4F68504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lang w:val="en-US" w:eastAsia="zh-CN"/>
                    </w:rPr>
                    <w:t>原料存储、发酵工序</w:t>
                  </w:r>
                  <w:r>
                    <w:rPr>
                      <w:rFonts w:hint="default" w:ascii="Times New Roman" w:hAnsi="Times New Roman" w:cs="Times New Roman"/>
                      <w:b w:val="0"/>
                      <w:bCs/>
                      <w:color w:val="auto"/>
                      <w:sz w:val="18"/>
                      <w:szCs w:val="18"/>
                      <w:highlight w:val="none"/>
                      <w:lang w:val="en-US" w:eastAsia="zh-CN"/>
                    </w:rPr>
                    <w:t>、污水处理站</w:t>
                  </w:r>
                  <w:r>
                    <w:rPr>
                      <w:rFonts w:hint="default" w:ascii="Times New Roman" w:hAnsi="Times New Roman" w:eastAsia="宋体" w:cs="Times New Roman"/>
                      <w:b w:val="0"/>
                      <w:bCs/>
                      <w:color w:val="auto"/>
                      <w:sz w:val="18"/>
                      <w:szCs w:val="18"/>
                      <w:highlight w:val="none"/>
                      <w:lang w:val="en-US" w:eastAsia="zh-CN"/>
                    </w:rPr>
                    <w:t>废气排放口</w:t>
                  </w:r>
                  <w:r>
                    <w:rPr>
                      <w:rFonts w:hint="default" w:ascii="Times New Roman" w:hAnsi="Times New Roman" w:cs="Times New Roman"/>
                      <w:b w:val="0"/>
                      <w:bCs w:val="0"/>
                      <w:color w:val="auto"/>
                      <w:sz w:val="18"/>
                      <w:szCs w:val="18"/>
                      <w:highlight w:val="none"/>
                      <w:vertAlign w:val="baseline"/>
                      <w:lang w:val="en-US" w:eastAsia="zh-CN"/>
                    </w:rPr>
                    <w:t>（DA001）</w:t>
                  </w:r>
                </w:p>
              </w:tc>
              <w:tc>
                <w:tcPr>
                  <w:tcW w:w="698" w:type="pct"/>
                  <w:tcBorders>
                    <w:tl2br w:val="nil"/>
                    <w:tr2bl w:val="nil"/>
                  </w:tcBorders>
                  <w:shd w:val="clear" w:color="auto" w:fill="auto"/>
                  <w:noWrap w:val="0"/>
                  <w:vAlign w:val="center"/>
                </w:tcPr>
                <w:p w14:paraId="335C64B6">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kern w:val="0"/>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lang w:val="en-US" w:eastAsia="zh-CN"/>
                    </w:rPr>
                    <w:t>NH</w:t>
                  </w:r>
                  <w:r>
                    <w:rPr>
                      <w:rFonts w:hint="default" w:ascii="Times New Roman" w:hAnsi="Times New Roman" w:eastAsia="宋体" w:cs="Times New Roman"/>
                      <w:b w:val="0"/>
                      <w:bCs/>
                      <w:color w:val="auto"/>
                      <w:sz w:val="18"/>
                      <w:szCs w:val="18"/>
                      <w:highlight w:val="none"/>
                      <w:vertAlign w:val="subscript"/>
                      <w:lang w:val="en-US" w:eastAsia="zh-CN"/>
                    </w:rPr>
                    <w:t>3</w:t>
                  </w:r>
                </w:p>
              </w:tc>
              <w:tc>
                <w:tcPr>
                  <w:tcW w:w="742" w:type="pct"/>
                  <w:tcBorders>
                    <w:tl2br w:val="nil"/>
                    <w:tr2bl w:val="nil"/>
                  </w:tcBorders>
                  <w:noWrap w:val="0"/>
                  <w:vAlign w:val="center"/>
                </w:tcPr>
                <w:p w14:paraId="7BF2750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vMerge w:val="restart"/>
                  <w:tcBorders>
                    <w:tl2br w:val="nil"/>
                    <w:tr2bl w:val="nil"/>
                  </w:tcBorders>
                  <w:noWrap w:val="0"/>
                  <w:vAlign w:val="center"/>
                </w:tcPr>
                <w:p w14:paraId="6E65B2D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rPr>
                    <w:t>《恶臭污染物排放标准</w:t>
                  </w:r>
                  <w:r>
                    <w:rPr>
                      <w:rFonts w:hint="eastAsia" w:ascii="Times New Roman"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GB14554-1993</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表</w:t>
                  </w:r>
                  <w:r>
                    <w:rPr>
                      <w:rFonts w:hint="default" w:ascii="Times New Roman" w:hAnsi="Times New Roman" w:eastAsia="宋体" w:cs="Times New Roman"/>
                      <w:color w:val="auto"/>
                      <w:sz w:val="18"/>
                      <w:szCs w:val="18"/>
                      <w:highlight w:val="none"/>
                      <w:lang w:val="en-US" w:eastAsia="zh-CN"/>
                    </w:rPr>
                    <w:t>2二级标准限值</w:t>
                  </w:r>
                </w:p>
              </w:tc>
            </w:tr>
            <w:tr w14:paraId="2203E1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7FB3526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2AD62C0B">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napToGrid w:val="0"/>
                      <w:color w:val="auto"/>
                      <w:kern w:val="0"/>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lang w:val="en-US" w:eastAsia="zh-CN"/>
                    </w:rPr>
                    <w:t>H</w:t>
                  </w:r>
                  <w:r>
                    <w:rPr>
                      <w:rFonts w:hint="default" w:ascii="Times New Roman" w:hAnsi="Times New Roman" w:eastAsia="宋体" w:cs="Times New Roman"/>
                      <w:b w:val="0"/>
                      <w:bCs/>
                      <w:color w:val="auto"/>
                      <w:sz w:val="18"/>
                      <w:szCs w:val="18"/>
                      <w:highlight w:val="none"/>
                      <w:vertAlign w:val="subscript"/>
                      <w:lang w:val="en-US" w:eastAsia="zh-CN"/>
                    </w:rPr>
                    <w:t>2</w:t>
                  </w:r>
                  <w:r>
                    <w:rPr>
                      <w:rFonts w:hint="default" w:ascii="Times New Roman" w:hAnsi="Times New Roman" w:eastAsia="宋体" w:cs="Times New Roman"/>
                      <w:b w:val="0"/>
                      <w:bCs/>
                      <w:color w:val="auto"/>
                      <w:sz w:val="18"/>
                      <w:szCs w:val="18"/>
                      <w:highlight w:val="none"/>
                      <w:lang w:val="en-US" w:eastAsia="zh-CN"/>
                    </w:rPr>
                    <w:t>S</w:t>
                  </w:r>
                </w:p>
              </w:tc>
              <w:tc>
                <w:tcPr>
                  <w:tcW w:w="742" w:type="pct"/>
                  <w:tcBorders>
                    <w:tl2br w:val="nil"/>
                    <w:tr2bl w:val="nil"/>
                  </w:tcBorders>
                  <w:noWrap w:val="0"/>
                  <w:vAlign w:val="center"/>
                </w:tcPr>
                <w:p w14:paraId="4161B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vMerge w:val="continue"/>
                  <w:tcBorders>
                    <w:tl2br w:val="nil"/>
                    <w:tr2bl w:val="nil"/>
                  </w:tcBorders>
                  <w:noWrap w:val="0"/>
                  <w:vAlign w:val="center"/>
                </w:tcPr>
                <w:p w14:paraId="2A03793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0F3A81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6CBE340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27B7277B">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napToGrid w:val="0"/>
                      <w:color w:val="auto"/>
                      <w:kern w:val="0"/>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lang w:val="en-US" w:eastAsia="zh-CN" w:bidi="ar-SA"/>
                    </w:rPr>
                    <w:t>臭气浓度</w:t>
                  </w:r>
                </w:p>
              </w:tc>
              <w:tc>
                <w:tcPr>
                  <w:tcW w:w="742" w:type="pct"/>
                  <w:tcBorders>
                    <w:tl2br w:val="nil"/>
                    <w:tr2bl w:val="nil"/>
                  </w:tcBorders>
                  <w:noWrap w:val="0"/>
                  <w:vAlign w:val="center"/>
                </w:tcPr>
                <w:p w14:paraId="3F689C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vMerge w:val="continue"/>
                  <w:tcBorders>
                    <w:tl2br w:val="nil"/>
                    <w:tr2bl w:val="nil"/>
                  </w:tcBorders>
                  <w:noWrap w:val="0"/>
                  <w:vAlign w:val="center"/>
                </w:tcPr>
                <w:p w14:paraId="1157B64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1B0AFF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tcBorders>
                    <w:tl2br w:val="nil"/>
                    <w:tr2bl w:val="nil"/>
                  </w:tcBorders>
                  <w:noWrap w:val="0"/>
                  <w:vAlign w:val="center"/>
                </w:tcPr>
                <w:p w14:paraId="3A872D9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lang w:val="en-US" w:eastAsia="zh-CN"/>
                    </w:rPr>
                    <w:t>烘干、破碎、搅拌废气排放口</w:t>
                  </w:r>
                  <w:r>
                    <w:rPr>
                      <w:rFonts w:hint="default" w:ascii="Times New Roman" w:hAnsi="Times New Roman" w:cs="Times New Roman"/>
                      <w:b w:val="0"/>
                      <w:bCs w:val="0"/>
                      <w:color w:val="auto"/>
                      <w:sz w:val="18"/>
                      <w:szCs w:val="18"/>
                      <w:highlight w:val="none"/>
                      <w:vertAlign w:val="baseline"/>
                      <w:lang w:val="en-US" w:eastAsia="zh-CN"/>
                    </w:rPr>
                    <w:t>（DA002）</w:t>
                  </w:r>
                </w:p>
              </w:tc>
              <w:tc>
                <w:tcPr>
                  <w:tcW w:w="698" w:type="pct"/>
                  <w:tcBorders>
                    <w:tl2br w:val="nil"/>
                    <w:tr2bl w:val="nil"/>
                  </w:tcBorders>
                  <w:shd w:val="clear" w:color="auto" w:fill="auto"/>
                  <w:noWrap w:val="0"/>
                  <w:vAlign w:val="center"/>
                </w:tcPr>
                <w:p w14:paraId="281C40EB">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2"/>
                      <w:sz w:val="18"/>
                      <w:szCs w:val="18"/>
                      <w:highlight w:val="none"/>
                      <w:lang w:val="en-US" w:eastAsia="zh-CN" w:bidi="ar-SA"/>
                    </w:rPr>
                    <w:t>颗粒物</w:t>
                  </w:r>
                </w:p>
              </w:tc>
              <w:tc>
                <w:tcPr>
                  <w:tcW w:w="742" w:type="pct"/>
                  <w:tcBorders>
                    <w:tl2br w:val="nil"/>
                    <w:tr2bl w:val="nil"/>
                  </w:tcBorders>
                  <w:shd w:val="clear" w:color="auto" w:fill="auto"/>
                  <w:noWrap w:val="0"/>
                  <w:vAlign w:val="center"/>
                </w:tcPr>
                <w:p w14:paraId="574EE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tcBorders>
                    <w:tl2br w:val="nil"/>
                    <w:tr2bl w:val="nil"/>
                  </w:tcBorders>
                  <w:shd w:val="clear" w:color="auto" w:fill="auto"/>
                  <w:noWrap w:val="0"/>
                  <w:vAlign w:val="center"/>
                </w:tcPr>
                <w:p w14:paraId="76468D4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w:t>
                  </w:r>
                </w:p>
              </w:tc>
            </w:tr>
            <w:tr w14:paraId="459364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restart"/>
                  <w:tcBorders>
                    <w:tl2br w:val="nil"/>
                    <w:tr2bl w:val="nil"/>
                  </w:tcBorders>
                  <w:noWrap w:val="0"/>
                  <w:vAlign w:val="center"/>
                </w:tcPr>
                <w:p w14:paraId="42FBE43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替代颗粒燃烧废气排放口（DA003）</w:t>
                  </w:r>
                </w:p>
              </w:tc>
              <w:tc>
                <w:tcPr>
                  <w:tcW w:w="698" w:type="pct"/>
                  <w:tcBorders>
                    <w:tl2br w:val="nil"/>
                    <w:tr2bl w:val="nil"/>
                  </w:tcBorders>
                  <w:shd w:val="clear" w:color="auto" w:fill="auto"/>
                  <w:noWrap w:val="0"/>
                  <w:vAlign w:val="center"/>
                </w:tcPr>
                <w:p w14:paraId="21DD3F7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颗粒物</w:t>
                  </w:r>
                </w:p>
              </w:tc>
              <w:tc>
                <w:tcPr>
                  <w:tcW w:w="742" w:type="pct"/>
                  <w:tcBorders>
                    <w:tl2br w:val="nil"/>
                    <w:tr2bl w:val="nil"/>
                  </w:tcBorders>
                  <w:noWrap w:val="0"/>
                  <w:vAlign w:val="center"/>
                </w:tcPr>
                <w:p w14:paraId="576A34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1次/月</w:t>
                  </w:r>
                </w:p>
              </w:tc>
              <w:tc>
                <w:tcPr>
                  <w:tcW w:w="2525" w:type="pct"/>
                  <w:vMerge w:val="restart"/>
                  <w:tcBorders>
                    <w:tl2br w:val="nil"/>
                    <w:tr2bl w:val="nil"/>
                  </w:tcBorders>
                  <w:noWrap w:val="0"/>
                  <w:vAlign w:val="center"/>
                </w:tcPr>
                <w:p w14:paraId="2525625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《锅炉大气污染物排放标准》（DB13/5161-2020）表1大气污染物排放限值</w:t>
                  </w:r>
                </w:p>
              </w:tc>
            </w:tr>
            <w:tr w14:paraId="2E158D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3FFC5A2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6ADDFC8D">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二氧化硫</w:t>
                  </w:r>
                </w:p>
              </w:tc>
              <w:tc>
                <w:tcPr>
                  <w:tcW w:w="742" w:type="pct"/>
                  <w:tcBorders>
                    <w:tl2br w:val="nil"/>
                    <w:tr2bl w:val="nil"/>
                  </w:tcBorders>
                  <w:noWrap w:val="0"/>
                  <w:vAlign w:val="center"/>
                </w:tcPr>
                <w:p w14:paraId="3B0524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1次/月</w:t>
                  </w:r>
                </w:p>
              </w:tc>
              <w:tc>
                <w:tcPr>
                  <w:tcW w:w="2525" w:type="pct"/>
                  <w:vMerge w:val="continue"/>
                  <w:tcBorders>
                    <w:tl2br w:val="nil"/>
                    <w:tr2bl w:val="nil"/>
                  </w:tcBorders>
                  <w:noWrap w:val="0"/>
                  <w:vAlign w:val="center"/>
                </w:tcPr>
                <w:p w14:paraId="2CCBC9C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67D87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5A3586B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1310A785">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氮氧化物</w:t>
                  </w:r>
                </w:p>
              </w:tc>
              <w:tc>
                <w:tcPr>
                  <w:tcW w:w="742" w:type="pct"/>
                  <w:tcBorders>
                    <w:tl2br w:val="nil"/>
                    <w:tr2bl w:val="nil"/>
                  </w:tcBorders>
                  <w:noWrap w:val="0"/>
                  <w:vAlign w:val="center"/>
                </w:tcPr>
                <w:p w14:paraId="32AAE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1次/月</w:t>
                  </w:r>
                </w:p>
              </w:tc>
              <w:tc>
                <w:tcPr>
                  <w:tcW w:w="2525" w:type="pct"/>
                  <w:vMerge w:val="continue"/>
                  <w:tcBorders>
                    <w:tl2br w:val="nil"/>
                    <w:tr2bl w:val="nil"/>
                  </w:tcBorders>
                  <w:noWrap w:val="0"/>
                  <w:vAlign w:val="center"/>
                </w:tcPr>
                <w:p w14:paraId="105F0E5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5026F3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7CC93DB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29788A8B">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氨</w:t>
                  </w:r>
                </w:p>
              </w:tc>
              <w:tc>
                <w:tcPr>
                  <w:tcW w:w="742" w:type="pct"/>
                  <w:tcBorders>
                    <w:tl2br w:val="nil"/>
                    <w:tr2bl w:val="nil"/>
                  </w:tcBorders>
                  <w:noWrap w:val="0"/>
                  <w:vAlign w:val="center"/>
                </w:tcPr>
                <w:p w14:paraId="4DDFFF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1次/月</w:t>
                  </w:r>
                </w:p>
              </w:tc>
              <w:tc>
                <w:tcPr>
                  <w:tcW w:w="2525" w:type="pct"/>
                  <w:vMerge w:val="continue"/>
                  <w:tcBorders>
                    <w:tl2br w:val="nil"/>
                    <w:tr2bl w:val="nil"/>
                  </w:tcBorders>
                  <w:noWrap w:val="0"/>
                  <w:vAlign w:val="center"/>
                </w:tcPr>
                <w:p w14:paraId="4858956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75967E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294211E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2DB3DD15">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汞及其化合物</w:t>
                  </w:r>
                </w:p>
              </w:tc>
              <w:tc>
                <w:tcPr>
                  <w:tcW w:w="742" w:type="pct"/>
                  <w:tcBorders>
                    <w:tl2br w:val="nil"/>
                    <w:tr2bl w:val="nil"/>
                  </w:tcBorders>
                  <w:noWrap w:val="0"/>
                  <w:vAlign w:val="center"/>
                </w:tcPr>
                <w:p w14:paraId="127AA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1次/月</w:t>
                  </w:r>
                </w:p>
              </w:tc>
              <w:tc>
                <w:tcPr>
                  <w:tcW w:w="2525" w:type="pct"/>
                  <w:vMerge w:val="continue"/>
                  <w:tcBorders>
                    <w:tl2br w:val="nil"/>
                    <w:tr2bl w:val="nil"/>
                  </w:tcBorders>
                  <w:noWrap w:val="0"/>
                  <w:vAlign w:val="center"/>
                </w:tcPr>
                <w:p w14:paraId="2065F01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6B93E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368358C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1DEDC587">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烟气黑度</w:t>
                  </w:r>
                </w:p>
              </w:tc>
              <w:tc>
                <w:tcPr>
                  <w:tcW w:w="742" w:type="pct"/>
                  <w:tcBorders>
                    <w:tl2br w:val="nil"/>
                    <w:tr2bl w:val="nil"/>
                  </w:tcBorders>
                  <w:noWrap w:val="0"/>
                  <w:vAlign w:val="center"/>
                </w:tcPr>
                <w:p w14:paraId="374363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1次/月</w:t>
                  </w:r>
                </w:p>
              </w:tc>
              <w:tc>
                <w:tcPr>
                  <w:tcW w:w="2525" w:type="pct"/>
                  <w:vMerge w:val="continue"/>
                  <w:tcBorders>
                    <w:tl2br w:val="nil"/>
                    <w:tr2bl w:val="nil"/>
                  </w:tcBorders>
                  <w:noWrap w:val="0"/>
                  <w:vAlign w:val="center"/>
                </w:tcPr>
                <w:p w14:paraId="2033DB7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050E1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tcBorders>
                    <w:tl2br w:val="nil"/>
                    <w:tr2bl w:val="nil"/>
                  </w:tcBorders>
                  <w:noWrap w:val="0"/>
                  <w:vAlign w:val="center"/>
                </w:tcPr>
                <w:p w14:paraId="56865EB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免烧砖工序破碎、搅拌、水泥仓、粉煤灰仓废气（DA004）</w:t>
                  </w:r>
                </w:p>
              </w:tc>
              <w:tc>
                <w:tcPr>
                  <w:tcW w:w="698" w:type="pct"/>
                  <w:tcBorders>
                    <w:tl2br w:val="nil"/>
                    <w:tr2bl w:val="nil"/>
                  </w:tcBorders>
                  <w:shd w:val="clear" w:color="auto" w:fill="auto"/>
                  <w:noWrap w:val="0"/>
                  <w:vAlign w:val="center"/>
                </w:tcPr>
                <w:p w14:paraId="750AC89C">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颗粒物</w:t>
                  </w:r>
                </w:p>
              </w:tc>
              <w:tc>
                <w:tcPr>
                  <w:tcW w:w="742" w:type="pct"/>
                  <w:tcBorders>
                    <w:tl2br w:val="nil"/>
                    <w:tr2bl w:val="nil"/>
                  </w:tcBorders>
                  <w:noWrap w:val="0"/>
                  <w:vAlign w:val="center"/>
                </w:tcPr>
                <w:p w14:paraId="33ECC0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tcBorders>
                    <w:tl2br w:val="nil"/>
                    <w:tr2bl w:val="nil"/>
                  </w:tcBorders>
                  <w:noWrap w:val="0"/>
                  <w:vAlign w:val="center"/>
                </w:tcPr>
                <w:p w14:paraId="6F0ACAF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表1</w:t>
                  </w:r>
                </w:p>
              </w:tc>
            </w:tr>
            <w:tr w14:paraId="3AD94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restart"/>
                  <w:tcBorders>
                    <w:tl2br w:val="nil"/>
                    <w:tr2bl w:val="nil"/>
                  </w:tcBorders>
                  <w:noWrap w:val="0"/>
                  <w:vAlign w:val="center"/>
                </w:tcPr>
                <w:p w14:paraId="3EF66CB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厂界无组织</w:t>
                  </w:r>
                </w:p>
              </w:tc>
              <w:tc>
                <w:tcPr>
                  <w:tcW w:w="698" w:type="pct"/>
                  <w:tcBorders>
                    <w:tl2br w:val="nil"/>
                    <w:tr2bl w:val="nil"/>
                  </w:tcBorders>
                  <w:shd w:val="clear" w:color="auto" w:fill="auto"/>
                  <w:noWrap w:val="0"/>
                  <w:vAlign w:val="center"/>
                </w:tcPr>
                <w:p w14:paraId="3818B213">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color w:val="auto"/>
                      <w:sz w:val="18"/>
                      <w:szCs w:val="18"/>
                      <w:highlight w:val="none"/>
                      <w:lang w:val="en-US" w:eastAsia="zh-CN"/>
                    </w:rPr>
                    <w:t>NH</w:t>
                  </w:r>
                  <w:r>
                    <w:rPr>
                      <w:rFonts w:hint="default" w:ascii="Times New Roman" w:hAnsi="Times New Roman" w:eastAsia="宋体" w:cs="Times New Roman"/>
                      <w:b w:val="0"/>
                      <w:bCs/>
                      <w:color w:val="auto"/>
                      <w:sz w:val="18"/>
                      <w:szCs w:val="18"/>
                      <w:highlight w:val="none"/>
                      <w:vertAlign w:val="subscript"/>
                      <w:lang w:val="en-US" w:eastAsia="zh-CN"/>
                    </w:rPr>
                    <w:t>3</w:t>
                  </w:r>
                </w:p>
              </w:tc>
              <w:tc>
                <w:tcPr>
                  <w:tcW w:w="742" w:type="pct"/>
                  <w:tcBorders>
                    <w:tl2br w:val="nil"/>
                    <w:tr2bl w:val="nil"/>
                  </w:tcBorders>
                  <w:noWrap w:val="0"/>
                  <w:vAlign w:val="center"/>
                </w:tcPr>
                <w:p w14:paraId="6CAAC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vMerge w:val="restart"/>
                  <w:tcBorders>
                    <w:tl2br w:val="nil"/>
                    <w:tr2bl w:val="nil"/>
                  </w:tcBorders>
                  <w:noWrap w:val="0"/>
                  <w:vAlign w:val="center"/>
                </w:tcPr>
                <w:p w14:paraId="5887522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rPr>
                    <w:t>《恶臭污染物排放标准</w:t>
                  </w:r>
                  <w:r>
                    <w:rPr>
                      <w:rFonts w:hint="eastAsia" w:ascii="Times New Roman"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GB14554-1993</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表</w:t>
                  </w:r>
                  <w:r>
                    <w:rPr>
                      <w:rFonts w:hint="default" w:ascii="Times New Roman" w:hAnsi="Times New Roman" w:eastAsia="宋体" w:cs="Times New Roman"/>
                      <w:color w:val="auto"/>
                      <w:sz w:val="18"/>
                      <w:szCs w:val="18"/>
                      <w:highlight w:val="none"/>
                      <w:lang w:val="en-US" w:eastAsia="zh-CN"/>
                    </w:rPr>
                    <w:t>1二级标准限值</w:t>
                  </w:r>
                </w:p>
              </w:tc>
            </w:tr>
            <w:tr w14:paraId="57853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170C84E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7FAFD9D3">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color w:val="auto"/>
                      <w:sz w:val="18"/>
                      <w:szCs w:val="18"/>
                      <w:highlight w:val="none"/>
                      <w:lang w:val="en-US" w:eastAsia="zh-CN"/>
                    </w:rPr>
                    <w:t>H</w:t>
                  </w:r>
                  <w:r>
                    <w:rPr>
                      <w:rFonts w:hint="default" w:ascii="Times New Roman" w:hAnsi="Times New Roman" w:eastAsia="宋体" w:cs="Times New Roman"/>
                      <w:b w:val="0"/>
                      <w:bCs/>
                      <w:color w:val="auto"/>
                      <w:sz w:val="18"/>
                      <w:szCs w:val="18"/>
                      <w:highlight w:val="none"/>
                      <w:vertAlign w:val="subscript"/>
                      <w:lang w:val="en-US" w:eastAsia="zh-CN"/>
                    </w:rPr>
                    <w:t>2</w:t>
                  </w:r>
                  <w:r>
                    <w:rPr>
                      <w:rFonts w:hint="default" w:ascii="Times New Roman" w:hAnsi="Times New Roman" w:eastAsia="宋体" w:cs="Times New Roman"/>
                      <w:b w:val="0"/>
                      <w:bCs/>
                      <w:color w:val="auto"/>
                      <w:sz w:val="18"/>
                      <w:szCs w:val="18"/>
                      <w:highlight w:val="none"/>
                      <w:lang w:val="en-US" w:eastAsia="zh-CN"/>
                    </w:rPr>
                    <w:t>S</w:t>
                  </w:r>
                </w:p>
              </w:tc>
              <w:tc>
                <w:tcPr>
                  <w:tcW w:w="742" w:type="pct"/>
                  <w:tcBorders>
                    <w:tl2br w:val="nil"/>
                    <w:tr2bl w:val="nil"/>
                  </w:tcBorders>
                  <w:noWrap w:val="0"/>
                  <w:vAlign w:val="center"/>
                </w:tcPr>
                <w:p w14:paraId="4BF55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vMerge w:val="continue"/>
                  <w:tcBorders>
                    <w:tl2br w:val="nil"/>
                    <w:tr2bl w:val="nil"/>
                  </w:tcBorders>
                  <w:noWrap w:val="0"/>
                  <w:vAlign w:val="center"/>
                </w:tcPr>
                <w:p w14:paraId="05DC875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0F028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5F1922F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0D8FAD8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2"/>
                      <w:sz w:val="18"/>
                      <w:szCs w:val="18"/>
                      <w:highlight w:val="none"/>
                      <w:lang w:val="en-US" w:eastAsia="zh-CN" w:bidi="ar-SA"/>
                    </w:rPr>
                    <w:t>臭气浓度</w:t>
                  </w:r>
                </w:p>
              </w:tc>
              <w:tc>
                <w:tcPr>
                  <w:tcW w:w="742" w:type="pct"/>
                  <w:tcBorders>
                    <w:tl2br w:val="nil"/>
                    <w:tr2bl w:val="nil"/>
                  </w:tcBorders>
                  <w:noWrap w:val="0"/>
                  <w:vAlign w:val="center"/>
                </w:tcPr>
                <w:p w14:paraId="19B5B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vMerge w:val="continue"/>
                  <w:tcBorders>
                    <w:tl2br w:val="nil"/>
                    <w:tr2bl w:val="nil"/>
                  </w:tcBorders>
                  <w:noWrap w:val="0"/>
                  <w:vAlign w:val="center"/>
                </w:tcPr>
                <w:p w14:paraId="280A8D6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r>
            <w:tr w14:paraId="17693C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33" w:type="pct"/>
                  <w:vMerge w:val="continue"/>
                  <w:tcBorders>
                    <w:tl2br w:val="nil"/>
                    <w:tr2bl w:val="nil"/>
                  </w:tcBorders>
                  <w:noWrap w:val="0"/>
                  <w:vAlign w:val="center"/>
                </w:tcPr>
                <w:p w14:paraId="48CF08E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p>
              </w:tc>
              <w:tc>
                <w:tcPr>
                  <w:tcW w:w="698" w:type="pct"/>
                  <w:tcBorders>
                    <w:tl2br w:val="nil"/>
                    <w:tr2bl w:val="nil"/>
                  </w:tcBorders>
                  <w:shd w:val="clear" w:color="auto" w:fill="auto"/>
                  <w:noWrap w:val="0"/>
                  <w:vAlign w:val="center"/>
                </w:tcPr>
                <w:p w14:paraId="6396D82D">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63" w:afterLines="20" w:afterAutospacing="0"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2"/>
                      <w:sz w:val="18"/>
                      <w:szCs w:val="18"/>
                      <w:highlight w:val="none"/>
                      <w:lang w:val="en-US" w:eastAsia="zh-CN" w:bidi="ar-SA"/>
                    </w:rPr>
                    <w:t>颗粒物</w:t>
                  </w:r>
                </w:p>
              </w:tc>
              <w:tc>
                <w:tcPr>
                  <w:tcW w:w="742" w:type="pct"/>
                  <w:tcBorders>
                    <w:tl2br w:val="nil"/>
                    <w:tr2bl w:val="nil"/>
                  </w:tcBorders>
                  <w:noWrap w:val="0"/>
                  <w:vAlign w:val="center"/>
                </w:tcPr>
                <w:p w14:paraId="749863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1次/年</w:t>
                  </w:r>
                </w:p>
              </w:tc>
              <w:tc>
                <w:tcPr>
                  <w:tcW w:w="2525" w:type="pct"/>
                  <w:tcBorders>
                    <w:tl2br w:val="nil"/>
                    <w:tr2bl w:val="nil"/>
                  </w:tcBorders>
                  <w:noWrap w:val="0"/>
                  <w:vAlign w:val="center"/>
                </w:tcPr>
                <w:p w14:paraId="3A5CE70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rPr>
                    <w:t>《水泥工业大气污染物超低排放标准》</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DB13/2167-2020</w:t>
                  </w:r>
                  <w:r>
                    <w:rPr>
                      <w:rFonts w:hint="default" w:ascii="Times New Roman" w:hAnsi="Times New Roman"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表2中浓度限值要求</w:t>
                  </w:r>
                  <w:r>
                    <w:rPr>
                      <w:rFonts w:hint="default" w:ascii="Times New Roman" w:hAnsi="Times New Roman" w:eastAsia="宋体" w:cs="Times New Roman"/>
                      <w:sz w:val="18"/>
                      <w:szCs w:val="18"/>
                      <w:highlight w:val="none"/>
                      <w:lang w:val="en-US" w:eastAsia="zh-CN"/>
                    </w:rPr>
                    <w:t>中厂界无组织颗粒物浓度0.5mg/m³限值要求</w:t>
                  </w:r>
                </w:p>
              </w:tc>
            </w:tr>
          </w:tbl>
          <w:p w14:paraId="7110DE76">
            <w:pPr>
              <w:pStyle w:val="15"/>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default" w:ascii="Times New Roman" w:hAnsi="Times New Roman" w:cs="Times New Roman"/>
                <w:b/>
                <w:color w:val="000000"/>
                <w:highlight w:val="none"/>
              </w:rPr>
            </w:pPr>
            <w:r>
              <w:rPr>
                <w:rFonts w:hint="default" w:ascii="Times New Roman" w:hAnsi="Times New Roman" w:cs="Times New Roman"/>
                <w:b/>
                <w:color w:val="000000"/>
                <w:highlight w:val="none"/>
              </w:rPr>
              <w:t>二、废水</w:t>
            </w:r>
          </w:p>
          <w:p w14:paraId="29B13E68">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本项目</w:t>
            </w:r>
            <w:r>
              <w:rPr>
                <w:rFonts w:hint="default" w:ascii="Times New Roman" w:hAnsi="Times New Roman" w:cs="Times New Roman"/>
                <w:bCs/>
                <w:sz w:val="24"/>
                <w:highlight w:val="none"/>
              </w:rPr>
              <w:t>生活污水主要为员工盥洗废水，排入</w:t>
            </w:r>
            <w:r>
              <w:rPr>
                <w:rFonts w:hint="default" w:ascii="Times New Roman" w:hAnsi="Times New Roman" w:cs="Times New Roman"/>
                <w:bCs/>
                <w:sz w:val="24"/>
                <w:highlight w:val="none"/>
                <w:lang w:val="en-US" w:eastAsia="zh-CN"/>
              </w:rPr>
              <w:t>园区污水管网</w:t>
            </w:r>
            <w:r>
              <w:rPr>
                <w:rFonts w:hint="default" w:ascii="Times New Roman" w:hAnsi="Times New Roman" w:cs="Times New Roman"/>
                <w:sz w:val="24"/>
                <w:highlight w:val="none"/>
              </w:rPr>
              <w:t>。</w:t>
            </w:r>
          </w:p>
          <w:p w14:paraId="4CD4C820">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bCs/>
                <w:sz w:val="24"/>
                <w:highlight w:val="none"/>
              </w:rPr>
            </w:pPr>
            <w:r>
              <w:rPr>
                <w:rFonts w:hint="default" w:ascii="Times New Roman" w:hAnsi="Times New Roman" w:cs="Times New Roman"/>
                <w:bCs/>
                <w:sz w:val="24"/>
                <w:highlight w:val="none"/>
              </w:rPr>
              <w:t>本项目生产废水主要为设备冲洗废水以及</w:t>
            </w:r>
            <w:r>
              <w:rPr>
                <w:rFonts w:hint="default" w:ascii="Times New Roman" w:hAnsi="Times New Roman" w:cs="Times New Roman"/>
                <w:bCs/>
                <w:sz w:val="24"/>
                <w:highlight w:val="none"/>
                <w:lang w:val="en-US" w:eastAsia="zh-CN"/>
              </w:rPr>
              <w:t>渗滤液</w:t>
            </w:r>
            <w:r>
              <w:rPr>
                <w:rFonts w:hint="default" w:ascii="Times New Roman" w:hAnsi="Times New Roman" w:cs="Times New Roman"/>
                <w:bCs/>
                <w:sz w:val="24"/>
                <w:highlight w:val="none"/>
              </w:rPr>
              <w:t>。项目废水组成及水质水量情况见下表。</w:t>
            </w:r>
            <w:r>
              <w:rPr>
                <w:rFonts w:hint="default" w:ascii="Times New Roman" w:hAnsi="Times New Roman" w:cs="Times New Roman"/>
                <w:bCs/>
                <w:color w:val="auto"/>
                <w:sz w:val="24"/>
                <w:highlight w:val="none"/>
              </w:rPr>
              <w:t>项目进入污水处理站总废水量最大可达</w:t>
            </w:r>
            <w:r>
              <w:rPr>
                <w:rFonts w:hint="default" w:ascii="Times New Roman" w:hAnsi="Times New Roman" w:cs="Times New Roman"/>
                <w:bCs/>
                <w:color w:val="auto"/>
                <w:sz w:val="24"/>
                <w:highlight w:val="none"/>
                <w:lang w:val="en-US" w:eastAsia="zh-CN"/>
              </w:rPr>
              <w:t>29.38</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r>
              <w:rPr>
                <w:rFonts w:hint="default" w:ascii="Times New Roman" w:hAnsi="Times New Roman" w:cs="Times New Roman"/>
                <w:bCs/>
                <w:color w:val="auto"/>
                <w:sz w:val="24"/>
                <w:highlight w:val="none"/>
              </w:rPr>
              <w:t>d（</w:t>
            </w:r>
            <w:r>
              <w:rPr>
                <w:rFonts w:hint="default" w:ascii="Times New Roman" w:hAnsi="Times New Roman" w:cs="Times New Roman"/>
                <w:bCs/>
                <w:color w:val="auto"/>
                <w:sz w:val="24"/>
                <w:highlight w:val="none"/>
                <w:lang w:val="en-US" w:eastAsia="zh-CN"/>
              </w:rPr>
              <w:t>8814</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/a</w:t>
            </w:r>
            <w:r>
              <w:rPr>
                <w:rFonts w:hint="default" w:ascii="Times New Roman" w:hAnsi="Times New Roman" w:cs="Times New Roman"/>
                <w:bCs/>
                <w:color w:val="auto"/>
                <w:sz w:val="24"/>
                <w:highlight w:val="none"/>
              </w:rPr>
              <w:t>），</w:t>
            </w:r>
            <w:r>
              <w:rPr>
                <w:rFonts w:hint="default" w:ascii="Times New Roman" w:hAnsi="Times New Roman" w:cs="Times New Roman"/>
                <w:color w:val="auto"/>
                <w:sz w:val="24"/>
                <w:highlight w:val="none"/>
              </w:rPr>
              <w:t>根据设计单位提供资料，本项目污水处理站废水处理</w:t>
            </w:r>
            <w:r>
              <w:rPr>
                <w:rFonts w:hint="default" w:ascii="Times New Roman" w:hAnsi="Times New Roman" w:cs="Times New Roman"/>
                <w:color w:val="auto"/>
                <w:sz w:val="24"/>
                <w:highlight w:val="none"/>
                <w:lang w:eastAsia="zh-CN"/>
              </w:rPr>
              <w:t>能力</w:t>
            </w:r>
            <w:r>
              <w:rPr>
                <w:rFonts w:hint="default" w:ascii="Times New Roman" w:hAnsi="Times New Roman" w:cs="Times New Roman"/>
                <w:color w:val="auto"/>
                <w:sz w:val="24"/>
                <w:highlight w:val="none"/>
                <w:lang w:val="en-US" w:eastAsia="zh-CN"/>
              </w:rPr>
              <w:t>36</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r>
              <w:rPr>
                <w:rFonts w:hint="default" w:ascii="Times New Roman" w:hAnsi="Times New Roman" w:cs="Times New Roman"/>
                <w:bCs/>
                <w:color w:val="auto"/>
                <w:sz w:val="24"/>
                <w:highlight w:val="none"/>
              </w:rPr>
              <w:t>d，</w:t>
            </w:r>
            <w:r>
              <w:rPr>
                <w:rFonts w:hint="default" w:ascii="Times New Roman" w:hAnsi="Times New Roman" w:cs="Times New Roman"/>
                <w:color w:val="auto"/>
                <w:sz w:val="24"/>
                <w:highlight w:val="none"/>
              </w:rPr>
              <w:t>采用“</w:t>
            </w:r>
            <w:r>
              <w:rPr>
                <w:rFonts w:hint="default" w:ascii="Times New Roman" w:hAnsi="Times New Roman" w:cs="Times New Roman"/>
                <w:b w:val="0"/>
                <w:bCs w:val="0"/>
                <w:color w:val="000000"/>
                <w:sz w:val="24"/>
                <w:szCs w:val="24"/>
                <w:highlight w:val="none"/>
                <w:lang w:val="en-US" w:eastAsia="zh-CN"/>
              </w:rPr>
              <w:t>混凝沉淀+二级A/O</w:t>
            </w:r>
            <w:r>
              <w:rPr>
                <w:rFonts w:hint="default" w:ascii="Times New Roman" w:hAnsi="Times New Roman" w:cs="Times New Roman"/>
                <w:color w:val="auto"/>
                <w:sz w:val="24"/>
                <w:highlight w:val="none"/>
              </w:rPr>
              <w:t>+MBR膜过滤+清水池（消毒）”工艺，可满足项目生产需求，废水</w:t>
            </w:r>
            <w:r>
              <w:rPr>
                <w:rFonts w:hint="default" w:ascii="Times New Roman" w:hAnsi="Times New Roman" w:cs="Times New Roman"/>
                <w:bCs/>
                <w:color w:val="auto"/>
                <w:sz w:val="24"/>
                <w:highlight w:val="none"/>
              </w:rPr>
              <w:t>经厂区污水处理站处理后回用</w:t>
            </w:r>
            <w:r>
              <w:rPr>
                <w:rFonts w:hint="default" w:ascii="Times New Roman" w:hAnsi="Times New Roman" w:cs="Times New Roman"/>
                <w:bCs/>
                <w:color w:val="auto"/>
                <w:sz w:val="24"/>
                <w:highlight w:val="none"/>
                <w:lang w:eastAsia="zh-CN"/>
              </w:rPr>
              <w:t>于</w:t>
            </w:r>
            <w:r>
              <w:rPr>
                <w:rFonts w:hint="default" w:ascii="Times New Roman" w:hAnsi="Times New Roman" w:cs="Times New Roman"/>
                <w:bCs/>
                <w:color w:val="auto"/>
                <w:sz w:val="24"/>
                <w:highlight w:val="none"/>
                <w:lang w:val="en-US" w:eastAsia="zh-CN"/>
              </w:rPr>
              <w:t>车间</w:t>
            </w:r>
            <w:r>
              <w:rPr>
                <w:rFonts w:hint="default" w:ascii="Times New Roman" w:hAnsi="Times New Roman" w:cs="Times New Roman"/>
                <w:bCs/>
                <w:color w:val="auto"/>
                <w:sz w:val="24"/>
                <w:highlight w:val="none"/>
                <w:lang w:eastAsia="zh-CN"/>
              </w:rPr>
              <w:t>地面冲洗</w:t>
            </w:r>
            <w:r>
              <w:rPr>
                <w:rFonts w:hint="default" w:ascii="Times New Roman" w:hAnsi="Times New Roman" w:cs="Times New Roman"/>
                <w:bCs/>
                <w:color w:val="auto"/>
                <w:sz w:val="24"/>
                <w:highlight w:val="none"/>
              </w:rPr>
              <w:t>。</w:t>
            </w:r>
            <w:r>
              <w:rPr>
                <w:rFonts w:hint="default" w:ascii="Times New Roman" w:hAnsi="Times New Roman" w:cs="Times New Roman"/>
                <w:bCs/>
                <w:color w:val="auto"/>
                <w:sz w:val="24"/>
                <w:highlight w:val="none"/>
                <w:lang w:val="en-US" w:eastAsia="zh-CN"/>
              </w:rPr>
              <w:t>根据设计单位提供资料，</w:t>
            </w:r>
            <w:r>
              <w:rPr>
                <w:rFonts w:hint="default" w:ascii="Times New Roman" w:hAnsi="Times New Roman" w:cs="Times New Roman"/>
                <w:color w:val="auto"/>
                <w:sz w:val="24"/>
                <w:highlight w:val="none"/>
              </w:rPr>
              <w:t>项目污水处理站进、出水水质情况见下表。</w:t>
            </w:r>
          </w:p>
          <w:p w14:paraId="4E2305B5">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表4-</w:t>
            </w:r>
            <w:r>
              <w:rPr>
                <w:rFonts w:hint="default" w:ascii="Times New Roman" w:hAnsi="Times New Roman" w:cs="Times New Roman"/>
                <w:b/>
                <w:bCs/>
                <w:color w:val="auto"/>
                <w:sz w:val="24"/>
                <w:highlight w:val="none"/>
                <w:lang w:val="en-US" w:eastAsia="zh-CN"/>
              </w:rPr>
              <w:t>10</w:t>
            </w:r>
            <w:r>
              <w:rPr>
                <w:rFonts w:hint="default" w:ascii="Times New Roman" w:hAnsi="Times New Roman" w:eastAsia="宋体" w:cs="Times New Roman"/>
                <w:b/>
                <w:bCs/>
                <w:color w:val="auto"/>
                <w:sz w:val="24"/>
                <w:highlight w:val="none"/>
                <w:lang w:val="en-US" w:eastAsia="zh-CN"/>
              </w:rPr>
              <w:t xml:space="preserve"> 本项目混合废水污染物种类及源强核算表</w:t>
            </w:r>
          </w:p>
          <w:tbl>
            <w:tblPr>
              <w:tblStyle w:val="67"/>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4" w:space="0"/>
              </w:tblBorders>
              <w:tblLayout w:type="autofit"/>
              <w:tblCellMar>
                <w:top w:w="0" w:type="dxa"/>
                <w:left w:w="0" w:type="dxa"/>
                <w:bottom w:w="0" w:type="dxa"/>
                <w:right w:w="0" w:type="dxa"/>
              </w:tblCellMar>
            </w:tblPr>
            <w:tblGrid>
              <w:gridCol w:w="2082"/>
              <w:gridCol w:w="1241"/>
              <w:gridCol w:w="872"/>
              <w:gridCol w:w="836"/>
              <w:gridCol w:w="415"/>
              <w:gridCol w:w="504"/>
              <w:gridCol w:w="436"/>
              <w:gridCol w:w="436"/>
              <w:gridCol w:w="436"/>
              <w:gridCol w:w="415"/>
              <w:gridCol w:w="595"/>
              <w:gridCol w:w="680"/>
              <w:gridCol w:w="595"/>
              <w:gridCol w:w="595"/>
              <w:gridCol w:w="605"/>
              <w:gridCol w:w="605"/>
              <w:gridCol w:w="595"/>
              <w:gridCol w:w="1029"/>
            </w:tblGrid>
            <w:tr w14:paraId="674EF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4" w:space="0"/>
                </w:tblBorders>
                <w:tblCellMar>
                  <w:top w:w="0" w:type="dxa"/>
                  <w:left w:w="0" w:type="dxa"/>
                  <w:bottom w:w="0" w:type="dxa"/>
                  <w:right w:w="0" w:type="dxa"/>
                </w:tblCellMar>
              </w:tblPrEx>
              <w:trPr>
                <w:trHeight w:val="275" w:hRule="atLeast"/>
              </w:trPr>
              <w:tc>
                <w:tcPr>
                  <w:tcW w:w="1294" w:type="pct"/>
                  <w:gridSpan w:val="2"/>
                  <w:vMerge w:val="restart"/>
                  <w:tcBorders>
                    <w:tl2br w:val="nil"/>
                    <w:tr2bl w:val="nil"/>
                  </w:tcBorders>
                  <w:noWrap w:val="0"/>
                  <w:vAlign w:val="center"/>
                </w:tcPr>
                <w:p w14:paraId="40B1E96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污染物源</w:t>
                  </w:r>
                </w:p>
              </w:tc>
              <w:tc>
                <w:tcPr>
                  <w:tcW w:w="343" w:type="pct"/>
                  <w:vMerge w:val="restart"/>
                  <w:tcBorders>
                    <w:tl2br w:val="nil"/>
                    <w:tr2bl w:val="nil"/>
                  </w:tcBorders>
                  <w:noWrap w:val="0"/>
                  <w:vAlign w:val="center"/>
                </w:tcPr>
                <w:p w14:paraId="1F57809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废水产生量</w:t>
                  </w:r>
                </w:p>
                <w:p w14:paraId="44A9D06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eastAsia" w:cs="Times New Roman"/>
                      <w:color w:val="000000"/>
                      <w:sz w:val="18"/>
                      <w:szCs w:val="18"/>
                      <w:highlight w:val="none"/>
                      <w:vertAlign w:val="baseline"/>
                      <w:lang w:eastAsia="zh-CN"/>
                    </w:rPr>
                    <w:t>(</w:t>
                  </w:r>
                  <w:r>
                    <w:rPr>
                      <w:rFonts w:hint="default" w:ascii="Times New Roman" w:hAnsi="Times New Roman" w:eastAsia="宋体" w:cs="Times New Roman"/>
                      <w:color w:val="000000"/>
                      <w:sz w:val="18"/>
                      <w:szCs w:val="18"/>
                      <w:highlight w:val="none"/>
                      <w:vertAlign w:val="baseline"/>
                      <w:lang w:eastAsia="zh-CN"/>
                    </w:rPr>
                    <w:t>m</w:t>
                  </w:r>
                  <w:r>
                    <w:rPr>
                      <w:rFonts w:hint="default" w:ascii="Times New Roman" w:hAnsi="Times New Roman" w:eastAsia="宋体" w:cs="Times New Roman"/>
                      <w:color w:val="000000"/>
                      <w:sz w:val="18"/>
                      <w:szCs w:val="18"/>
                      <w:highlight w:val="none"/>
                      <w:vertAlign w:val="superscript"/>
                      <w:lang w:eastAsia="zh-CN"/>
                    </w:rPr>
                    <w:t>3</w:t>
                  </w:r>
                  <w:r>
                    <w:rPr>
                      <w:rFonts w:hint="default" w:ascii="Times New Roman" w:hAnsi="Times New Roman" w:eastAsia="宋体" w:cs="Times New Roman"/>
                      <w:color w:val="000000"/>
                      <w:sz w:val="18"/>
                      <w:szCs w:val="18"/>
                      <w:highlight w:val="none"/>
                      <w:vertAlign w:val="baseline"/>
                      <w:lang w:eastAsia="zh-CN"/>
                    </w:rPr>
                    <w:t>/a</w:t>
                  </w:r>
                  <w:r>
                    <w:rPr>
                      <w:rFonts w:hint="eastAsia" w:cs="Times New Roman"/>
                      <w:color w:val="000000"/>
                      <w:sz w:val="18"/>
                      <w:szCs w:val="18"/>
                      <w:highlight w:val="none"/>
                      <w:vertAlign w:val="baseline"/>
                      <w:lang w:eastAsia="zh-CN"/>
                    </w:rPr>
                    <w:t>)</w:t>
                  </w:r>
                </w:p>
              </w:tc>
              <w:tc>
                <w:tcPr>
                  <w:tcW w:w="3361" w:type="pct"/>
                  <w:gridSpan w:val="15"/>
                  <w:tcBorders>
                    <w:tl2br w:val="nil"/>
                    <w:tr2bl w:val="nil"/>
                  </w:tcBorders>
                  <w:noWrap w:val="0"/>
                  <w:vAlign w:val="center"/>
                </w:tcPr>
                <w:p w14:paraId="45F22BC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污染物</w:t>
                  </w:r>
                </w:p>
              </w:tc>
            </w:tr>
            <w:tr w14:paraId="2DF7F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4" w:space="0"/>
                </w:tblBorders>
                <w:tblCellMar>
                  <w:top w:w="0" w:type="dxa"/>
                  <w:left w:w="0" w:type="dxa"/>
                  <w:bottom w:w="0" w:type="dxa"/>
                  <w:right w:w="0" w:type="dxa"/>
                </w:tblCellMar>
              </w:tblPrEx>
              <w:trPr>
                <w:trHeight w:val="751" w:hRule="atLeast"/>
              </w:trPr>
              <w:tc>
                <w:tcPr>
                  <w:tcW w:w="1294" w:type="pct"/>
                  <w:gridSpan w:val="2"/>
                  <w:vMerge w:val="continue"/>
                  <w:tcBorders>
                    <w:tl2br w:val="nil"/>
                    <w:tr2bl w:val="nil"/>
                  </w:tcBorders>
                  <w:noWrap w:val="0"/>
                  <w:vAlign w:val="center"/>
                </w:tcPr>
                <w:p w14:paraId="66F2D63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p>
              </w:tc>
              <w:tc>
                <w:tcPr>
                  <w:tcW w:w="343" w:type="pct"/>
                  <w:vMerge w:val="continue"/>
                  <w:tcBorders>
                    <w:tl2br w:val="nil"/>
                    <w:tr2bl w:val="nil"/>
                  </w:tcBorders>
                  <w:noWrap w:val="0"/>
                  <w:vAlign w:val="center"/>
                </w:tcPr>
                <w:p w14:paraId="1105A4F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p>
              </w:tc>
              <w:tc>
                <w:tcPr>
                  <w:tcW w:w="329" w:type="pct"/>
                  <w:tcBorders>
                    <w:tl2br w:val="nil"/>
                    <w:tr2bl w:val="nil"/>
                  </w:tcBorders>
                  <w:noWrap w:val="0"/>
                  <w:vAlign w:val="center"/>
                </w:tcPr>
                <w:p w14:paraId="6FC026E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pH（无量纲）</w:t>
                  </w:r>
                </w:p>
              </w:tc>
              <w:tc>
                <w:tcPr>
                  <w:tcW w:w="165" w:type="pct"/>
                  <w:tcBorders>
                    <w:tl2br w:val="nil"/>
                    <w:tr2bl w:val="nil"/>
                  </w:tcBorders>
                  <w:noWrap w:val="0"/>
                  <w:vAlign w:val="center"/>
                </w:tcPr>
                <w:p w14:paraId="383953D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COD</w:t>
                  </w:r>
                </w:p>
              </w:tc>
              <w:tc>
                <w:tcPr>
                  <w:tcW w:w="203" w:type="pct"/>
                  <w:tcBorders>
                    <w:tl2br w:val="nil"/>
                    <w:tr2bl w:val="nil"/>
                  </w:tcBorders>
                  <w:noWrap w:val="0"/>
                  <w:vAlign w:val="center"/>
                </w:tcPr>
                <w:p w14:paraId="127F8E5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BOD</w:t>
                  </w:r>
                  <w:r>
                    <w:rPr>
                      <w:rFonts w:hint="default" w:ascii="Times New Roman" w:hAnsi="Times New Roman" w:eastAsia="宋体" w:cs="Times New Roman"/>
                      <w:color w:val="000000"/>
                      <w:sz w:val="18"/>
                      <w:szCs w:val="18"/>
                      <w:highlight w:val="none"/>
                      <w:vertAlign w:val="subscript"/>
                      <w:lang w:eastAsia="zh-CN"/>
                    </w:rPr>
                    <w:t>5</w:t>
                  </w:r>
                </w:p>
              </w:tc>
              <w:tc>
                <w:tcPr>
                  <w:tcW w:w="175" w:type="pct"/>
                  <w:tcBorders>
                    <w:tl2br w:val="nil"/>
                    <w:tr2bl w:val="nil"/>
                  </w:tcBorders>
                  <w:noWrap w:val="0"/>
                  <w:vAlign w:val="center"/>
                </w:tcPr>
                <w:p w14:paraId="0B8FFC6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SS</w:t>
                  </w:r>
                </w:p>
              </w:tc>
              <w:tc>
                <w:tcPr>
                  <w:tcW w:w="175" w:type="pct"/>
                  <w:tcBorders>
                    <w:tl2br w:val="nil"/>
                    <w:tr2bl w:val="nil"/>
                  </w:tcBorders>
                  <w:noWrap w:val="0"/>
                  <w:vAlign w:val="center"/>
                </w:tcPr>
                <w:p w14:paraId="16C85D4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val="en-US" w:eastAsia="zh-CN"/>
                    </w:rPr>
                    <w:t>氨氮</w:t>
                  </w:r>
                </w:p>
              </w:tc>
              <w:tc>
                <w:tcPr>
                  <w:tcW w:w="175" w:type="pct"/>
                  <w:tcBorders>
                    <w:tl2br w:val="nil"/>
                    <w:tr2bl w:val="nil"/>
                  </w:tcBorders>
                  <w:noWrap w:val="0"/>
                  <w:vAlign w:val="center"/>
                </w:tcPr>
                <w:p w14:paraId="333A081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总磷</w:t>
                  </w:r>
                </w:p>
              </w:tc>
              <w:tc>
                <w:tcPr>
                  <w:tcW w:w="156" w:type="pct"/>
                  <w:tcBorders>
                    <w:tl2br w:val="nil"/>
                    <w:tr2bl w:val="nil"/>
                  </w:tcBorders>
                  <w:noWrap w:val="0"/>
                  <w:vAlign w:val="center"/>
                </w:tcPr>
                <w:p w14:paraId="41CA772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总氮</w:t>
                  </w:r>
                </w:p>
              </w:tc>
              <w:tc>
                <w:tcPr>
                  <w:tcW w:w="595" w:type="dxa"/>
                  <w:tcBorders>
                    <w:tl2br w:val="nil"/>
                    <w:tr2bl w:val="nil"/>
                  </w:tcBorders>
                  <w:noWrap w:val="0"/>
                  <w:vAlign w:val="center"/>
                </w:tcPr>
                <w:p w14:paraId="7D600860">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总汞</w:t>
                  </w:r>
                </w:p>
              </w:tc>
              <w:tc>
                <w:tcPr>
                  <w:tcW w:w="710" w:type="dxa"/>
                  <w:tcBorders>
                    <w:tl2br w:val="nil"/>
                    <w:tr2bl w:val="nil"/>
                  </w:tcBorders>
                  <w:noWrap w:val="0"/>
                  <w:vAlign w:val="center"/>
                </w:tcPr>
                <w:p w14:paraId="047942AC">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i w:val="0"/>
                      <w:iCs w:val="0"/>
                      <w:color w:val="000000"/>
                      <w:kern w:val="0"/>
                      <w:sz w:val="18"/>
                      <w:szCs w:val="18"/>
                      <w:u w:val="none"/>
                      <w:lang w:val="en-US" w:eastAsia="zh-CN" w:bidi="ar"/>
                    </w:rPr>
                    <w:t>总镉</w:t>
                  </w:r>
                </w:p>
              </w:tc>
              <w:tc>
                <w:tcPr>
                  <w:tcW w:w="595" w:type="dxa"/>
                  <w:tcBorders>
                    <w:tl2br w:val="nil"/>
                    <w:tr2bl w:val="nil"/>
                  </w:tcBorders>
                  <w:noWrap w:val="0"/>
                  <w:vAlign w:val="center"/>
                </w:tcPr>
                <w:p w14:paraId="2454D879">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i w:val="0"/>
                      <w:iCs w:val="0"/>
                      <w:color w:val="000000"/>
                      <w:kern w:val="0"/>
                      <w:sz w:val="18"/>
                      <w:szCs w:val="18"/>
                      <w:u w:val="none"/>
                      <w:lang w:val="en-US" w:eastAsia="zh-CN" w:bidi="ar"/>
                    </w:rPr>
                    <w:t>总铬</w:t>
                  </w:r>
                </w:p>
              </w:tc>
              <w:tc>
                <w:tcPr>
                  <w:tcW w:w="595" w:type="dxa"/>
                  <w:tcBorders>
                    <w:tl2br w:val="nil"/>
                    <w:tr2bl w:val="nil"/>
                  </w:tcBorders>
                  <w:noWrap w:val="0"/>
                  <w:vAlign w:val="center"/>
                </w:tcPr>
                <w:p w14:paraId="7EF856E0">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i w:val="0"/>
                      <w:iCs w:val="0"/>
                      <w:color w:val="000000"/>
                      <w:kern w:val="0"/>
                      <w:sz w:val="18"/>
                      <w:szCs w:val="18"/>
                      <w:u w:val="none"/>
                      <w:lang w:val="en-US" w:eastAsia="zh-CN" w:bidi="ar"/>
                    </w:rPr>
                    <w:t>六价铬</w:t>
                  </w:r>
                </w:p>
              </w:tc>
              <w:tc>
                <w:tcPr>
                  <w:tcW w:w="632" w:type="dxa"/>
                  <w:tcBorders>
                    <w:tl2br w:val="nil"/>
                    <w:tr2bl w:val="nil"/>
                  </w:tcBorders>
                  <w:noWrap w:val="0"/>
                  <w:vAlign w:val="center"/>
                </w:tcPr>
                <w:p w14:paraId="593BC521">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i w:val="0"/>
                      <w:iCs w:val="0"/>
                      <w:color w:val="000000"/>
                      <w:kern w:val="0"/>
                      <w:sz w:val="18"/>
                      <w:szCs w:val="18"/>
                      <w:u w:val="none"/>
                      <w:lang w:val="en-US" w:eastAsia="zh-CN" w:bidi="ar"/>
                    </w:rPr>
                    <w:t>总砷</w:t>
                  </w:r>
                </w:p>
              </w:tc>
              <w:tc>
                <w:tcPr>
                  <w:tcW w:w="632" w:type="dxa"/>
                  <w:tcBorders>
                    <w:tl2br w:val="nil"/>
                    <w:tr2bl w:val="nil"/>
                  </w:tcBorders>
                  <w:noWrap w:val="0"/>
                  <w:vAlign w:val="center"/>
                </w:tcPr>
                <w:p w14:paraId="329460C1">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i w:val="0"/>
                      <w:iCs w:val="0"/>
                      <w:color w:val="000000"/>
                      <w:kern w:val="0"/>
                      <w:sz w:val="18"/>
                      <w:szCs w:val="18"/>
                      <w:u w:val="none"/>
                      <w:lang w:val="en-US" w:eastAsia="zh-CN" w:bidi="ar"/>
                    </w:rPr>
                    <w:t>总铅</w:t>
                  </w:r>
                </w:p>
              </w:tc>
              <w:tc>
                <w:tcPr>
                  <w:tcW w:w="213" w:type="pct"/>
                  <w:tcBorders>
                    <w:tl2br w:val="nil"/>
                    <w:tr2bl w:val="nil"/>
                  </w:tcBorders>
                  <w:noWrap w:val="0"/>
                  <w:vAlign w:val="center"/>
                </w:tcPr>
                <w:p w14:paraId="66122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总</w:t>
                  </w:r>
                  <w:r>
                    <w:rPr>
                      <w:rFonts w:hint="default" w:ascii="Times New Roman" w:hAnsi="Times New Roman" w:cs="Times New Roman"/>
                      <w:color w:val="000000"/>
                      <w:sz w:val="18"/>
                      <w:szCs w:val="18"/>
                      <w:highlight w:val="none"/>
                      <w:vertAlign w:val="baseline"/>
                      <w:lang w:val="en-US" w:eastAsia="zh-CN"/>
                    </w:rPr>
                    <w:t>镍</w:t>
                  </w:r>
                </w:p>
              </w:tc>
              <w:tc>
                <w:tcPr>
                  <w:tcW w:w="403" w:type="pct"/>
                  <w:tcBorders>
                    <w:tl2br w:val="nil"/>
                    <w:tr2bl w:val="nil"/>
                  </w:tcBorders>
                  <w:noWrap w:val="0"/>
                  <w:vAlign w:val="center"/>
                </w:tcPr>
                <w:p w14:paraId="44F2573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色度（</w:t>
                  </w:r>
                  <w:r>
                    <w:rPr>
                      <w:rFonts w:hint="default" w:ascii="Times New Roman" w:hAnsi="Times New Roman" w:eastAsia="宋体" w:cs="Times New Roman"/>
                      <w:color w:val="000000"/>
                      <w:sz w:val="18"/>
                      <w:szCs w:val="18"/>
                      <w:highlight w:val="none"/>
                      <w:vertAlign w:val="baseline"/>
                      <w:lang w:val="en-US" w:eastAsia="zh-CN"/>
                    </w:rPr>
                    <w:t>稀释倍数</w:t>
                  </w:r>
                  <w:r>
                    <w:rPr>
                      <w:rFonts w:hint="default" w:ascii="Times New Roman" w:hAnsi="Times New Roman" w:eastAsia="宋体" w:cs="Times New Roman"/>
                      <w:color w:val="000000"/>
                      <w:sz w:val="18"/>
                      <w:szCs w:val="18"/>
                      <w:highlight w:val="none"/>
                      <w:vertAlign w:val="baseline"/>
                      <w:lang w:eastAsia="zh-CN"/>
                    </w:rPr>
                    <w:t>）</w:t>
                  </w:r>
                </w:p>
              </w:tc>
            </w:tr>
            <w:tr w14:paraId="3EB37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4" w:space="0"/>
                </w:tblBorders>
                <w:tblCellMar>
                  <w:top w:w="0" w:type="dxa"/>
                  <w:left w:w="0" w:type="dxa"/>
                  <w:bottom w:w="0" w:type="dxa"/>
                  <w:right w:w="0" w:type="dxa"/>
                </w:tblCellMar>
              </w:tblPrEx>
              <w:trPr>
                <w:trHeight w:val="598" w:hRule="atLeast"/>
              </w:trPr>
              <w:tc>
                <w:tcPr>
                  <w:tcW w:w="809" w:type="pct"/>
                  <w:vMerge w:val="restart"/>
                  <w:tcBorders>
                    <w:tl2br w:val="nil"/>
                    <w:tr2bl w:val="nil"/>
                  </w:tcBorders>
                  <w:noWrap w:val="0"/>
                  <w:vAlign w:val="center"/>
                </w:tcPr>
                <w:p w14:paraId="31CDF8C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设备冲洗废水以及渗滤液</w:t>
                  </w:r>
                </w:p>
              </w:tc>
              <w:tc>
                <w:tcPr>
                  <w:tcW w:w="485" w:type="pct"/>
                  <w:tcBorders>
                    <w:tl2br w:val="nil"/>
                    <w:tr2bl w:val="nil"/>
                  </w:tcBorders>
                  <w:noWrap w:val="0"/>
                  <w:vAlign w:val="center"/>
                </w:tcPr>
                <w:p w14:paraId="571933C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产生浓度（mg/L）</w:t>
                  </w:r>
                </w:p>
              </w:tc>
              <w:tc>
                <w:tcPr>
                  <w:tcW w:w="343" w:type="pct"/>
                  <w:vMerge w:val="restart"/>
                  <w:tcBorders>
                    <w:tl2br w:val="nil"/>
                    <w:tr2bl w:val="nil"/>
                  </w:tcBorders>
                  <w:noWrap w:val="0"/>
                  <w:vAlign w:val="center"/>
                </w:tcPr>
                <w:p w14:paraId="5F5F40E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8814</w:t>
                  </w:r>
                </w:p>
              </w:tc>
              <w:tc>
                <w:tcPr>
                  <w:tcW w:w="329" w:type="pct"/>
                  <w:tcBorders>
                    <w:tl2br w:val="nil"/>
                    <w:tr2bl w:val="nil"/>
                  </w:tcBorders>
                  <w:noWrap w:val="0"/>
                  <w:vAlign w:val="center"/>
                </w:tcPr>
                <w:p w14:paraId="47AFC8C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6.45</w:t>
                  </w:r>
                </w:p>
              </w:tc>
              <w:tc>
                <w:tcPr>
                  <w:tcW w:w="165" w:type="pct"/>
                  <w:tcBorders>
                    <w:tl2br w:val="nil"/>
                    <w:tr2bl w:val="nil"/>
                  </w:tcBorders>
                  <w:noWrap w:val="0"/>
                  <w:vAlign w:val="center"/>
                </w:tcPr>
                <w:p w14:paraId="738504D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1351</w:t>
                  </w:r>
                </w:p>
              </w:tc>
              <w:tc>
                <w:tcPr>
                  <w:tcW w:w="203" w:type="pct"/>
                  <w:tcBorders>
                    <w:tl2br w:val="nil"/>
                    <w:tr2bl w:val="nil"/>
                  </w:tcBorders>
                  <w:noWrap w:val="0"/>
                  <w:vAlign w:val="center"/>
                </w:tcPr>
                <w:p w14:paraId="25DAC4C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319</w:t>
                  </w:r>
                </w:p>
              </w:tc>
              <w:tc>
                <w:tcPr>
                  <w:tcW w:w="175" w:type="pct"/>
                  <w:tcBorders>
                    <w:tl2br w:val="nil"/>
                    <w:tr2bl w:val="nil"/>
                  </w:tcBorders>
                  <w:noWrap w:val="0"/>
                  <w:vAlign w:val="center"/>
                </w:tcPr>
                <w:p w14:paraId="0F85BEF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605.5</w:t>
                  </w:r>
                </w:p>
              </w:tc>
              <w:tc>
                <w:tcPr>
                  <w:tcW w:w="175" w:type="pct"/>
                  <w:tcBorders>
                    <w:tl2br w:val="nil"/>
                    <w:tr2bl w:val="nil"/>
                  </w:tcBorders>
                  <w:noWrap w:val="0"/>
                  <w:vAlign w:val="center"/>
                </w:tcPr>
                <w:p w14:paraId="2DBB21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341.5</w:t>
                  </w:r>
                </w:p>
              </w:tc>
              <w:tc>
                <w:tcPr>
                  <w:tcW w:w="175" w:type="pct"/>
                  <w:tcBorders>
                    <w:tl2br w:val="nil"/>
                    <w:tr2bl w:val="nil"/>
                  </w:tcBorders>
                  <w:noWrap w:val="0"/>
                  <w:vAlign w:val="center"/>
                </w:tcPr>
                <w:p w14:paraId="5B34A16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15</w:t>
                  </w:r>
                </w:p>
              </w:tc>
              <w:tc>
                <w:tcPr>
                  <w:tcW w:w="156" w:type="pct"/>
                  <w:tcBorders>
                    <w:tl2br w:val="nil"/>
                    <w:tr2bl w:val="nil"/>
                  </w:tcBorders>
                  <w:noWrap w:val="0"/>
                  <w:vAlign w:val="center"/>
                </w:tcPr>
                <w:p w14:paraId="6194E34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20</w:t>
                  </w:r>
                  <w:r>
                    <w:rPr>
                      <w:rFonts w:hint="default" w:ascii="Times New Roman" w:hAnsi="Times New Roman" w:eastAsia="宋体" w:cs="Times New Roman"/>
                      <w:color w:val="000000"/>
                      <w:sz w:val="18"/>
                      <w:szCs w:val="18"/>
                      <w:highlight w:val="none"/>
                      <w:vertAlign w:val="baseline"/>
                      <w:lang w:val="en-US" w:eastAsia="zh-CN"/>
                    </w:rPr>
                    <w:t>38</w:t>
                  </w:r>
                </w:p>
              </w:tc>
              <w:tc>
                <w:tcPr>
                  <w:tcW w:w="595" w:type="dxa"/>
                  <w:tcBorders>
                    <w:tl2br w:val="nil"/>
                    <w:tr2bl w:val="nil"/>
                  </w:tcBorders>
                  <w:noWrap w:val="0"/>
                  <w:vAlign w:val="center"/>
                </w:tcPr>
                <w:p w14:paraId="327342BB">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0.0025</w:t>
                  </w:r>
                </w:p>
              </w:tc>
              <w:tc>
                <w:tcPr>
                  <w:tcW w:w="710" w:type="dxa"/>
                  <w:tcBorders>
                    <w:tl2br w:val="nil"/>
                    <w:tr2bl w:val="nil"/>
                  </w:tcBorders>
                  <w:noWrap w:val="0"/>
                  <w:vAlign w:val="center"/>
                </w:tcPr>
                <w:p w14:paraId="035F7285">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0.31</w:t>
                  </w:r>
                </w:p>
              </w:tc>
              <w:tc>
                <w:tcPr>
                  <w:tcW w:w="595" w:type="dxa"/>
                  <w:tcBorders>
                    <w:tl2br w:val="nil"/>
                    <w:tr2bl w:val="nil"/>
                  </w:tcBorders>
                  <w:noWrap w:val="0"/>
                  <w:vAlign w:val="center"/>
                </w:tcPr>
                <w:p w14:paraId="76E04CAC">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595" w:type="dxa"/>
                  <w:tcBorders>
                    <w:tl2br w:val="nil"/>
                    <w:tr2bl w:val="nil"/>
                  </w:tcBorders>
                  <w:noWrap w:val="0"/>
                  <w:vAlign w:val="center"/>
                </w:tcPr>
                <w:p w14:paraId="44AD4EC1">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0.067</w:t>
                  </w:r>
                </w:p>
              </w:tc>
              <w:tc>
                <w:tcPr>
                  <w:tcW w:w="632" w:type="dxa"/>
                  <w:tcBorders>
                    <w:tl2br w:val="nil"/>
                    <w:tr2bl w:val="nil"/>
                  </w:tcBorders>
                  <w:noWrap w:val="0"/>
                  <w:vAlign w:val="center"/>
                </w:tcPr>
                <w:p w14:paraId="12C2AC95">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0.059</w:t>
                  </w:r>
                </w:p>
              </w:tc>
              <w:tc>
                <w:tcPr>
                  <w:tcW w:w="632" w:type="dxa"/>
                  <w:tcBorders>
                    <w:tl2br w:val="nil"/>
                    <w:tr2bl w:val="nil"/>
                  </w:tcBorders>
                  <w:noWrap w:val="0"/>
                  <w:vAlign w:val="center"/>
                </w:tcPr>
                <w:p w14:paraId="37963BCF">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497" w:type="dxa"/>
                  <w:tcBorders>
                    <w:tl2br w:val="nil"/>
                    <w:tr2bl w:val="nil"/>
                  </w:tcBorders>
                  <w:noWrap w:val="0"/>
                  <w:vAlign w:val="center"/>
                </w:tcPr>
                <w:p w14:paraId="4958123B">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403" w:type="pct"/>
                  <w:tcBorders>
                    <w:tl2br w:val="nil"/>
                    <w:tr2bl w:val="nil"/>
                  </w:tcBorders>
                  <w:noWrap w:val="0"/>
                  <w:vAlign w:val="center"/>
                </w:tcPr>
                <w:p w14:paraId="43F8B70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r>
            <w:tr w14:paraId="1A10C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4" w:space="0"/>
                </w:tblBorders>
                <w:tblCellMar>
                  <w:top w:w="0" w:type="dxa"/>
                  <w:left w:w="0" w:type="dxa"/>
                  <w:bottom w:w="0" w:type="dxa"/>
                  <w:right w:w="0" w:type="dxa"/>
                </w:tblCellMar>
              </w:tblPrEx>
              <w:trPr>
                <w:trHeight w:val="597" w:hRule="atLeast"/>
              </w:trPr>
              <w:tc>
                <w:tcPr>
                  <w:tcW w:w="809" w:type="pct"/>
                  <w:vMerge w:val="continue"/>
                  <w:tcBorders>
                    <w:tl2br w:val="nil"/>
                    <w:tr2bl w:val="nil"/>
                  </w:tcBorders>
                  <w:noWrap w:val="0"/>
                  <w:vAlign w:val="center"/>
                </w:tcPr>
                <w:p w14:paraId="08C6690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p>
              </w:tc>
              <w:tc>
                <w:tcPr>
                  <w:tcW w:w="485" w:type="pct"/>
                  <w:tcBorders>
                    <w:tl2br w:val="nil"/>
                    <w:tr2bl w:val="nil"/>
                  </w:tcBorders>
                  <w:noWrap w:val="0"/>
                  <w:vAlign w:val="center"/>
                </w:tcPr>
                <w:p w14:paraId="03781AD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产生量（t/a）</w:t>
                  </w:r>
                </w:p>
              </w:tc>
              <w:tc>
                <w:tcPr>
                  <w:tcW w:w="343" w:type="pct"/>
                  <w:vMerge w:val="continue"/>
                  <w:tcBorders>
                    <w:tl2br w:val="nil"/>
                    <w:tr2bl w:val="nil"/>
                  </w:tcBorders>
                  <w:noWrap w:val="0"/>
                  <w:vAlign w:val="center"/>
                </w:tcPr>
                <w:p w14:paraId="169C401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p>
              </w:tc>
              <w:tc>
                <w:tcPr>
                  <w:tcW w:w="329" w:type="pct"/>
                  <w:tcBorders>
                    <w:tl2br w:val="nil"/>
                    <w:tr2bl w:val="nil"/>
                  </w:tcBorders>
                  <w:noWrap w:val="0"/>
                  <w:vAlign w:val="center"/>
                </w:tcPr>
                <w:p w14:paraId="3E1151D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454" w:type="dxa"/>
                  <w:tcBorders>
                    <w:tl2br w:val="nil"/>
                    <w:tr2bl w:val="nil"/>
                  </w:tcBorders>
                  <w:noWrap w:val="0"/>
                  <w:vAlign w:val="center"/>
                </w:tcPr>
                <w:p w14:paraId="2F3A48E7">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11.91 </w:t>
                  </w:r>
                </w:p>
              </w:tc>
              <w:tc>
                <w:tcPr>
                  <w:tcW w:w="559" w:type="dxa"/>
                  <w:tcBorders>
                    <w:tl2br w:val="nil"/>
                    <w:tr2bl w:val="nil"/>
                  </w:tcBorders>
                  <w:noWrap w:val="0"/>
                  <w:vAlign w:val="center"/>
                </w:tcPr>
                <w:p w14:paraId="6EED00DC">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2.81 </w:t>
                  </w:r>
                </w:p>
              </w:tc>
              <w:tc>
                <w:tcPr>
                  <w:tcW w:w="483" w:type="dxa"/>
                  <w:tcBorders>
                    <w:tl2br w:val="nil"/>
                    <w:tr2bl w:val="nil"/>
                  </w:tcBorders>
                  <w:noWrap w:val="0"/>
                  <w:vAlign w:val="center"/>
                </w:tcPr>
                <w:p w14:paraId="05CEB9C8">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5.34 </w:t>
                  </w:r>
                </w:p>
              </w:tc>
              <w:tc>
                <w:tcPr>
                  <w:tcW w:w="483" w:type="dxa"/>
                  <w:tcBorders>
                    <w:tl2br w:val="nil"/>
                    <w:tr2bl w:val="nil"/>
                  </w:tcBorders>
                  <w:noWrap w:val="0"/>
                  <w:vAlign w:val="center"/>
                </w:tcPr>
                <w:p w14:paraId="0CE69380">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3.01 </w:t>
                  </w:r>
                </w:p>
              </w:tc>
              <w:tc>
                <w:tcPr>
                  <w:tcW w:w="483" w:type="dxa"/>
                  <w:tcBorders>
                    <w:tl2br w:val="nil"/>
                    <w:tr2bl w:val="nil"/>
                  </w:tcBorders>
                  <w:noWrap w:val="0"/>
                  <w:vAlign w:val="center"/>
                </w:tcPr>
                <w:p w14:paraId="73D9B062">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0.13 </w:t>
                  </w:r>
                </w:p>
              </w:tc>
              <w:tc>
                <w:tcPr>
                  <w:tcW w:w="430" w:type="dxa"/>
                  <w:tcBorders>
                    <w:tl2br w:val="nil"/>
                    <w:tr2bl w:val="nil"/>
                  </w:tcBorders>
                  <w:noWrap w:val="0"/>
                  <w:vAlign w:val="center"/>
                </w:tcPr>
                <w:p w14:paraId="6789C18D">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17.96 </w:t>
                  </w:r>
                </w:p>
              </w:tc>
              <w:tc>
                <w:tcPr>
                  <w:tcW w:w="407" w:type="dxa"/>
                  <w:tcBorders>
                    <w:tl2br w:val="nil"/>
                    <w:tr2bl w:val="nil"/>
                  </w:tcBorders>
                  <w:noWrap w:val="0"/>
                  <w:vAlign w:val="center"/>
                </w:tcPr>
                <w:p w14:paraId="3B64A347">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0.00002 </w:t>
                  </w:r>
                </w:p>
              </w:tc>
              <w:tc>
                <w:tcPr>
                  <w:tcW w:w="776" w:type="dxa"/>
                  <w:tcBorders>
                    <w:tl2br w:val="nil"/>
                    <w:tr2bl w:val="nil"/>
                  </w:tcBorders>
                  <w:noWrap w:val="0"/>
                  <w:vAlign w:val="center"/>
                </w:tcPr>
                <w:p w14:paraId="61817F91">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0.00273 </w:t>
                  </w:r>
                </w:p>
              </w:tc>
              <w:tc>
                <w:tcPr>
                  <w:tcW w:w="588" w:type="dxa"/>
                  <w:tcBorders>
                    <w:tl2br w:val="nil"/>
                    <w:tr2bl w:val="nil"/>
                  </w:tcBorders>
                  <w:noWrap w:val="0"/>
                  <w:vAlign w:val="center"/>
                </w:tcPr>
                <w:p w14:paraId="047433FB">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0.00106 </w:t>
                  </w:r>
                </w:p>
              </w:tc>
              <w:tc>
                <w:tcPr>
                  <w:tcW w:w="588" w:type="dxa"/>
                  <w:tcBorders>
                    <w:tl2br w:val="nil"/>
                    <w:tr2bl w:val="nil"/>
                  </w:tcBorders>
                  <w:noWrap w:val="0"/>
                  <w:vAlign w:val="center"/>
                </w:tcPr>
                <w:p w14:paraId="62E5EBA1">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0.00059 </w:t>
                  </w:r>
                </w:p>
              </w:tc>
              <w:tc>
                <w:tcPr>
                  <w:tcW w:w="693" w:type="dxa"/>
                  <w:tcBorders>
                    <w:tl2br w:val="nil"/>
                    <w:tr2bl w:val="nil"/>
                  </w:tcBorders>
                  <w:noWrap w:val="0"/>
                  <w:vAlign w:val="center"/>
                </w:tcPr>
                <w:p w14:paraId="073F2C06">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0.00052 </w:t>
                  </w:r>
                </w:p>
              </w:tc>
              <w:tc>
                <w:tcPr>
                  <w:tcW w:w="693" w:type="dxa"/>
                  <w:tcBorders>
                    <w:tl2br w:val="nil"/>
                    <w:tr2bl w:val="nil"/>
                  </w:tcBorders>
                  <w:noWrap w:val="0"/>
                  <w:vAlign w:val="center"/>
                </w:tcPr>
                <w:p w14:paraId="4B4AF335">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0.00141 </w:t>
                  </w:r>
                </w:p>
              </w:tc>
              <w:tc>
                <w:tcPr>
                  <w:tcW w:w="588" w:type="dxa"/>
                  <w:tcBorders>
                    <w:tl2br w:val="nil"/>
                    <w:tr2bl w:val="nil"/>
                  </w:tcBorders>
                  <w:noWrap w:val="0"/>
                  <w:vAlign w:val="center"/>
                </w:tcPr>
                <w:p w14:paraId="302F0E60">
                  <w:pPr>
                    <w:keepNext w:val="0"/>
                    <w:keepLines w:val="0"/>
                    <w:widowControl/>
                    <w:suppressLineNumbers w:val="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0.00141 </w:t>
                  </w:r>
                </w:p>
              </w:tc>
              <w:tc>
                <w:tcPr>
                  <w:tcW w:w="403" w:type="pct"/>
                  <w:tcBorders>
                    <w:tl2br w:val="nil"/>
                    <w:tr2bl w:val="nil"/>
                  </w:tcBorders>
                  <w:noWrap w:val="0"/>
                  <w:vAlign w:val="center"/>
                </w:tcPr>
                <w:p w14:paraId="467183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r>
          </w:tbl>
          <w:p w14:paraId="67F7C5F8">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表4-</w:t>
            </w:r>
            <w:r>
              <w:rPr>
                <w:rFonts w:hint="default" w:ascii="Times New Roman" w:hAnsi="Times New Roman" w:cs="Times New Roman"/>
                <w:b/>
                <w:bCs/>
                <w:color w:val="auto"/>
                <w:sz w:val="24"/>
                <w:highlight w:val="none"/>
                <w:lang w:val="en-US" w:eastAsia="zh-CN"/>
              </w:rPr>
              <w:t>11</w:t>
            </w:r>
            <w:r>
              <w:rPr>
                <w:rFonts w:hint="default" w:ascii="Times New Roman" w:hAnsi="Times New Roman" w:eastAsia="宋体" w:cs="Times New Roman"/>
                <w:b/>
                <w:bCs/>
                <w:color w:val="auto"/>
                <w:sz w:val="24"/>
                <w:highlight w:val="none"/>
                <w:lang w:val="en-US" w:eastAsia="zh-CN"/>
              </w:rPr>
              <w:t xml:space="preserve">  废水污染物及污染治理设施（单元）信息表</w:t>
            </w:r>
          </w:p>
          <w:tbl>
            <w:tblPr>
              <w:tblStyle w:val="31"/>
              <w:tblW w:w="12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994"/>
              <w:gridCol w:w="585"/>
              <w:gridCol w:w="725"/>
              <w:gridCol w:w="683"/>
              <w:gridCol w:w="817"/>
              <w:gridCol w:w="725"/>
              <w:gridCol w:w="632"/>
              <w:gridCol w:w="743"/>
              <w:gridCol w:w="868"/>
              <w:gridCol w:w="863"/>
              <w:gridCol w:w="863"/>
              <w:gridCol w:w="868"/>
              <w:gridCol w:w="865"/>
              <w:gridCol w:w="791"/>
              <w:gridCol w:w="792"/>
              <w:gridCol w:w="556"/>
            </w:tblGrid>
            <w:tr w14:paraId="747C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9" w:type="dxa"/>
                  <w:gridSpan w:val="2"/>
                  <w:vMerge w:val="restart"/>
                  <w:noWrap w:val="0"/>
                  <w:vAlign w:val="center"/>
                </w:tcPr>
                <w:p w14:paraId="6C80F1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废水处置单元</w:t>
                  </w:r>
                </w:p>
              </w:tc>
              <w:tc>
                <w:tcPr>
                  <w:tcW w:w="11308" w:type="dxa"/>
                  <w:gridSpan w:val="15"/>
                  <w:noWrap w:val="0"/>
                  <w:vAlign w:val="center"/>
                </w:tcPr>
                <w:p w14:paraId="56C7E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污染物浓度（mg/L）</w:t>
                  </w:r>
                </w:p>
              </w:tc>
            </w:tr>
            <w:tr w14:paraId="79C3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9" w:type="dxa"/>
                  <w:gridSpan w:val="2"/>
                  <w:vMerge w:val="continue"/>
                  <w:noWrap w:val="0"/>
                  <w:vAlign w:val="center"/>
                </w:tcPr>
                <w:p w14:paraId="750B7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p>
              </w:tc>
              <w:tc>
                <w:tcPr>
                  <w:tcW w:w="595" w:type="dxa"/>
                  <w:noWrap w:val="0"/>
                  <w:vAlign w:val="center"/>
                </w:tcPr>
                <w:p w14:paraId="457BB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pH（无量纲）</w:t>
                  </w:r>
                </w:p>
              </w:tc>
              <w:tc>
                <w:tcPr>
                  <w:tcW w:w="739" w:type="dxa"/>
                  <w:noWrap w:val="0"/>
                  <w:vAlign w:val="center"/>
                </w:tcPr>
                <w:p w14:paraId="4B376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COD</w:t>
                  </w:r>
                </w:p>
              </w:tc>
              <w:tc>
                <w:tcPr>
                  <w:tcW w:w="712" w:type="dxa"/>
                  <w:noWrap w:val="0"/>
                  <w:vAlign w:val="center"/>
                </w:tcPr>
                <w:p w14:paraId="7A51C2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BOD</w:t>
                  </w:r>
                  <w:r>
                    <w:rPr>
                      <w:rFonts w:hint="default" w:ascii="Times New Roman" w:hAnsi="Times New Roman" w:eastAsia="宋体" w:cs="Times New Roman"/>
                      <w:color w:val="000000"/>
                      <w:sz w:val="18"/>
                      <w:szCs w:val="18"/>
                      <w:highlight w:val="none"/>
                      <w:vertAlign w:val="subscript"/>
                      <w:lang w:eastAsia="zh-CN"/>
                    </w:rPr>
                    <w:t>5</w:t>
                  </w:r>
                </w:p>
              </w:tc>
              <w:tc>
                <w:tcPr>
                  <w:tcW w:w="834" w:type="dxa"/>
                  <w:noWrap w:val="0"/>
                  <w:vAlign w:val="center"/>
                </w:tcPr>
                <w:p w14:paraId="7A1C7E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SS</w:t>
                  </w:r>
                </w:p>
              </w:tc>
              <w:tc>
                <w:tcPr>
                  <w:tcW w:w="739" w:type="dxa"/>
                  <w:noWrap w:val="0"/>
                  <w:vAlign w:val="center"/>
                </w:tcPr>
                <w:p w14:paraId="74DBE1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氨氮</w:t>
                  </w:r>
                </w:p>
              </w:tc>
              <w:tc>
                <w:tcPr>
                  <w:tcW w:w="644" w:type="dxa"/>
                  <w:noWrap w:val="0"/>
                  <w:vAlign w:val="center"/>
                </w:tcPr>
                <w:p w14:paraId="0B5D5F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总磷</w:t>
                  </w:r>
                </w:p>
              </w:tc>
              <w:tc>
                <w:tcPr>
                  <w:tcW w:w="865" w:type="dxa"/>
                  <w:noWrap w:val="0"/>
                  <w:vAlign w:val="center"/>
                </w:tcPr>
                <w:p w14:paraId="1B72B9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总氮</w:t>
                  </w:r>
                </w:p>
              </w:tc>
              <w:tc>
                <w:tcPr>
                  <w:tcW w:w="936" w:type="dxa"/>
                  <w:noWrap w:val="0"/>
                  <w:vAlign w:val="center"/>
                </w:tcPr>
                <w:p w14:paraId="070EA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总汞</w:t>
                  </w:r>
                </w:p>
              </w:tc>
              <w:tc>
                <w:tcPr>
                  <w:tcW w:w="936" w:type="dxa"/>
                  <w:noWrap w:val="0"/>
                  <w:vAlign w:val="center"/>
                </w:tcPr>
                <w:p w14:paraId="5BD07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总镉</w:t>
                  </w:r>
                </w:p>
              </w:tc>
              <w:tc>
                <w:tcPr>
                  <w:tcW w:w="936" w:type="dxa"/>
                  <w:noWrap w:val="0"/>
                  <w:vAlign w:val="center"/>
                </w:tcPr>
                <w:p w14:paraId="2E3F5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总铬</w:t>
                  </w:r>
                </w:p>
              </w:tc>
              <w:tc>
                <w:tcPr>
                  <w:tcW w:w="936" w:type="dxa"/>
                  <w:noWrap w:val="0"/>
                  <w:vAlign w:val="center"/>
                </w:tcPr>
                <w:p w14:paraId="121B9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六价铬</w:t>
                  </w:r>
                </w:p>
              </w:tc>
              <w:tc>
                <w:tcPr>
                  <w:tcW w:w="936" w:type="dxa"/>
                  <w:noWrap w:val="0"/>
                  <w:vAlign w:val="center"/>
                </w:tcPr>
                <w:p w14:paraId="3FC043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总砷</w:t>
                  </w:r>
                </w:p>
              </w:tc>
              <w:tc>
                <w:tcPr>
                  <w:tcW w:w="468" w:type="dxa"/>
                  <w:noWrap w:val="0"/>
                  <w:vAlign w:val="center"/>
                </w:tcPr>
                <w:p w14:paraId="15CFC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CN"/>
                    </w:rPr>
                    <w:t>总铅</w:t>
                  </w:r>
                </w:p>
              </w:tc>
              <w:tc>
                <w:tcPr>
                  <w:tcW w:w="468" w:type="dxa"/>
                  <w:noWrap w:val="0"/>
                  <w:vAlign w:val="center"/>
                </w:tcPr>
                <w:p w14:paraId="64DB7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总镍</w:t>
                  </w:r>
                </w:p>
              </w:tc>
              <w:tc>
                <w:tcPr>
                  <w:tcW w:w="564" w:type="dxa"/>
                  <w:noWrap w:val="0"/>
                  <w:vAlign w:val="center"/>
                </w:tcPr>
                <w:p w14:paraId="206E61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色度</w:t>
                  </w:r>
                </w:p>
              </w:tc>
            </w:tr>
            <w:tr w14:paraId="1067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9" w:type="dxa"/>
                  <w:gridSpan w:val="2"/>
                  <w:noWrap w:val="0"/>
                  <w:vAlign w:val="center"/>
                </w:tcPr>
                <w:p w14:paraId="021FC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调节池</w:t>
                  </w:r>
                </w:p>
              </w:tc>
              <w:tc>
                <w:tcPr>
                  <w:tcW w:w="595" w:type="dxa"/>
                  <w:noWrap w:val="0"/>
                  <w:vAlign w:val="center"/>
                </w:tcPr>
                <w:p w14:paraId="0EE5F0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6.45</w:t>
                  </w:r>
                </w:p>
              </w:tc>
              <w:tc>
                <w:tcPr>
                  <w:tcW w:w="739" w:type="dxa"/>
                  <w:noWrap w:val="0"/>
                  <w:vAlign w:val="center"/>
                </w:tcPr>
                <w:p w14:paraId="6031B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1351</w:t>
                  </w:r>
                </w:p>
              </w:tc>
              <w:tc>
                <w:tcPr>
                  <w:tcW w:w="712" w:type="dxa"/>
                  <w:noWrap w:val="0"/>
                  <w:vAlign w:val="center"/>
                </w:tcPr>
                <w:p w14:paraId="35932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319</w:t>
                  </w:r>
                </w:p>
              </w:tc>
              <w:tc>
                <w:tcPr>
                  <w:tcW w:w="834" w:type="dxa"/>
                  <w:noWrap w:val="0"/>
                  <w:vAlign w:val="center"/>
                </w:tcPr>
                <w:p w14:paraId="2CF45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605.5</w:t>
                  </w:r>
                </w:p>
              </w:tc>
              <w:tc>
                <w:tcPr>
                  <w:tcW w:w="739" w:type="dxa"/>
                  <w:noWrap w:val="0"/>
                  <w:vAlign w:val="center"/>
                </w:tcPr>
                <w:p w14:paraId="1CDAE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341.5</w:t>
                  </w:r>
                </w:p>
              </w:tc>
              <w:tc>
                <w:tcPr>
                  <w:tcW w:w="644" w:type="dxa"/>
                  <w:noWrap w:val="0"/>
                  <w:vAlign w:val="center"/>
                </w:tcPr>
                <w:p w14:paraId="115D67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15</w:t>
                  </w:r>
                </w:p>
              </w:tc>
              <w:tc>
                <w:tcPr>
                  <w:tcW w:w="865" w:type="dxa"/>
                  <w:noWrap w:val="0"/>
                  <w:vAlign w:val="center"/>
                </w:tcPr>
                <w:p w14:paraId="541E8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570</w:t>
                  </w:r>
                </w:p>
              </w:tc>
              <w:tc>
                <w:tcPr>
                  <w:tcW w:w="936" w:type="dxa"/>
                  <w:noWrap w:val="0"/>
                  <w:vAlign w:val="center"/>
                </w:tcPr>
                <w:p w14:paraId="1FD59F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0.0025</w:t>
                  </w:r>
                </w:p>
              </w:tc>
              <w:tc>
                <w:tcPr>
                  <w:tcW w:w="936" w:type="dxa"/>
                  <w:noWrap w:val="0"/>
                  <w:vAlign w:val="center"/>
                </w:tcPr>
                <w:p w14:paraId="654060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0.31</w:t>
                  </w:r>
                </w:p>
              </w:tc>
              <w:tc>
                <w:tcPr>
                  <w:tcW w:w="936" w:type="dxa"/>
                  <w:noWrap w:val="0"/>
                  <w:vAlign w:val="center"/>
                </w:tcPr>
                <w:p w14:paraId="58194C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0.12</w:t>
                  </w:r>
                </w:p>
              </w:tc>
              <w:tc>
                <w:tcPr>
                  <w:tcW w:w="936" w:type="dxa"/>
                  <w:noWrap w:val="0"/>
                  <w:vAlign w:val="center"/>
                </w:tcPr>
                <w:p w14:paraId="6C247F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0.067</w:t>
                  </w:r>
                </w:p>
              </w:tc>
              <w:tc>
                <w:tcPr>
                  <w:tcW w:w="936" w:type="dxa"/>
                  <w:noWrap w:val="0"/>
                  <w:vAlign w:val="center"/>
                </w:tcPr>
                <w:p w14:paraId="43F49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0.059</w:t>
                  </w:r>
                </w:p>
              </w:tc>
              <w:tc>
                <w:tcPr>
                  <w:tcW w:w="468" w:type="dxa"/>
                  <w:noWrap w:val="0"/>
                  <w:vAlign w:val="center"/>
                </w:tcPr>
                <w:p w14:paraId="57F9E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0.16</w:t>
                  </w:r>
                </w:p>
              </w:tc>
              <w:tc>
                <w:tcPr>
                  <w:tcW w:w="468" w:type="dxa"/>
                  <w:noWrap w:val="0"/>
                  <w:vAlign w:val="center"/>
                </w:tcPr>
                <w:p w14:paraId="307F9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0.16</w:t>
                  </w:r>
                </w:p>
              </w:tc>
              <w:tc>
                <w:tcPr>
                  <w:tcW w:w="564" w:type="dxa"/>
                  <w:noWrap w:val="0"/>
                  <w:vAlign w:val="center"/>
                </w:tcPr>
                <w:p w14:paraId="788C33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r>
            <w:tr w14:paraId="05E3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95" w:type="dxa"/>
                  <w:vMerge w:val="restart"/>
                  <w:noWrap w:val="0"/>
                  <w:vAlign w:val="center"/>
                </w:tcPr>
                <w:p w14:paraId="6FBDB7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絮凝</w:t>
                  </w:r>
                </w:p>
              </w:tc>
              <w:tc>
                <w:tcPr>
                  <w:tcW w:w="1084" w:type="dxa"/>
                  <w:noWrap w:val="0"/>
                  <w:vAlign w:val="center"/>
                </w:tcPr>
                <w:p w14:paraId="70BD31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处理效率</w:t>
                  </w:r>
                </w:p>
              </w:tc>
              <w:tc>
                <w:tcPr>
                  <w:tcW w:w="595" w:type="dxa"/>
                  <w:noWrap w:val="0"/>
                  <w:vAlign w:val="center"/>
                </w:tcPr>
                <w:p w14:paraId="3808F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739" w:type="dxa"/>
                  <w:noWrap w:val="0"/>
                  <w:vAlign w:val="center"/>
                </w:tcPr>
                <w:p w14:paraId="35AFE1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70%</w:t>
                  </w:r>
                </w:p>
              </w:tc>
              <w:tc>
                <w:tcPr>
                  <w:tcW w:w="712" w:type="dxa"/>
                  <w:noWrap w:val="0"/>
                  <w:vAlign w:val="center"/>
                </w:tcPr>
                <w:p w14:paraId="5B28C2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834" w:type="dxa"/>
                  <w:noWrap w:val="0"/>
                  <w:vAlign w:val="center"/>
                </w:tcPr>
                <w:p w14:paraId="1CA5C8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739" w:type="dxa"/>
                  <w:noWrap w:val="0"/>
                  <w:vAlign w:val="center"/>
                </w:tcPr>
                <w:p w14:paraId="3F45EB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644" w:type="dxa"/>
                  <w:noWrap w:val="0"/>
                  <w:vAlign w:val="center"/>
                </w:tcPr>
                <w:p w14:paraId="265196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20%</w:t>
                  </w:r>
                </w:p>
              </w:tc>
              <w:tc>
                <w:tcPr>
                  <w:tcW w:w="865" w:type="dxa"/>
                  <w:noWrap w:val="0"/>
                  <w:vAlign w:val="center"/>
                </w:tcPr>
                <w:p w14:paraId="4B360D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70%</w:t>
                  </w:r>
                </w:p>
              </w:tc>
              <w:tc>
                <w:tcPr>
                  <w:tcW w:w="936" w:type="dxa"/>
                  <w:noWrap w:val="0"/>
                  <w:vAlign w:val="center"/>
                </w:tcPr>
                <w:p w14:paraId="0DC6E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936" w:type="dxa"/>
                  <w:noWrap w:val="0"/>
                  <w:vAlign w:val="center"/>
                </w:tcPr>
                <w:p w14:paraId="3D7B04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936" w:type="dxa"/>
                  <w:noWrap w:val="0"/>
                  <w:vAlign w:val="center"/>
                </w:tcPr>
                <w:p w14:paraId="540598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936" w:type="dxa"/>
                  <w:noWrap w:val="0"/>
                  <w:vAlign w:val="center"/>
                </w:tcPr>
                <w:p w14:paraId="6BCDC1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936" w:type="dxa"/>
                  <w:noWrap w:val="0"/>
                  <w:vAlign w:val="center"/>
                </w:tcPr>
                <w:p w14:paraId="6B9AAB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468" w:type="dxa"/>
                  <w:noWrap w:val="0"/>
                  <w:vAlign w:val="center"/>
                </w:tcPr>
                <w:p w14:paraId="25A0AC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468" w:type="dxa"/>
                  <w:noWrap w:val="0"/>
                  <w:vAlign w:val="center"/>
                </w:tcPr>
                <w:p w14:paraId="463C7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564" w:type="dxa"/>
                  <w:noWrap w:val="0"/>
                  <w:vAlign w:val="center"/>
                </w:tcPr>
                <w:p w14:paraId="0A6E1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95%</w:t>
                  </w:r>
                </w:p>
              </w:tc>
            </w:tr>
            <w:tr w14:paraId="15DF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5" w:type="dxa"/>
                  <w:vMerge w:val="continue"/>
                  <w:noWrap w:val="0"/>
                  <w:vAlign w:val="center"/>
                </w:tcPr>
                <w:p w14:paraId="65221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84" w:type="dxa"/>
                  <w:noWrap w:val="0"/>
                  <w:vAlign w:val="center"/>
                </w:tcPr>
                <w:p w14:paraId="3CB15B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出水水质</w:t>
                  </w:r>
                </w:p>
              </w:tc>
              <w:tc>
                <w:tcPr>
                  <w:tcW w:w="595" w:type="dxa"/>
                  <w:noWrap w:val="0"/>
                  <w:vAlign w:val="center"/>
                </w:tcPr>
                <w:p w14:paraId="3A5D9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6.45</w:t>
                  </w:r>
                </w:p>
              </w:tc>
              <w:tc>
                <w:tcPr>
                  <w:tcW w:w="739" w:type="dxa"/>
                  <w:noWrap w:val="0"/>
                  <w:vAlign w:val="center"/>
                </w:tcPr>
                <w:p w14:paraId="60CEE9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405.3</w:t>
                  </w:r>
                </w:p>
              </w:tc>
              <w:tc>
                <w:tcPr>
                  <w:tcW w:w="712" w:type="dxa"/>
                  <w:noWrap w:val="0"/>
                  <w:vAlign w:val="center"/>
                </w:tcPr>
                <w:p w14:paraId="186CA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191.4</w:t>
                  </w:r>
                </w:p>
              </w:tc>
              <w:tc>
                <w:tcPr>
                  <w:tcW w:w="834" w:type="dxa"/>
                  <w:noWrap w:val="0"/>
                  <w:vAlign w:val="center"/>
                </w:tcPr>
                <w:p w14:paraId="6FAAFF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302.75</w:t>
                  </w:r>
                </w:p>
              </w:tc>
              <w:tc>
                <w:tcPr>
                  <w:tcW w:w="739" w:type="dxa"/>
                  <w:noWrap w:val="0"/>
                  <w:vAlign w:val="center"/>
                </w:tcPr>
                <w:p w14:paraId="42FD91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204.9</w:t>
                  </w:r>
                </w:p>
              </w:tc>
              <w:tc>
                <w:tcPr>
                  <w:tcW w:w="644" w:type="dxa"/>
                  <w:noWrap w:val="0"/>
                  <w:vAlign w:val="center"/>
                </w:tcPr>
                <w:p w14:paraId="63376F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w:t>
                  </w:r>
                </w:p>
              </w:tc>
              <w:tc>
                <w:tcPr>
                  <w:tcW w:w="865" w:type="dxa"/>
                  <w:noWrap w:val="0"/>
                  <w:vAlign w:val="center"/>
                </w:tcPr>
                <w:p w14:paraId="78ADFD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399</w:t>
                  </w:r>
                </w:p>
              </w:tc>
              <w:tc>
                <w:tcPr>
                  <w:tcW w:w="936" w:type="dxa"/>
                  <w:noWrap w:val="0"/>
                  <w:vAlign w:val="center"/>
                </w:tcPr>
                <w:p w14:paraId="587EB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0.00125</w:t>
                  </w:r>
                </w:p>
              </w:tc>
              <w:tc>
                <w:tcPr>
                  <w:tcW w:w="936" w:type="dxa"/>
                  <w:noWrap w:val="0"/>
                  <w:vAlign w:val="center"/>
                </w:tcPr>
                <w:p w14:paraId="015B8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0.155</w:t>
                  </w:r>
                </w:p>
              </w:tc>
              <w:tc>
                <w:tcPr>
                  <w:tcW w:w="936" w:type="dxa"/>
                  <w:noWrap w:val="0"/>
                  <w:vAlign w:val="center"/>
                </w:tcPr>
                <w:p w14:paraId="57EB97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0.06</w:t>
                  </w:r>
                </w:p>
              </w:tc>
              <w:tc>
                <w:tcPr>
                  <w:tcW w:w="936" w:type="dxa"/>
                  <w:noWrap w:val="0"/>
                  <w:vAlign w:val="center"/>
                </w:tcPr>
                <w:p w14:paraId="1065E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0.0335</w:t>
                  </w:r>
                </w:p>
              </w:tc>
              <w:tc>
                <w:tcPr>
                  <w:tcW w:w="936" w:type="dxa"/>
                  <w:noWrap w:val="0"/>
                  <w:vAlign w:val="center"/>
                </w:tcPr>
                <w:p w14:paraId="5102DF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0.0295</w:t>
                  </w:r>
                </w:p>
              </w:tc>
              <w:tc>
                <w:tcPr>
                  <w:tcW w:w="468" w:type="dxa"/>
                  <w:noWrap w:val="0"/>
                  <w:vAlign w:val="center"/>
                </w:tcPr>
                <w:p w14:paraId="30CE50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0.08</w:t>
                  </w:r>
                </w:p>
              </w:tc>
              <w:tc>
                <w:tcPr>
                  <w:tcW w:w="468" w:type="dxa"/>
                  <w:noWrap w:val="0"/>
                  <w:vAlign w:val="center"/>
                </w:tcPr>
                <w:p w14:paraId="79A658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0.08</w:t>
                  </w:r>
                </w:p>
              </w:tc>
              <w:tc>
                <w:tcPr>
                  <w:tcW w:w="564" w:type="dxa"/>
                  <w:noWrap w:val="0"/>
                  <w:vAlign w:val="center"/>
                </w:tcPr>
                <w:p w14:paraId="77C35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2.5</w:t>
                  </w:r>
                </w:p>
              </w:tc>
            </w:tr>
            <w:tr w14:paraId="7D89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95" w:type="dxa"/>
                  <w:vMerge w:val="restart"/>
                  <w:noWrap w:val="0"/>
                  <w:vAlign w:val="center"/>
                </w:tcPr>
                <w:p w14:paraId="1FC81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混凝沉淀</w:t>
                  </w:r>
                </w:p>
              </w:tc>
              <w:tc>
                <w:tcPr>
                  <w:tcW w:w="1084" w:type="dxa"/>
                  <w:noWrap w:val="0"/>
                  <w:vAlign w:val="center"/>
                </w:tcPr>
                <w:p w14:paraId="03446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处理效率</w:t>
                  </w:r>
                </w:p>
              </w:tc>
              <w:tc>
                <w:tcPr>
                  <w:tcW w:w="595" w:type="dxa"/>
                  <w:noWrap w:val="0"/>
                  <w:vAlign w:val="center"/>
                </w:tcPr>
                <w:p w14:paraId="6F58F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739" w:type="dxa"/>
                  <w:noWrap w:val="0"/>
                  <w:vAlign w:val="center"/>
                </w:tcPr>
                <w:p w14:paraId="2E59EC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712" w:type="dxa"/>
                  <w:noWrap w:val="0"/>
                  <w:vAlign w:val="center"/>
                </w:tcPr>
                <w:p w14:paraId="6441E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834" w:type="dxa"/>
                  <w:noWrap w:val="0"/>
                  <w:vAlign w:val="center"/>
                </w:tcPr>
                <w:p w14:paraId="76DDB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70%</w:t>
                  </w:r>
                </w:p>
              </w:tc>
              <w:tc>
                <w:tcPr>
                  <w:tcW w:w="739" w:type="dxa"/>
                  <w:noWrap w:val="0"/>
                  <w:vAlign w:val="center"/>
                </w:tcPr>
                <w:p w14:paraId="6D174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644" w:type="dxa"/>
                  <w:noWrap w:val="0"/>
                  <w:vAlign w:val="center"/>
                </w:tcPr>
                <w:p w14:paraId="307D6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865" w:type="dxa"/>
                  <w:noWrap w:val="0"/>
                  <w:vAlign w:val="center"/>
                </w:tcPr>
                <w:p w14:paraId="128F5B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936" w:type="dxa"/>
                  <w:noWrap w:val="0"/>
                  <w:vAlign w:val="center"/>
                </w:tcPr>
                <w:p w14:paraId="18E6C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936" w:type="dxa"/>
                  <w:noWrap w:val="0"/>
                  <w:vAlign w:val="center"/>
                </w:tcPr>
                <w:p w14:paraId="0DA93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936" w:type="dxa"/>
                  <w:noWrap w:val="0"/>
                  <w:vAlign w:val="center"/>
                </w:tcPr>
                <w:p w14:paraId="654F4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936" w:type="dxa"/>
                  <w:noWrap w:val="0"/>
                  <w:vAlign w:val="center"/>
                </w:tcPr>
                <w:p w14:paraId="2F630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936" w:type="dxa"/>
                  <w:noWrap w:val="0"/>
                  <w:vAlign w:val="center"/>
                </w:tcPr>
                <w:p w14:paraId="2BA89F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468" w:type="dxa"/>
                  <w:noWrap w:val="0"/>
                  <w:vAlign w:val="center"/>
                </w:tcPr>
                <w:p w14:paraId="3837EF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468" w:type="dxa"/>
                  <w:noWrap w:val="0"/>
                  <w:vAlign w:val="center"/>
                </w:tcPr>
                <w:p w14:paraId="7D1BA8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564" w:type="dxa"/>
                  <w:noWrap w:val="0"/>
                  <w:vAlign w:val="center"/>
                </w:tcPr>
                <w:p w14:paraId="750A9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r>
            <w:tr w14:paraId="4447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595" w:type="dxa"/>
                  <w:vMerge w:val="continue"/>
                  <w:noWrap w:val="0"/>
                  <w:vAlign w:val="center"/>
                </w:tcPr>
                <w:p w14:paraId="23DD4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84" w:type="dxa"/>
                  <w:noWrap w:val="0"/>
                  <w:vAlign w:val="center"/>
                </w:tcPr>
                <w:p w14:paraId="73E1E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出水水质</w:t>
                  </w:r>
                </w:p>
              </w:tc>
              <w:tc>
                <w:tcPr>
                  <w:tcW w:w="595" w:type="dxa"/>
                  <w:noWrap w:val="0"/>
                  <w:vAlign w:val="center"/>
                </w:tcPr>
                <w:p w14:paraId="2708E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6.45</w:t>
                  </w:r>
                </w:p>
              </w:tc>
              <w:tc>
                <w:tcPr>
                  <w:tcW w:w="739" w:type="dxa"/>
                  <w:noWrap w:val="0"/>
                  <w:vAlign w:val="center"/>
                </w:tcPr>
                <w:p w14:paraId="1D941E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243.18</w:t>
                  </w:r>
                </w:p>
              </w:tc>
              <w:tc>
                <w:tcPr>
                  <w:tcW w:w="712" w:type="dxa"/>
                  <w:noWrap w:val="0"/>
                  <w:vAlign w:val="center"/>
                </w:tcPr>
                <w:p w14:paraId="68EDF9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95.7</w:t>
                  </w:r>
                </w:p>
              </w:tc>
              <w:tc>
                <w:tcPr>
                  <w:tcW w:w="834" w:type="dxa"/>
                  <w:noWrap w:val="0"/>
                  <w:vAlign w:val="center"/>
                </w:tcPr>
                <w:p w14:paraId="6421EF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90.825</w:t>
                  </w:r>
                </w:p>
              </w:tc>
              <w:tc>
                <w:tcPr>
                  <w:tcW w:w="739" w:type="dxa"/>
                  <w:noWrap w:val="0"/>
                  <w:vAlign w:val="center"/>
                </w:tcPr>
                <w:p w14:paraId="1C525F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102.45</w:t>
                  </w:r>
                </w:p>
              </w:tc>
              <w:tc>
                <w:tcPr>
                  <w:tcW w:w="644" w:type="dxa"/>
                  <w:noWrap w:val="0"/>
                  <w:vAlign w:val="center"/>
                </w:tcPr>
                <w:p w14:paraId="1FAB0A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1.5</w:t>
                  </w:r>
                </w:p>
              </w:tc>
              <w:tc>
                <w:tcPr>
                  <w:tcW w:w="865" w:type="dxa"/>
                  <w:noWrap w:val="0"/>
                  <w:vAlign w:val="center"/>
                </w:tcPr>
                <w:p w14:paraId="65E9DC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199.5</w:t>
                  </w:r>
                </w:p>
              </w:tc>
              <w:tc>
                <w:tcPr>
                  <w:tcW w:w="936" w:type="dxa"/>
                  <w:noWrap w:val="0"/>
                  <w:vAlign w:val="center"/>
                </w:tcPr>
                <w:p w14:paraId="1CE554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0.0005</w:t>
                  </w:r>
                </w:p>
              </w:tc>
              <w:tc>
                <w:tcPr>
                  <w:tcW w:w="936" w:type="dxa"/>
                  <w:noWrap w:val="0"/>
                  <w:vAlign w:val="center"/>
                </w:tcPr>
                <w:p w14:paraId="5F4FC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0.062</w:t>
                  </w:r>
                </w:p>
              </w:tc>
              <w:tc>
                <w:tcPr>
                  <w:tcW w:w="936" w:type="dxa"/>
                  <w:noWrap w:val="0"/>
                  <w:vAlign w:val="center"/>
                </w:tcPr>
                <w:p w14:paraId="11C298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0.024</w:t>
                  </w:r>
                </w:p>
              </w:tc>
              <w:tc>
                <w:tcPr>
                  <w:tcW w:w="936" w:type="dxa"/>
                  <w:noWrap w:val="0"/>
                  <w:vAlign w:val="center"/>
                </w:tcPr>
                <w:p w14:paraId="5B77C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0.0134</w:t>
                  </w:r>
                </w:p>
              </w:tc>
              <w:tc>
                <w:tcPr>
                  <w:tcW w:w="936" w:type="dxa"/>
                  <w:noWrap w:val="0"/>
                  <w:vAlign w:val="center"/>
                </w:tcPr>
                <w:p w14:paraId="7E967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0.0118</w:t>
                  </w:r>
                </w:p>
              </w:tc>
              <w:tc>
                <w:tcPr>
                  <w:tcW w:w="468" w:type="dxa"/>
                  <w:noWrap w:val="0"/>
                  <w:vAlign w:val="center"/>
                </w:tcPr>
                <w:p w14:paraId="7668B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0.032</w:t>
                  </w:r>
                </w:p>
              </w:tc>
              <w:tc>
                <w:tcPr>
                  <w:tcW w:w="468" w:type="dxa"/>
                  <w:noWrap w:val="0"/>
                  <w:vAlign w:val="center"/>
                </w:tcPr>
                <w:p w14:paraId="518F0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0.032</w:t>
                  </w:r>
                </w:p>
              </w:tc>
              <w:tc>
                <w:tcPr>
                  <w:tcW w:w="564" w:type="dxa"/>
                  <w:noWrap w:val="0"/>
                  <w:vAlign w:val="center"/>
                </w:tcPr>
                <w:p w14:paraId="25926C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2.5</w:t>
                  </w:r>
                </w:p>
              </w:tc>
            </w:tr>
            <w:tr w14:paraId="7FF3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95" w:type="dxa"/>
                  <w:vMerge w:val="restart"/>
                  <w:noWrap w:val="0"/>
                  <w:vAlign w:val="center"/>
                </w:tcPr>
                <w:p w14:paraId="3731D2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两级</w:t>
                  </w:r>
                  <w:r>
                    <w:rPr>
                      <w:rFonts w:hint="default" w:ascii="Times New Roman" w:hAnsi="Times New Roman" w:eastAsia="宋体" w:cs="Times New Roman"/>
                      <w:color w:val="000000"/>
                      <w:sz w:val="18"/>
                      <w:szCs w:val="18"/>
                      <w:highlight w:val="none"/>
                      <w:vertAlign w:val="baseline"/>
                      <w:lang w:val="en-US" w:eastAsia="zh-CN"/>
                    </w:rPr>
                    <w:t>A/O</w:t>
                  </w:r>
                </w:p>
              </w:tc>
              <w:tc>
                <w:tcPr>
                  <w:tcW w:w="1084" w:type="dxa"/>
                  <w:noWrap w:val="0"/>
                  <w:vAlign w:val="center"/>
                </w:tcPr>
                <w:p w14:paraId="0A85F5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处理效率</w:t>
                  </w:r>
                </w:p>
              </w:tc>
              <w:tc>
                <w:tcPr>
                  <w:tcW w:w="595" w:type="dxa"/>
                  <w:noWrap w:val="0"/>
                  <w:vAlign w:val="center"/>
                </w:tcPr>
                <w:p w14:paraId="7B1F47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调节中性</w:t>
                  </w:r>
                </w:p>
              </w:tc>
              <w:tc>
                <w:tcPr>
                  <w:tcW w:w="739" w:type="dxa"/>
                  <w:noWrap w:val="0"/>
                  <w:vAlign w:val="center"/>
                </w:tcPr>
                <w:p w14:paraId="242A72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712" w:type="dxa"/>
                  <w:noWrap w:val="0"/>
                  <w:vAlign w:val="center"/>
                </w:tcPr>
                <w:p w14:paraId="20B58A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834" w:type="dxa"/>
                  <w:noWrap w:val="0"/>
                  <w:vAlign w:val="center"/>
                </w:tcPr>
                <w:p w14:paraId="1CD47D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739" w:type="dxa"/>
                  <w:noWrap w:val="0"/>
                  <w:vAlign w:val="center"/>
                </w:tcPr>
                <w:p w14:paraId="23CF9E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644" w:type="dxa"/>
                  <w:noWrap w:val="0"/>
                  <w:vAlign w:val="center"/>
                </w:tcPr>
                <w:p w14:paraId="33D2D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865" w:type="dxa"/>
                  <w:noWrap w:val="0"/>
                  <w:vAlign w:val="center"/>
                </w:tcPr>
                <w:p w14:paraId="70E80F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0228B0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0FA4C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7EC43A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49A3C1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6E6D90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468" w:type="dxa"/>
                  <w:noWrap w:val="0"/>
                  <w:vAlign w:val="center"/>
                </w:tcPr>
                <w:p w14:paraId="2E3CE0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468" w:type="dxa"/>
                  <w:noWrap w:val="0"/>
                  <w:vAlign w:val="center"/>
                </w:tcPr>
                <w:p w14:paraId="548CB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564" w:type="dxa"/>
                  <w:noWrap w:val="0"/>
                  <w:vAlign w:val="center"/>
                </w:tcPr>
                <w:p w14:paraId="2D8A0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r>
            <w:tr w14:paraId="0F22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595" w:type="dxa"/>
                  <w:vMerge w:val="continue"/>
                  <w:noWrap w:val="0"/>
                  <w:vAlign w:val="center"/>
                </w:tcPr>
                <w:p w14:paraId="16BC40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84" w:type="dxa"/>
                  <w:noWrap w:val="0"/>
                  <w:vAlign w:val="center"/>
                </w:tcPr>
                <w:p w14:paraId="51BA56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出水水质</w:t>
                  </w:r>
                </w:p>
              </w:tc>
              <w:tc>
                <w:tcPr>
                  <w:tcW w:w="595" w:type="dxa"/>
                  <w:noWrap w:val="0"/>
                  <w:vAlign w:val="center"/>
                </w:tcPr>
                <w:p w14:paraId="6A9ED1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7.0</w:t>
                  </w:r>
                </w:p>
              </w:tc>
              <w:tc>
                <w:tcPr>
                  <w:tcW w:w="739" w:type="dxa"/>
                  <w:noWrap w:val="0"/>
                  <w:vAlign w:val="center"/>
                </w:tcPr>
                <w:p w14:paraId="11685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243.18</w:t>
                  </w:r>
                </w:p>
              </w:tc>
              <w:tc>
                <w:tcPr>
                  <w:tcW w:w="712" w:type="dxa"/>
                  <w:noWrap w:val="0"/>
                  <w:vAlign w:val="center"/>
                </w:tcPr>
                <w:p w14:paraId="66EB6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95.7</w:t>
                  </w:r>
                </w:p>
              </w:tc>
              <w:tc>
                <w:tcPr>
                  <w:tcW w:w="834" w:type="dxa"/>
                  <w:noWrap w:val="0"/>
                  <w:vAlign w:val="center"/>
                </w:tcPr>
                <w:p w14:paraId="7B31A0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90.825</w:t>
                  </w:r>
                </w:p>
              </w:tc>
              <w:tc>
                <w:tcPr>
                  <w:tcW w:w="739" w:type="dxa"/>
                  <w:noWrap w:val="0"/>
                  <w:vAlign w:val="center"/>
                </w:tcPr>
                <w:p w14:paraId="42164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102.45</w:t>
                  </w:r>
                </w:p>
              </w:tc>
              <w:tc>
                <w:tcPr>
                  <w:tcW w:w="644" w:type="dxa"/>
                  <w:noWrap w:val="0"/>
                  <w:vAlign w:val="center"/>
                </w:tcPr>
                <w:p w14:paraId="10C8E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1.5</w:t>
                  </w:r>
                </w:p>
              </w:tc>
              <w:tc>
                <w:tcPr>
                  <w:tcW w:w="865" w:type="dxa"/>
                  <w:noWrap w:val="0"/>
                  <w:vAlign w:val="center"/>
                </w:tcPr>
                <w:p w14:paraId="7347B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199.5</w:t>
                  </w:r>
                </w:p>
              </w:tc>
              <w:tc>
                <w:tcPr>
                  <w:tcW w:w="936" w:type="dxa"/>
                  <w:noWrap w:val="0"/>
                  <w:vAlign w:val="center"/>
                </w:tcPr>
                <w:p w14:paraId="2EC0DE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0.0005</w:t>
                  </w:r>
                </w:p>
              </w:tc>
              <w:tc>
                <w:tcPr>
                  <w:tcW w:w="936" w:type="dxa"/>
                  <w:noWrap w:val="0"/>
                  <w:vAlign w:val="center"/>
                </w:tcPr>
                <w:p w14:paraId="2A486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0.062</w:t>
                  </w:r>
                </w:p>
              </w:tc>
              <w:tc>
                <w:tcPr>
                  <w:tcW w:w="936" w:type="dxa"/>
                  <w:noWrap w:val="0"/>
                  <w:vAlign w:val="center"/>
                </w:tcPr>
                <w:p w14:paraId="632144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0.024</w:t>
                  </w:r>
                </w:p>
              </w:tc>
              <w:tc>
                <w:tcPr>
                  <w:tcW w:w="936" w:type="dxa"/>
                  <w:noWrap w:val="0"/>
                  <w:vAlign w:val="center"/>
                </w:tcPr>
                <w:p w14:paraId="3FEE10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0.0134</w:t>
                  </w:r>
                </w:p>
              </w:tc>
              <w:tc>
                <w:tcPr>
                  <w:tcW w:w="936" w:type="dxa"/>
                  <w:noWrap w:val="0"/>
                  <w:vAlign w:val="center"/>
                </w:tcPr>
                <w:p w14:paraId="0921F0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0.0118</w:t>
                  </w:r>
                </w:p>
              </w:tc>
              <w:tc>
                <w:tcPr>
                  <w:tcW w:w="468" w:type="dxa"/>
                  <w:noWrap w:val="0"/>
                  <w:vAlign w:val="center"/>
                </w:tcPr>
                <w:p w14:paraId="08B7C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0.032</w:t>
                  </w:r>
                </w:p>
              </w:tc>
              <w:tc>
                <w:tcPr>
                  <w:tcW w:w="468" w:type="dxa"/>
                  <w:noWrap w:val="0"/>
                  <w:vAlign w:val="center"/>
                </w:tcPr>
                <w:p w14:paraId="1EEA82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0.032</w:t>
                  </w:r>
                </w:p>
              </w:tc>
              <w:tc>
                <w:tcPr>
                  <w:tcW w:w="564" w:type="dxa"/>
                  <w:noWrap w:val="0"/>
                  <w:vAlign w:val="center"/>
                </w:tcPr>
                <w:p w14:paraId="672AE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2.5</w:t>
                  </w:r>
                </w:p>
              </w:tc>
            </w:tr>
            <w:tr w14:paraId="4DE5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5" w:type="dxa"/>
                  <w:vMerge w:val="restart"/>
                  <w:noWrap w:val="0"/>
                  <w:vAlign w:val="center"/>
                </w:tcPr>
                <w:p w14:paraId="3F637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中和反应槽</w:t>
                  </w:r>
                </w:p>
              </w:tc>
              <w:tc>
                <w:tcPr>
                  <w:tcW w:w="1084" w:type="dxa"/>
                  <w:noWrap w:val="0"/>
                  <w:vAlign w:val="center"/>
                </w:tcPr>
                <w:p w14:paraId="2713CB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处理效率</w:t>
                  </w:r>
                </w:p>
              </w:tc>
              <w:tc>
                <w:tcPr>
                  <w:tcW w:w="595" w:type="dxa"/>
                  <w:noWrap w:val="0"/>
                  <w:vAlign w:val="center"/>
                </w:tcPr>
                <w:p w14:paraId="1239E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739" w:type="dxa"/>
                  <w:noWrap w:val="0"/>
                  <w:vAlign w:val="center"/>
                </w:tcPr>
                <w:p w14:paraId="030EB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712" w:type="dxa"/>
                  <w:noWrap w:val="0"/>
                  <w:vAlign w:val="center"/>
                </w:tcPr>
                <w:p w14:paraId="3458F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834" w:type="dxa"/>
                  <w:noWrap w:val="0"/>
                  <w:vAlign w:val="center"/>
                </w:tcPr>
                <w:p w14:paraId="545C4F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99%</w:t>
                  </w:r>
                </w:p>
              </w:tc>
              <w:tc>
                <w:tcPr>
                  <w:tcW w:w="739" w:type="dxa"/>
                  <w:noWrap w:val="0"/>
                  <w:vAlign w:val="center"/>
                </w:tcPr>
                <w:p w14:paraId="7ACDD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644" w:type="dxa"/>
                  <w:noWrap w:val="0"/>
                  <w:vAlign w:val="center"/>
                </w:tcPr>
                <w:p w14:paraId="3EC79C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80%</w:t>
                  </w:r>
                </w:p>
              </w:tc>
              <w:tc>
                <w:tcPr>
                  <w:tcW w:w="865" w:type="dxa"/>
                  <w:noWrap w:val="0"/>
                  <w:vAlign w:val="center"/>
                </w:tcPr>
                <w:p w14:paraId="14D82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936" w:type="dxa"/>
                  <w:noWrap w:val="0"/>
                  <w:vAlign w:val="center"/>
                </w:tcPr>
                <w:p w14:paraId="2260C8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936" w:type="dxa"/>
                  <w:noWrap w:val="0"/>
                  <w:vAlign w:val="center"/>
                </w:tcPr>
                <w:p w14:paraId="673457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936" w:type="dxa"/>
                  <w:noWrap w:val="0"/>
                  <w:vAlign w:val="center"/>
                </w:tcPr>
                <w:p w14:paraId="6254F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936" w:type="dxa"/>
                  <w:noWrap w:val="0"/>
                  <w:vAlign w:val="center"/>
                </w:tcPr>
                <w:p w14:paraId="67E6BF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936" w:type="dxa"/>
                  <w:noWrap w:val="0"/>
                  <w:vAlign w:val="center"/>
                </w:tcPr>
                <w:p w14:paraId="29BAC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468" w:type="dxa"/>
                  <w:noWrap w:val="0"/>
                  <w:vAlign w:val="center"/>
                </w:tcPr>
                <w:p w14:paraId="3440F9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468" w:type="dxa"/>
                  <w:noWrap w:val="0"/>
                  <w:vAlign w:val="center"/>
                </w:tcPr>
                <w:p w14:paraId="36F4A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564" w:type="dxa"/>
                  <w:noWrap w:val="0"/>
                  <w:vAlign w:val="center"/>
                </w:tcPr>
                <w:p w14:paraId="6AC447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r>
            <w:tr w14:paraId="5A06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595" w:type="dxa"/>
                  <w:vMerge w:val="continue"/>
                  <w:noWrap w:val="0"/>
                  <w:vAlign w:val="center"/>
                </w:tcPr>
                <w:p w14:paraId="4A954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84" w:type="dxa"/>
                  <w:noWrap w:val="0"/>
                  <w:vAlign w:val="center"/>
                </w:tcPr>
                <w:p w14:paraId="0EB56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出水水质</w:t>
                  </w:r>
                </w:p>
              </w:tc>
              <w:tc>
                <w:tcPr>
                  <w:tcW w:w="595" w:type="dxa"/>
                  <w:noWrap w:val="0"/>
                  <w:vAlign w:val="center"/>
                </w:tcPr>
                <w:p w14:paraId="38EE3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7.0</w:t>
                  </w:r>
                </w:p>
              </w:tc>
              <w:tc>
                <w:tcPr>
                  <w:tcW w:w="739" w:type="dxa"/>
                  <w:noWrap w:val="0"/>
                  <w:vAlign w:val="center"/>
                </w:tcPr>
                <w:p w14:paraId="26686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24.318</w:t>
                  </w:r>
                </w:p>
              </w:tc>
              <w:tc>
                <w:tcPr>
                  <w:tcW w:w="712" w:type="dxa"/>
                  <w:noWrap w:val="0"/>
                  <w:vAlign w:val="center"/>
                </w:tcPr>
                <w:p w14:paraId="7653E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9.57</w:t>
                  </w:r>
                </w:p>
              </w:tc>
              <w:tc>
                <w:tcPr>
                  <w:tcW w:w="834" w:type="dxa"/>
                  <w:noWrap w:val="0"/>
                  <w:vAlign w:val="center"/>
                </w:tcPr>
                <w:p w14:paraId="18C20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0.90825</w:t>
                  </w:r>
                </w:p>
              </w:tc>
              <w:tc>
                <w:tcPr>
                  <w:tcW w:w="739" w:type="dxa"/>
                  <w:noWrap w:val="0"/>
                  <w:vAlign w:val="center"/>
                </w:tcPr>
                <w:p w14:paraId="0B5F4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10.245</w:t>
                  </w:r>
                </w:p>
              </w:tc>
              <w:tc>
                <w:tcPr>
                  <w:tcW w:w="644" w:type="dxa"/>
                  <w:noWrap w:val="0"/>
                  <w:vAlign w:val="center"/>
                </w:tcPr>
                <w:p w14:paraId="2D14D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0.3</w:t>
                  </w:r>
                </w:p>
              </w:tc>
              <w:tc>
                <w:tcPr>
                  <w:tcW w:w="865" w:type="dxa"/>
                  <w:noWrap w:val="0"/>
                  <w:vAlign w:val="center"/>
                </w:tcPr>
                <w:p w14:paraId="59E82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19.95</w:t>
                  </w:r>
                </w:p>
              </w:tc>
              <w:tc>
                <w:tcPr>
                  <w:tcW w:w="936" w:type="dxa"/>
                  <w:noWrap w:val="0"/>
                  <w:vAlign w:val="center"/>
                </w:tcPr>
                <w:p w14:paraId="2AD04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0.00005</w:t>
                  </w:r>
                </w:p>
              </w:tc>
              <w:tc>
                <w:tcPr>
                  <w:tcW w:w="936" w:type="dxa"/>
                  <w:noWrap w:val="0"/>
                  <w:vAlign w:val="center"/>
                </w:tcPr>
                <w:p w14:paraId="79C8D1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0.0062</w:t>
                  </w:r>
                </w:p>
              </w:tc>
              <w:tc>
                <w:tcPr>
                  <w:tcW w:w="936" w:type="dxa"/>
                  <w:noWrap w:val="0"/>
                  <w:vAlign w:val="center"/>
                </w:tcPr>
                <w:p w14:paraId="6E2AA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0.0024</w:t>
                  </w:r>
                </w:p>
              </w:tc>
              <w:tc>
                <w:tcPr>
                  <w:tcW w:w="936" w:type="dxa"/>
                  <w:noWrap w:val="0"/>
                  <w:vAlign w:val="center"/>
                </w:tcPr>
                <w:p w14:paraId="337AE6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0.00134</w:t>
                  </w:r>
                </w:p>
              </w:tc>
              <w:tc>
                <w:tcPr>
                  <w:tcW w:w="936" w:type="dxa"/>
                  <w:noWrap w:val="0"/>
                  <w:vAlign w:val="center"/>
                </w:tcPr>
                <w:p w14:paraId="1F96D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0.00118</w:t>
                  </w:r>
                </w:p>
              </w:tc>
              <w:tc>
                <w:tcPr>
                  <w:tcW w:w="468" w:type="dxa"/>
                  <w:noWrap w:val="0"/>
                  <w:vAlign w:val="center"/>
                </w:tcPr>
                <w:p w14:paraId="447B44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0.0032</w:t>
                  </w:r>
                </w:p>
              </w:tc>
              <w:tc>
                <w:tcPr>
                  <w:tcW w:w="468" w:type="dxa"/>
                  <w:noWrap w:val="0"/>
                  <w:vAlign w:val="center"/>
                </w:tcPr>
                <w:p w14:paraId="0D971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0.0032</w:t>
                  </w:r>
                </w:p>
              </w:tc>
              <w:tc>
                <w:tcPr>
                  <w:tcW w:w="564" w:type="dxa"/>
                  <w:noWrap w:val="0"/>
                  <w:vAlign w:val="center"/>
                </w:tcPr>
                <w:p w14:paraId="3EC6E9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2.5</w:t>
                  </w:r>
                </w:p>
              </w:tc>
            </w:tr>
            <w:tr w14:paraId="2167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95" w:type="dxa"/>
                  <w:vMerge w:val="restart"/>
                  <w:noWrap w:val="0"/>
                  <w:vAlign w:val="center"/>
                </w:tcPr>
                <w:p w14:paraId="25B5C6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MBR膜过滤</w:t>
                  </w:r>
                </w:p>
              </w:tc>
              <w:tc>
                <w:tcPr>
                  <w:tcW w:w="1084" w:type="dxa"/>
                  <w:noWrap w:val="0"/>
                  <w:vAlign w:val="center"/>
                </w:tcPr>
                <w:p w14:paraId="4E294D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处理效率</w:t>
                  </w:r>
                </w:p>
              </w:tc>
              <w:tc>
                <w:tcPr>
                  <w:tcW w:w="595" w:type="dxa"/>
                  <w:noWrap w:val="0"/>
                  <w:vAlign w:val="center"/>
                </w:tcPr>
                <w:p w14:paraId="73D8F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739" w:type="dxa"/>
                  <w:noWrap w:val="0"/>
                  <w:vAlign w:val="center"/>
                </w:tcPr>
                <w:p w14:paraId="59C0A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40%</w:t>
                  </w:r>
                </w:p>
              </w:tc>
              <w:tc>
                <w:tcPr>
                  <w:tcW w:w="712" w:type="dxa"/>
                  <w:noWrap w:val="0"/>
                  <w:vAlign w:val="center"/>
                </w:tcPr>
                <w:p w14:paraId="79C0C5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30%</w:t>
                  </w:r>
                </w:p>
              </w:tc>
              <w:tc>
                <w:tcPr>
                  <w:tcW w:w="834" w:type="dxa"/>
                  <w:noWrap w:val="0"/>
                  <w:vAlign w:val="center"/>
                </w:tcPr>
                <w:p w14:paraId="62CBC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739" w:type="dxa"/>
                  <w:noWrap w:val="0"/>
                  <w:vAlign w:val="center"/>
                </w:tcPr>
                <w:p w14:paraId="2C41E9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40%</w:t>
                  </w:r>
                </w:p>
              </w:tc>
              <w:tc>
                <w:tcPr>
                  <w:tcW w:w="644" w:type="dxa"/>
                  <w:noWrap w:val="0"/>
                  <w:vAlign w:val="center"/>
                </w:tcPr>
                <w:p w14:paraId="406FB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20%</w:t>
                  </w:r>
                </w:p>
              </w:tc>
              <w:tc>
                <w:tcPr>
                  <w:tcW w:w="865" w:type="dxa"/>
                  <w:noWrap w:val="0"/>
                  <w:vAlign w:val="center"/>
                </w:tcPr>
                <w:p w14:paraId="31C5EC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40%</w:t>
                  </w:r>
                </w:p>
              </w:tc>
              <w:tc>
                <w:tcPr>
                  <w:tcW w:w="936" w:type="dxa"/>
                  <w:noWrap w:val="0"/>
                  <w:vAlign w:val="center"/>
                </w:tcPr>
                <w:p w14:paraId="1195CA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15C6D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6207C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7A220A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936" w:type="dxa"/>
                  <w:noWrap w:val="0"/>
                  <w:vAlign w:val="center"/>
                </w:tcPr>
                <w:p w14:paraId="47788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468" w:type="dxa"/>
                  <w:noWrap w:val="0"/>
                  <w:vAlign w:val="center"/>
                </w:tcPr>
                <w:p w14:paraId="40648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468" w:type="dxa"/>
                  <w:noWrap w:val="0"/>
                  <w:vAlign w:val="center"/>
                </w:tcPr>
                <w:p w14:paraId="5BA96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c>
                <w:tcPr>
                  <w:tcW w:w="564" w:type="dxa"/>
                  <w:noWrap w:val="0"/>
                  <w:vAlign w:val="center"/>
                </w:tcPr>
                <w:p w14:paraId="6FCD4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w:t>
                  </w:r>
                </w:p>
              </w:tc>
            </w:tr>
            <w:tr w14:paraId="3ADA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595" w:type="dxa"/>
                  <w:vMerge w:val="continue"/>
                  <w:noWrap w:val="0"/>
                  <w:vAlign w:val="center"/>
                </w:tcPr>
                <w:p w14:paraId="1C9E8E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84" w:type="dxa"/>
                  <w:noWrap w:val="0"/>
                  <w:vAlign w:val="center"/>
                </w:tcPr>
                <w:p w14:paraId="3DDC8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出水水质</w:t>
                  </w:r>
                </w:p>
              </w:tc>
              <w:tc>
                <w:tcPr>
                  <w:tcW w:w="595" w:type="dxa"/>
                  <w:noWrap w:val="0"/>
                  <w:vAlign w:val="center"/>
                </w:tcPr>
                <w:p w14:paraId="1EC78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7.0</w:t>
                  </w:r>
                </w:p>
              </w:tc>
              <w:tc>
                <w:tcPr>
                  <w:tcW w:w="739" w:type="dxa"/>
                  <w:noWrap w:val="0"/>
                  <w:vAlign w:val="center"/>
                </w:tcPr>
                <w:p w14:paraId="65F2C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14.59</w:t>
                  </w:r>
                </w:p>
              </w:tc>
              <w:tc>
                <w:tcPr>
                  <w:tcW w:w="712" w:type="dxa"/>
                  <w:noWrap w:val="0"/>
                  <w:vAlign w:val="center"/>
                </w:tcPr>
                <w:p w14:paraId="5226EC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6.7</w:t>
                  </w:r>
                </w:p>
              </w:tc>
              <w:tc>
                <w:tcPr>
                  <w:tcW w:w="834" w:type="dxa"/>
                  <w:noWrap w:val="0"/>
                  <w:vAlign w:val="center"/>
                </w:tcPr>
                <w:p w14:paraId="2F22F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0.91</w:t>
                  </w:r>
                </w:p>
              </w:tc>
              <w:tc>
                <w:tcPr>
                  <w:tcW w:w="739" w:type="dxa"/>
                  <w:noWrap w:val="0"/>
                  <w:vAlign w:val="center"/>
                </w:tcPr>
                <w:p w14:paraId="144222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6.15</w:t>
                  </w:r>
                </w:p>
              </w:tc>
              <w:tc>
                <w:tcPr>
                  <w:tcW w:w="644" w:type="dxa"/>
                  <w:noWrap w:val="0"/>
                  <w:vAlign w:val="center"/>
                </w:tcPr>
                <w:p w14:paraId="40890D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0.24</w:t>
                  </w:r>
                </w:p>
              </w:tc>
              <w:tc>
                <w:tcPr>
                  <w:tcW w:w="865" w:type="dxa"/>
                  <w:noWrap w:val="0"/>
                  <w:vAlign w:val="center"/>
                </w:tcPr>
                <w:p w14:paraId="586228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11.97</w:t>
                  </w:r>
                </w:p>
              </w:tc>
              <w:tc>
                <w:tcPr>
                  <w:tcW w:w="936" w:type="dxa"/>
                  <w:noWrap w:val="0"/>
                  <w:vAlign w:val="center"/>
                </w:tcPr>
                <w:p w14:paraId="3F5ABF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0.00005</w:t>
                  </w:r>
                </w:p>
              </w:tc>
              <w:tc>
                <w:tcPr>
                  <w:tcW w:w="936" w:type="dxa"/>
                  <w:noWrap w:val="0"/>
                  <w:vAlign w:val="center"/>
                </w:tcPr>
                <w:p w14:paraId="3D689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0.0062</w:t>
                  </w:r>
                </w:p>
              </w:tc>
              <w:tc>
                <w:tcPr>
                  <w:tcW w:w="936" w:type="dxa"/>
                  <w:noWrap w:val="0"/>
                  <w:vAlign w:val="center"/>
                </w:tcPr>
                <w:p w14:paraId="3D859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0.0024</w:t>
                  </w:r>
                </w:p>
              </w:tc>
              <w:tc>
                <w:tcPr>
                  <w:tcW w:w="936" w:type="dxa"/>
                  <w:noWrap w:val="0"/>
                  <w:vAlign w:val="center"/>
                </w:tcPr>
                <w:p w14:paraId="3355D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0.00134</w:t>
                  </w:r>
                </w:p>
              </w:tc>
              <w:tc>
                <w:tcPr>
                  <w:tcW w:w="936" w:type="dxa"/>
                  <w:noWrap w:val="0"/>
                  <w:vAlign w:val="center"/>
                </w:tcPr>
                <w:p w14:paraId="56B525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0.00118</w:t>
                  </w:r>
                </w:p>
              </w:tc>
              <w:tc>
                <w:tcPr>
                  <w:tcW w:w="468" w:type="dxa"/>
                  <w:noWrap w:val="0"/>
                  <w:vAlign w:val="center"/>
                </w:tcPr>
                <w:p w14:paraId="0A296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0.0032</w:t>
                  </w:r>
                </w:p>
              </w:tc>
              <w:tc>
                <w:tcPr>
                  <w:tcW w:w="468" w:type="dxa"/>
                  <w:noWrap w:val="0"/>
                  <w:vAlign w:val="center"/>
                </w:tcPr>
                <w:p w14:paraId="6A962E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0.0032</w:t>
                  </w:r>
                </w:p>
              </w:tc>
              <w:tc>
                <w:tcPr>
                  <w:tcW w:w="564" w:type="dxa"/>
                  <w:noWrap w:val="0"/>
                  <w:vAlign w:val="center"/>
                </w:tcPr>
                <w:p w14:paraId="5A2BF7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2.5</w:t>
                  </w:r>
                </w:p>
              </w:tc>
            </w:tr>
            <w:tr w14:paraId="65CE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5" w:type="dxa"/>
                  <w:noWrap w:val="0"/>
                  <w:vAlign w:val="center"/>
                </w:tcPr>
                <w:p w14:paraId="78B26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val="en-US" w:eastAsia="zh-CN"/>
                    </w:rPr>
                    <w:t>本项目污水处理站排放标准</w:t>
                  </w:r>
                </w:p>
              </w:tc>
              <w:tc>
                <w:tcPr>
                  <w:tcW w:w="1084" w:type="dxa"/>
                  <w:noWrap w:val="0"/>
                  <w:vAlign w:val="center"/>
                </w:tcPr>
                <w:p w14:paraId="3D13A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595" w:type="dxa"/>
                  <w:noWrap w:val="0"/>
                  <w:vAlign w:val="center"/>
                </w:tcPr>
                <w:p w14:paraId="117F5D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6~9</w:t>
                  </w:r>
                </w:p>
              </w:tc>
              <w:tc>
                <w:tcPr>
                  <w:tcW w:w="739" w:type="dxa"/>
                  <w:noWrap w:val="0"/>
                  <w:vAlign w:val="center"/>
                </w:tcPr>
                <w:p w14:paraId="429E98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60</w:t>
                  </w:r>
                </w:p>
              </w:tc>
              <w:tc>
                <w:tcPr>
                  <w:tcW w:w="712" w:type="dxa"/>
                  <w:noWrap w:val="0"/>
                  <w:vAlign w:val="center"/>
                </w:tcPr>
                <w:p w14:paraId="60FC91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20</w:t>
                  </w:r>
                </w:p>
              </w:tc>
              <w:tc>
                <w:tcPr>
                  <w:tcW w:w="834" w:type="dxa"/>
                  <w:noWrap w:val="0"/>
                  <w:vAlign w:val="center"/>
                </w:tcPr>
                <w:p w14:paraId="3B5ED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30</w:t>
                  </w:r>
                </w:p>
              </w:tc>
              <w:tc>
                <w:tcPr>
                  <w:tcW w:w="739" w:type="dxa"/>
                  <w:noWrap w:val="0"/>
                  <w:vAlign w:val="center"/>
                </w:tcPr>
                <w:p w14:paraId="58284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8</w:t>
                  </w:r>
                </w:p>
              </w:tc>
              <w:tc>
                <w:tcPr>
                  <w:tcW w:w="644" w:type="dxa"/>
                  <w:noWrap w:val="0"/>
                  <w:vAlign w:val="center"/>
                </w:tcPr>
                <w:p w14:paraId="0D58A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1.5</w:t>
                  </w:r>
                </w:p>
              </w:tc>
              <w:tc>
                <w:tcPr>
                  <w:tcW w:w="865" w:type="dxa"/>
                  <w:noWrap w:val="0"/>
                  <w:vAlign w:val="center"/>
                </w:tcPr>
                <w:p w14:paraId="463196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20</w:t>
                  </w:r>
                </w:p>
              </w:tc>
              <w:tc>
                <w:tcPr>
                  <w:tcW w:w="936" w:type="dxa"/>
                  <w:noWrap w:val="0"/>
                  <w:vAlign w:val="center"/>
                </w:tcPr>
                <w:p w14:paraId="07775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0.05</w:t>
                  </w:r>
                </w:p>
              </w:tc>
              <w:tc>
                <w:tcPr>
                  <w:tcW w:w="936" w:type="dxa"/>
                  <w:noWrap w:val="0"/>
                  <w:vAlign w:val="center"/>
                </w:tcPr>
                <w:p w14:paraId="00DB8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0.1</w:t>
                  </w:r>
                </w:p>
              </w:tc>
              <w:tc>
                <w:tcPr>
                  <w:tcW w:w="936" w:type="dxa"/>
                  <w:noWrap w:val="0"/>
                  <w:vAlign w:val="center"/>
                </w:tcPr>
                <w:p w14:paraId="10399F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1.5</w:t>
                  </w:r>
                </w:p>
              </w:tc>
              <w:tc>
                <w:tcPr>
                  <w:tcW w:w="936" w:type="dxa"/>
                  <w:noWrap w:val="0"/>
                  <w:vAlign w:val="center"/>
                </w:tcPr>
                <w:p w14:paraId="5C319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0.5</w:t>
                  </w:r>
                </w:p>
              </w:tc>
              <w:tc>
                <w:tcPr>
                  <w:tcW w:w="936" w:type="dxa"/>
                  <w:noWrap w:val="0"/>
                  <w:vAlign w:val="center"/>
                </w:tcPr>
                <w:p w14:paraId="5EE910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0.5</w:t>
                  </w:r>
                </w:p>
              </w:tc>
              <w:tc>
                <w:tcPr>
                  <w:tcW w:w="468" w:type="dxa"/>
                  <w:noWrap w:val="0"/>
                  <w:vAlign w:val="center"/>
                </w:tcPr>
                <w:p w14:paraId="218E6A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1.0</w:t>
                  </w:r>
                </w:p>
              </w:tc>
              <w:tc>
                <w:tcPr>
                  <w:tcW w:w="468" w:type="dxa"/>
                  <w:noWrap w:val="0"/>
                  <w:vAlign w:val="center"/>
                </w:tcPr>
                <w:p w14:paraId="721DDC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1.0</w:t>
                  </w:r>
                </w:p>
              </w:tc>
              <w:tc>
                <w:tcPr>
                  <w:tcW w:w="564" w:type="dxa"/>
                  <w:noWrap w:val="0"/>
                  <w:vAlign w:val="center"/>
                </w:tcPr>
                <w:p w14:paraId="5B8CDF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30</w:t>
                  </w:r>
                </w:p>
              </w:tc>
            </w:tr>
            <w:tr w14:paraId="56BE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5" w:type="dxa"/>
                  <w:noWrap w:val="0"/>
                  <w:vAlign w:val="center"/>
                </w:tcPr>
                <w:p w14:paraId="3DFCEE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达标判定</w:t>
                  </w:r>
                </w:p>
              </w:tc>
              <w:tc>
                <w:tcPr>
                  <w:tcW w:w="1084" w:type="dxa"/>
                  <w:noWrap w:val="0"/>
                  <w:vAlign w:val="center"/>
                </w:tcPr>
                <w:p w14:paraId="2D25D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595" w:type="dxa"/>
                  <w:noWrap w:val="0"/>
                  <w:vAlign w:val="center"/>
                </w:tcPr>
                <w:p w14:paraId="2A1EE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739" w:type="dxa"/>
                  <w:noWrap w:val="0"/>
                  <w:vAlign w:val="center"/>
                </w:tcPr>
                <w:p w14:paraId="65C9B9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712" w:type="dxa"/>
                  <w:noWrap w:val="0"/>
                  <w:vAlign w:val="center"/>
                </w:tcPr>
                <w:p w14:paraId="63177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834" w:type="dxa"/>
                  <w:noWrap w:val="0"/>
                  <w:vAlign w:val="center"/>
                </w:tcPr>
                <w:p w14:paraId="2DE8E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739" w:type="dxa"/>
                  <w:noWrap w:val="0"/>
                  <w:vAlign w:val="center"/>
                </w:tcPr>
                <w:p w14:paraId="30F9A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644" w:type="dxa"/>
                  <w:noWrap w:val="0"/>
                  <w:vAlign w:val="center"/>
                </w:tcPr>
                <w:p w14:paraId="6B6FD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865" w:type="dxa"/>
                  <w:noWrap w:val="0"/>
                  <w:vAlign w:val="center"/>
                </w:tcPr>
                <w:p w14:paraId="023BA4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936" w:type="dxa"/>
                  <w:noWrap w:val="0"/>
                  <w:vAlign w:val="center"/>
                </w:tcPr>
                <w:p w14:paraId="03B7A6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936" w:type="dxa"/>
                  <w:noWrap w:val="0"/>
                  <w:vAlign w:val="center"/>
                </w:tcPr>
                <w:p w14:paraId="1BF14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936" w:type="dxa"/>
                  <w:noWrap w:val="0"/>
                  <w:vAlign w:val="center"/>
                </w:tcPr>
                <w:p w14:paraId="089FFF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936" w:type="dxa"/>
                  <w:noWrap w:val="0"/>
                  <w:vAlign w:val="center"/>
                </w:tcPr>
                <w:p w14:paraId="3E82C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936" w:type="dxa"/>
                  <w:noWrap w:val="0"/>
                  <w:vAlign w:val="center"/>
                </w:tcPr>
                <w:p w14:paraId="06F794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468" w:type="dxa"/>
                  <w:noWrap w:val="0"/>
                  <w:vAlign w:val="center"/>
                </w:tcPr>
                <w:p w14:paraId="4B0F6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468" w:type="dxa"/>
                  <w:noWrap w:val="0"/>
                  <w:vAlign w:val="center"/>
                </w:tcPr>
                <w:p w14:paraId="66179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c>
                <w:tcPr>
                  <w:tcW w:w="564" w:type="dxa"/>
                  <w:noWrap w:val="0"/>
                  <w:vAlign w:val="center"/>
                </w:tcPr>
                <w:p w14:paraId="30305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达标</w:t>
                  </w:r>
                </w:p>
              </w:tc>
            </w:tr>
            <w:tr w14:paraId="217B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5" w:type="dxa"/>
                  <w:noWrap w:val="0"/>
                  <w:vAlign w:val="center"/>
                </w:tcPr>
                <w:p w14:paraId="3308BF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出水</w:t>
                  </w:r>
                </w:p>
              </w:tc>
              <w:tc>
                <w:tcPr>
                  <w:tcW w:w="1084" w:type="dxa"/>
                  <w:noWrap w:val="0"/>
                  <w:vAlign w:val="center"/>
                </w:tcPr>
                <w:p w14:paraId="7AEC2A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8814</w:t>
                  </w:r>
                  <w:r>
                    <w:rPr>
                      <w:rFonts w:hint="default" w:ascii="Times New Roman" w:hAnsi="Times New Roman" w:eastAsia="宋体" w:cs="Times New Roman"/>
                      <w:color w:val="000000"/>
                      <w:sz w:val="18"/>
                      <w:szCs w:val="18"/>
                      <w:highlight w:val="none"/>
                      <w:vertAlign w:val="baseline"/>
                      <w:lang w:val="en-US" w:eastAsia="zh-CN"/>
                    </w:rPr>
                    <w:t>m</w:t>
                  </w:r>
                  <w:r>
                    <w:rPr>
                      <w:rFonts w:hint="default" w:ascii="Times New Roman" w:hAnsi="Times New Roman" w:eastAsia="宋体" w:cs="Times New Roman"/>
                      <w:color w:val="000000"/>
                      <w:sz w:val="18"/>
                      <w:szCs w:val="18"/>
                      <w:highlight w:val="none"/>
                      <w:vertAlign w:val="superscript"/>
                      <w:lang w:val="en-US" w:eastAsia="zh-CN"/>
                    </w:rPr>
                    <w:t>3</w:t>
                  </w:r>
                  <w:r>
                    <w:rPr>
                      <w:rFonts w:hint="default" w:ascii="Times New Roman" w:hAnsi="Times New Roman" w:eastAsia="宋体" w:cs="Times New Roman"/>
                      <w:color w:val="000000"/>
                      <w:sz w:val="18"/>
                      <w:szCs w:val="18"/>
                      <w:highlight w:val="none"/>
                      <w:vertAlign w:val="baseline"/>
                      <w:lang w:val="en-US" w:eastAsia="zh-CN"/>
                    </w:rPr>
                    <w:t>/a</w:t>
                  </w:r>
                </w:p>
              </w:tc>
              <w:tc>
                <w:tcPr>
                  <w:tcW w:w="595" w:type="dxa"/>
                  <w:noWrap w:val="0"/>
                  <w:vAlign w:val="center"/>
                </w:tcPr>
                <w:p w14:paraId="43C6E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c>
                <w:tcPr>
                  <w:tcW w:w="739" w:type="dxa"/>
                  <w:noWrap w:val="0"/>
                  <w:vAlign w:val="center"/>
                </w:tcPr>
                <w:p w14:paraId="120CD6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0.13 </w:t>
                  </w:r>
                </w:p>
              </w:tc>
              <w:tc>
                <w:tcPr>
                  <w:tcW w:w="712" w:type="dxa"/>
                  <w:noWrap w:val="0"/>
                  <w:vAlign w:val="center"/>
                </w:tcPr>
                <w:p w14:paraId="6F24E0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0.06 </w:t>
                  </w:r>
                </w:p>
              </w:tc>
              <w:tc>
                <w:tcPr>
                  <w:tcW w:w="834" w:type="dxa"/>
                  <w:noWrap w:val="0"/>
                  <w:vAlign w:val="center"/>
                </w:tcPr>
                <w:p w14:paraId="330C8C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0.01 </w:t>
                  </w:r>
                </w:p>
              </w:tc>
              <w:tc>
                <w:tcPr>
                  <w:tcW w:w="739" w:type="dxa"/>
                  <w:noWrap w:val="0"/>
                  <w:vAlign w:val="center"/>
                </w:tcPr>
                <w:p w14:paraId="74AEA4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0.05 </w:t>
                  </w:r>
                </w:p>
              </w:tc>
              <w:tc>
                <w:tcPr>
                  <w:tcW w:w="644" w:type="dxa"/>
                  <w:noWrap w:val="0"/>
                  <w:vAlign w:val="center"/>
                </w:tcPr>
                <w:p w14:paraId="184692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0.002 </w:t>
                  </w:r>
                </w:p>
              </w:tc>
              <w:tc>
                <w:tcPr>
                  <w:tcW w:w="865" w:type="dxa"/>
                  <w:noWrap w:val="0"/>
                  <w:vAlign w:val="center"/>
                </w:tcPr>
                <w:p w14:paraId="73443B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0.11 </w:t>
                  </w:r>
                </w:p>
              </w:tc>
              <w:tc>
                <w:tcPr>
                  <w:tcW w:w="936" w:type="dxa"/>
                  <w:noWrap w:val="0"/>
                  <w:vAlign w:val="center"/>
                </w:tcPr>
                <w:p w14:paraId="4F6C72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4.4E-07</w:t>
                  </w:r>
                </w:p>
              </w:tc>
              <w:tc>
                <w:tcPr>
                  <w:tcW w:w="936" w:type="dxa"/>
                  <w:noWrap w:val="0"/>
                  <w:vAlign w:val="center"/>
                </w:tcPr>
                <w:p w14:paraId="0D0F8F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5.5E-05</w:t>
                  </w:r>
                </w:p>
              </w:tc>
              <w:tc>
                <w:tcPr>
                  <w:tcW w:w="936" w:type="dxa"/>
                  <w:noWrap w:val="0"/>
                  <w:vAlign w:val="center"/>
                </w:tcPr>
                <w:p w14:paraId="78ECF1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2.1E-05</w:t>
                  </w:r>
                </w:p>
              </w:tc>
              <w:tc>
                <w:tcPr>
                  <w:tcW w:w="936" w:type="dxa"/>
                  <w:noWrap w:val="0"/>
                  <w:vAlign w:val="center"/>
                </w:tcPr>
                <w:p w14:paraId="75DAF6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1.2E-05</w:t>
                  </w:r>
                </w:p>
              </w:tc>
              <w:tc>
                <w:tcPr>
                  <w:tcW w:w="936" w:type="dxa"/>
                  <w:noWrap w:val="0"/>
                  <w:vAlign w:val="center"/>
                </w:tcPr>
                <w:p w14:paraId="078718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1.0E-05</w:t>
                  </w:r>
                </w:p>
              </w:tc>
              <w:tc>
                <w:tcPr>
                  <w:tcW w:w="468" w:type="dxa"/>
                  <w:noWrap w:val="0"/>
                  <w:vAlign w:val="center"/>
                </w:tcPr>
                <w:p w14:paraId="3CFCD7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2.8E-05</w:t>
                  </w:r>
                </w:p>
              </w:tc>
              <w:tc>
                <w:tcPr>
                  <w:tcW w:w="468" w:type="dxa"/>
                  <w:noWrap w:val="0"/>
                  <w:vAlign w:val="center"/>
                </w:tcPr>
                <w:p w14:paraId="30DD14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2.8E-05</w:t>
                  </w:r>
                </w:p>
              </w:tc>
              <w:tc>
                <w:tcPr>
                  <w:tcW w:w="564" w:type="dxa"/>
                  <w:noWrap w:val="0"/>
                  <w:vAlign w:val="center"/>
                </w:tcPr>
                <w:p w14:paraId="0EBE5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w:t>
                  </w:r>
                </w:p>
              </w:tc>
            </w:tr>
          </w:tbl>
          <w:p w14:paraId="03974A3E">
            <w:pPr>
              <w:keepNext w:val="0"/>
              <w:keepLines w:val="0"/>
              <w:suppressLineNumbers w:val="0"/>
              <w:adjustRightInd w:val="0"/>
              <w:snapToGrid w:val="0"/>
              <w:spacing w:before="0" w:beforeAutospacing="0" w:after="0" w:afterAutospacing="0" w:line="480" w:lineRule="exact"/>
              <w:ind w:left="0" w:right="0" w:firstLine="480" w:firstLineChars="200"/>
              <w:jc w:val="left"/>
              <w:rPr>
                <w:rFonts w:hint="default" w:ascii="Times New Roman" w:hAnsi="Times New Roman" w:cs="Times New Roman"/>
                <w:sz w:val="24"/>
                <w:highlight w:val="none"/>
              </w:rPr>
            </w:pPr>
            <w:r>
              <w:rPr>
                <w:rFonts w:hint="default" w:ascii="Times New Roman" w:hAnsi="Times New Roman" w:cs="Times New Roman"/>
                <w:color w:val="auto"/>
                <w:sz w:val="24"/>
                <w:highlight w:val="none"/>
              </w:rPr>
              <w:t>综上，废水经厂区污水处理站处理后，出水水质满足</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pacing w:val="4"/>
                <w:sz w:val="24"/>
                <w:lang w:val="zh-CN"/>
              </w:rPr>
              <w:t>污水综合排放标准》（GB 8978-1996）</w:t>
            </w:r>
            <w:r>
              <w:rPr>
                <w:rFonts w:hint="default" w:ascii="Times New Roman" w:hAnsi="Times New Roman" w:cs="Times New Roman"/>
                <w:color w:val="auto"/>
                <w:spacing w:val="4"/>
                <w:sz w:val="24"/>
                <w:lang w:val="en-US" w:eastAsia="zh-CN"/>
              </w:rPr>
              <w:t>表1第一类污染物最高允许排放浓度以及</w:t>
            </w:r>
            <w:r>
              <w:rPr>
                <w:rFonts w:hint="default" w:ascii="Times New Roman" w:hAnsi="Times New Roman" w:cs="Times New Roman"/>
                <w:color w:val="auto"/>
                <w:sz w:val="24"/>
              </w:rPr>
              <w:t>《城市污水再生利用 城市杂用水水质》</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GB/T 18920-2020</w:t>
            </w:r>
            <w:r>
              <w:rPr>
                <w:rFonts w:hint="eastAsia" w:cs="Times New Roman"/>
                <w:color w:val="auto"/>
                <w:sz w:val="24"/>
                <w:lang w:eastAsia="zh-CN"/>
              </w:rPr>
              <w:t>）</w:t>
            </w:r>
            <w:r>
              <w:rPr>
                <w:rFonts w:hint="default" w:ascii="Times New Roman" w:hAnsi="Times New Roman" w:cs="Times New Roman"/>
                <w:color w:val="auto"/>
                <w:sz w:val="24"/>
              </w:rPr>
              <w:t xml:space="preserve"> 表1标准</w:t>
            </w:r>
            <w:r>
              <w:rPr>
                <w:rFonts w:hint="default" w:ascii="Times New Roman" w:hAnsi="Times New Roman" w:cs="Times New Roman"/>
                <w:color w:val="auto"/>
                <w:kern w:val="0"/>
                <w:sz w:val="24"/>
                <w:highlight w:val="none"/>
              </w:rPr>
              <w:t>。</w:t>
            </w:r>
            <w:r>
              <w:rPr>
                <w:rFonts w:hint="default" w:ascii="Times New Roman" w:hAnsi="Times New Roman" w:cs="Times New Roman"/>
                <w:color w:val="auto"/>
                <w:sz w:val="24"/>
                <w:highlight w:val="none"/>
              </w:rPr>
              <w:t>因此，该污水处理技术可行，项目废水经厂区污水处理站处理后回用于</w:t>
            </w:r>
            <w:r>
              <w:rPr>
                <w:rFonts w:hint="default" w:ascii="Times New Roman" w:hAnsi="Times New Roman" w:cs="Times New Roman"/>
                <w:bCs/>
                <w:color w:val="auto"/>
                <w:sz w:val="24"/>
                <w:highlight w:val="none"/>
                <w:lang w:val="en-US" w:eastAsia="zh-CN"/>
              </w:rPr>
              <w:t>车间</w:t>
            </w:r>
            <w:r>
              <w:rPr>
                <w:rFonts w:hint="default" w:ascii="Times New Roman" w:hAnsi="Times New Roman" w:cs="Times New Roman"/>
                <w:bCs/>
                <w:color w:val="auto"/>
                <w:sz w:val="24"/>
                <w:highlight w:val="none"/>
                <w:lang w:eastAsia="zh-CN"/>
              </w:rPr>
              <w:t>地面冲洗</w:t>
            </w:r>
            <w:r>
              <w:rPr>
                <w:rFonts w:hint="default" w:ascii="Times New Roman" w:hAnsi="Times New Roman" w:cs="Times New Roman"/>
                <w:bCs/>
                <w:color w:val="auto"/>
                <w:sz w:val="24"/>
                <w:highlight w:val="none"/>
                <w:lang w:val="en-US" w:eastAsia="zh-CN"/>
              </w:rPr>
              <w:t>，</w:t>
            </w:r>
            <w:r>
              <w:rPr>
                <w:rFonts w:hint="default" w:ascii="Times New Roman" w:hAnsi="Times New Roman" w:cs="Times New Roman"/>
                <w:color w:val="auto"/>
                <w:sz w:val="24"/>
                <w:highlight w:val="none"/>
              </w:rPr>
              <w:t>方案可行</w:t>
            </w:r>
            <w:r>
              <w:rPr>
                <w:rFonts w:hint="default" w:ascii="Times New Roman" w:hAnsi="Times New Roman" w:cs="Times New Roman"/>
                <w:sz w:val="24"/>
                <w:highlight w:val="none"/>
              </w:rPr>
              <w:t>。</w:t>
            </w:r>
          </w:p>
          <w:p w14:paraId="363CF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color w:val="auto"/>
                <w:sz w:val="24"/>
                <w:szCs w:val="24"/>
                <w:highlight w:val="none"/>
                <w:lang w:val="en-US" w:eastAsia="zh-CN"/>
              </w:rPr>
            </w:pPr>
          </w:p>
          <w:p w14:paraId="2D33AB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b w:val="0"/>
                <w:color w:val="auto"/>
                <w:sz w:val="24"/>
                <w:szCs w:val="24"/>
                <w:highlight w:val="none"/>
                <w:lang w:val="en-US" w:eastAsia="zh-CN"/>
              </w:rPr>
            </w:pPr>
            <w:r>
              <w:rPr>
                <w:rFonts w:hint="default" w:ascii="Times New Roman" w:hAnsi="Times New Roman" w:eastAsia="宋体" w:cs="Times New Roman"/>
                <w:b w:val="0"/>
                <w:color w:val="auto"/>
                <w:sz w:val="24"/>
                <w:szCs w:val="24"/>
                <w:highlight w:val="none"/>
                <w:lang w:val="en-US" w:eastAsia="zh-CN"/>
              </w:rPr>
              <w:t>根据《排污单位自行监测技术指南 工业固体废物和危险废物治理》（HJ1250-2022），确定本项目废水监测计划见下表。</w:t>
            </w:r>
          </w:p>
          <w:p w14:paraId="45812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表4-</w:t>
            </w:r>
            <w:r>
              <w:rPr>
                <w:rFonts w:hint="default" w:ascii="Times New Roman" w:hAnsi="Times New Roman" w:cs="Times New Roman"/>
                <w:b/>
                <w:color w:val="auto"/>
                <w:sz w:val="24"/>
                <w:szCs w:val="24"/>
                <w:highlight w:val="none"/>
                <w:lang w:val="en-US" w:eastAsia="zh-CN"/>
              </w:rPr>
              <w:t>12</w:t>
            </w:r>
            <w:r>
              <w:rPr>
                <w:rFonts w:hint="default" w:ascii="Times New Roman" w:hAnsi="Times New Roman" w:eastAsia="宋体" w:cs="Times New Roman"/>
                <w:b/>
                <w:color w:val="auto"/>
                <w:sz w:val="24"/>
                <w:szCs w:val="24"/>
                <w:highlight w:val="none"/>
                <w:lang w:val="en-US" w:eastAsia="zh-CN"/>
              </w:rPr>
              <w:t xml:space="preserve">  废水环境监测情况一览表</w:t>
            </w:r>
          </w:p>
          <w:tbl>
            <w:tblPr>
              <w:tblStyle w:val="31"/>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186"/>
              <w:gridCol w:w="5885"/>
              <w:gridCol w:w="3889"/>
            </w:tblGrid>
            <w:tr w14:paraId="160A02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rPr>
              <w:tc>
                <w:tcPr>
                  <w:tcW w:w="1229" w:type="pct"/>
                  <w:tcBorders>
                    <w:tl2br w:val="nil"/>
                    <w:tr2bl w:val="nil"/>
                  </w:tcBorders>
                  <w:noWrap w:val="0"/>
                  <w:vAlign w:val="center"/>
                </w:tcPr>
                <w:p w14:paraId="41DBA70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监测点位</w:t>
                  </w:r>
                </w:p>
              </w:tc>
              <w:tc>
                <w:tcPr>
                  <w:tcW w:w="2270" w:type="pct"/>
                  <w:tcBorders>
                    <w:tl2br w:val="nil"/>
                    <w:tr2bl w:val="nil"/>
                  </w:tcBorders>
                  <w:noWrap w:val="0"/>
                  <w:vAlign w:val="center"/>
                </w:tcPr>
                <w:p w14:paraId="3DECC07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监测指标</w:t>
                  </w:r>
                </w:p>
              </w:tc>
              <w:tc>
                <w:tcPr>
                  <w:tcW w:w="1500" w:type="pct"/>
                  <w:tcBorders>
                    <w:tl2br w:val="nil"/>
                    <w:tr2bl w:val="nil"/>
                  </w:tcBorders>
                  <w:noWrap w:val="0"/>
                  <w:vAlign w:val="center"/>
                </w:tcPr>
                <w:p w14:paraId="29834DF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监测频次</w:t>
                  </w:r>
                </w:p>
              </w:tc>
            </w:tr>
            <w:tr w14:paraId="036C3D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229" w:type="pct"/>
                  <w:tcBorders>
                    <w:tl2br w:val="nil"/>
                    <w:tr2bl w:val="nil"/>
                  </w:tcBorders>
                  <w:noWrap w:val="0"/>
                  <w:vAlign w:val="center"/>
                </w:tcPr>
                <w:p w14:paraId="248FA3D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lang w:val="en-US" w:eastAsia="zh-CN"/>
                    </w:rPr>
                    <w:t>污水处理站调节池（渗滤液调节池）</w:t>
                  </w:r>
                </w:p>
              </w:tc>
              <w:tc>
                <w:tcPr>
                  <w:tcW w:w="2270" w:type="pct"/>
                  <w:tcBorders>
                    <w:tl2br w:val="nil"/>
                    <w:tr2bl w:val="nil"/>
                  </w:tcBorders>
                  <w:shd w:val="clear" w:color="auto" w:fill="auto"/>
                  <w:noWrap w:val="0"/>
                  <w:vAlign w:val="center"/>
                </w:tcPr>
                <w:p w14:paraId="58EC4FB9">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kern w:val="0"/>
                      <w:sz w:val="18"/>
                      <w:szCs w:val="18"/>
                      <w:highlight w:val="none"/>
                      <w:vertAlign w:val="baseline"/>
                      <w:lang w:val="en-US" w:eastAsia="zh-CN" w:bidi="ar-SA"/>
                    </w:rPr>
                  </w:pPr>
                  <w:r>
                    <w:rPr>
                      <w:rFonts w:hint="default" w:ascii="Times New Roman" w:hAnsi="Times New Roman" w:eastAsia="宋体" w:cs="Times New Roman"/>
                      <w:b w:val="0"/>
                      <w:bCs/>
                      <w:color w:val="auto"/>
                      <w:sz w:val="21"/>
                      <w:szCs w:val="21"/>
                      <w:highlight w:val="none"/>
                      <w:lang w:val="en-US" w:eastAsia="zh-CN"/>
                    </w:rPr>
                    <w:t>pH、色度、嗅、浊度、BOD5、氨氮、溶解性总体、溶解氧、总氯、大肠埃希氏菌</w:t>
                  </w:r>
                  <w:r>
                    <w:rPr>
                      <w:rFonts w:hint="default" w:ascii="Times New Roman" w:hAnsi="Times New Roman" w:cs="Times New Roman"/>
                      <w:b w:val="0"/>
                      <w:bCs/>
                      <w:color w:val="auto"/>
                      <w:sz w:val="21"/>
                      <w:szCs w:val="21"/>
                      <w:highlight w:val="none"/>
                      <w:lang w:val="en-US" w:eastAsia="zh-CN"/>
                    </w:rPr>
                    <w:t>、总汞、总镉、总铬、六价铬、总砷、总铅、总镍</w:t>
                  </w:r>
                </w:p>
              </w:tc>
              <w:tc>
                <w:tcPr>
                  <w:tcW w:w="1500" w:type="pct"/>
                  <w:tcBorders>
                    <w:tl2br w:val="nil"/>
                    <w:tr2bl w:val="nil"/>
                  </w:tcBorders>
                  <w:noWrap w:val="0"/>
                  <w:vAlign w:val="center"/>
                </w:tcPr>
                <w:p w14:paraId="7B07A1D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1次/月</w:t>
                  </w:r>
                </w:p>
              </w:tc>
            </w:tr>
            <w:tr w14:paraId="67227F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229" w:type="pct"/>
                  <w:tcBorders>
                    <w:tl2br w:val="nil"/>
                    <w:tr2bl w:val="nil"/>
                  </w:tcBorders>
                  <w:noWrap w:val="0"/>
                  <w:vAlign w:val="center"/>
                </w:tcPr>
                <w:p w14:paraId="36E5984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18"/>
                      <w:szCs w:val="18"/>
                      <w:highlight w:val="none"/>
                      <w:lang w:val="en-US" w:eastAsia="zh-CN"/>
                    </w:rPr>
                  </w:pPr>
                  <w:r>
                    <w:rPr>
                      <w:rFonts w:hint="default" w:ascii="Times New Roman" w:hAnsi="Times New Roman" w:eastAsia="宋体" w:cs="Times New Roman"/>
                      <w:b w:val="0"/>
                      <w:bCs/>
                      <w:color w:val="auto"/>
                      <w:sz w:val="18"/>
                      <w:szCs w:val="18"/>
                      <w:highlight w:val="none"/>
                      <w:lang w:val="en-US" w:eastAsia="zh-CN"/>
                    </w:rPr>
                    <w:t>雨水排放口</w:t>
                  </w:r>
                </w:p>
              </w:tc>
              <w:tc>
                <w:tcPr>
                  <w:tcW w:w="2270" w:type="pct"/>
                  <w:tcBorders>
                    <w:tl2br w:val="nil"/>
                    <w:tr2bl w:val="nil"/>
                  </w:tcBorders>
                  <w:shd w:val="clear" w:color="auto" w:fill="auto"/>
                  <w:noWrap w:val="0"/>
                  <w:vAlign w:val="center"/>
                </w:tcPr>
                <w:p w14:paraId="474C2B72">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18"/>
                      <w:szCs w:val="18"/>
                      <w:highlight w:val="none"/>
                      <w:lang w:val="en-US" w:eastAsia="zh-CN"/>
                    </w:rPr>
                  </w:pPr>
                  <w:r>
                    <w:rPr>
                      <w:rFonts w:hint="default" w:ascii="Times New Roman" w:hAnsi="Times New Roman" w:eastAsia="宋体" w:cs="Times New Roman"/>
                      <w:b w:val="0"/>
                      <w:bCs/>
                      <w:color w:val="auto"/>
                      <w:sz w:val="18"/>
                      <w:szCs w:val="18"/>
                      <w:highlight w:val="none"/>
                      <w:lang w:val="en-US" w:eastAsia="zh-CN"/>
                    </w:rPr>
                    <w:t>COD、SS</w:t>
                  </w:r>
                </w:p>
              </w:tc>
              <w:tc>
                <w:tcPr>
                  <w:tcW w:w="1500" w:type="pct"/>
                  <w:tcBorders>
                    <w:tl2br w:val="nil"/>
                    <w:tr2bl w:val="nil"/>
                  </w:tcBorders>
                  <w:noWrap w:val="0"/>
                  <w:vAlign w:val="center"/>
                </w:tcPr>
                <w:p w14:paraId="5F6F86B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1次/月</w:t>
                  </w:r>
                </w:p>
              </w:tc>
            </w:tr>
          </w:tbl>
          <w:p w14:paraId="49787F25">
            <w:pPr>
              <w:pStyle w:val="15"/>
              <w:keepNext w:val="0"/>
              <w:keepLines w:val="0"/>
              <w:pageBreakBefore w:val="0"/>
              <w:suppressLineNumbers w:val="0"/>
              <w:kinsoku/>
              <w:wordWrap/>
              <w:overflowPunct/>
              <w:topLinePunct w:val="0"/>
              <w:autoSpaceDE/>
              <w:autoSpaceDN/>
              <w:bidi w:val="0"/>
              <w:spacing w:before="0" w:beforeLines="0" w:beforeAutospacing="0" w:after="0" w:afterLines="0" w:afterAutospacing="0" w:line="360" w:lineRule="auto"/>
              <w:ind w:left="0" w:right="0" w:firstLine="482" w:firstLineChars="200"/>
              <w:textAlignment w:val="auto"/>
              <w:rPr>
                <w:rFonts w:hint="default" w:ascii="Times New Roman" w:hAnsi="Times New Roman" w:cs="Times New Roman"/>
                <w:b/>
                <w:color w:val="000000"/>
                <w:highlight w:val="none"/>
              </w:rPr>
            </w:pPr>
          </w:p>
          <w:p w14:paraId="0C8D116E">
            <w:pPr>
              <w:pStyle w:val="15"/>
              <w:keepNext w:val="0"/>
              <w:keepLines w:val="0"/>
              <w:pageBreakBefore w:val="0"/>
              <w:suppressLineNumbers w:val="0"/>
              <w:kinsoku/>
              <w:wordWrap/>
              <w:overflowPunct/>
              <w:topLinePunct w:val="0"/>
              <w:autoSpaceDE/>
              <w:autoSpaceDN/>
              <w:bidi w:val="0"/>
              <w:spacing w:before="0" w:beforeLines="0" w:beforeAutospacing="0" w:after="0" w:afterLines="0" w:afterAutospacing="0" w:line="360" w:lineRule="auto"/>
              <w:ind w:left="0" w:right="0" w:firstLine="482" w:firstLineChars="200"/>
              <w:textAlignment w:val="auto"/>
              <w:rPr>
                <w:rFonts w:hint="default" w:ascii="Times New Roman" w:hAnsi="Times New Roman" w:cs="Times New Roman"/>
                <w:b/>
                <w:color w:val="000000"/>
                <w:highlight w:val="none"/>
              </w:rPr>
            </w:pPr>
            <w:r>
              <w:rPr>
                <w:rFonts w:hint="default" w:ascii="Times New Roman" w:hAnsi="Times New Roman" w:cs="Times New Roman"/>
                <w:b/>
                <w:color w:val="000000"/>
                <w:highlight w:val="none"/>
              </w:rPr>
              <w:t>三、噪声</w:t>
            </w:r>
          </w:p>
          <w:p w14:paraId="61090B5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（1）噪声源强及降噪措施</w:t>
            </w:r>
          </w:p>
          <w:p w14:paraId="217FCDAD">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本项目的噪声主要来源于</w:t>
            </w:r>
            <w:r>
              <w:rPr>
                <w:rFonts w:hint="default" w:ascii="Times New Roman" w:hAnsi="Times New Roman" w:cs="Times New Roman"/>
                <w:color w:val="000000"/>
                <w:sz w:val="24"/>
                <w:highlight w:val="none"/>
                <w:lang w:val="en-US" w:eastAsia="zh-CN"/>
              </w:rPr>
              <w:t>破碎机、搅拌机、风机</w:t>
            </w:r>
            <w:r>
              <w:rPr>
                <w:rFonts w:hint="default" w:ascii="Times New Roman" w:hAnsi="Times New Roman" w:cs="Times New Roman"/>
                <w:color w:val="auto"/>
                <w:sz w:val="24"/>
                <w:highlight w:val="none"/>
                <w:lang w:val="en-US" w:eastAsia="zh-CN"/>
              </w:rPr>
              <w:t>等</w:t>
            </w:r>
            <w:r>
              <w:rPr>
                <w:rFonts w:hint="default" w:ascii="Times New Roman" w:hAnsi="Times New Roman" w:cs="Times New Roman"/>
                <w:color w:val="000000"/>
                <w:sz w:val="24"/>
                <w:highlight w:val="none"/>
              </w:rPr>
              <w:t>。</w:t>
            </w:r>
            <w:r>
              <w:rPr>
                <w:rFonts w:hint="default" w:ascii="Times New Roman" w:hAnsi="Times New Roman" w:eastAsia="宋体" w:cs="Times New Roman"/>
                <w:color w:val="auto"/>
                <w:sz w:val="24"/>
              </w:rPr>
              <w:t>本项目车间为单层彩钢结构，采用低噪声设备，将产噪设备布置于封闭车间内，</w:t>
            </w:r>
            <w:r>
              <w:rPr>
                <w:rFonts w:hint="default" w:ascii="Times New Roman" w:hAnsi="Times New Roman" w:cs="Times New Roman"/>
                <w:color w:val="auto"/>
                <w:sz w:val="24"/>
                <w:lang w:val="en-US" w:eastAsia="zh-CN"/>
              </w:rPr>
              <w:t>厂区内不涉及不安装基础减振的防排烟风机等特殊设备，项目所用设备均</w:t>
            </w:r>
            <w:r>
              <w:rPr>
                <w:rFonts w:hint="default" w:ascii="Times New Roman" w:hAnsi="Times New Roman" w:eastAsia="宋体" w:cs="Times New Roman"/>
                <w:color w:val="auto"/>
                <w:sz w:val="24"/>
              </w:rPr>
              <w:t>加装基础减振，风机设软连接等措施。本项目以厂区西南角为坐标原点（0,0,0），各产噪设备产生的噪声情况见下表</w:t>
            </w:r>
            <w:r>
              <w:rPr>
                <w:rFonts w:hint="default" w:ascii="Times New Roman" w:hAnsi="Times New Roman" w:cs="Times New Roman"/>
                <w:color w:val="000000"/>
                <w:sz w:val="24"/>
                <w:highlight w:val="none"/>
              </w:rPr>
              <w:t>。</w:t>
            </w:r>
          </w:p>
          <w:p w14:paraId="0E193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b/>
                <w:sz w:val="24"/>
                <w:szCs w:val="24"/>
                <w:highlight w:val="none"/>
              </w:rPr>
            </w:pPr>
            <w:r>
              <w:rPr>
                <w:rFonts w:hint="default" w:ascii="Times New Roman" w:hAnsi="Times New Roman" w:cs="Times New Roman"/>
                <w:b/>
                <w:bCs/>
                <w:color w:val="000000"/>
                <w:sz w:val="24"/>
                <w:szCs w:val="24"/>
                <w:highlight w:val="none"/>
              </w:rPr>
              <w:t>表</w:t>
            </w:r>
            <w:r>
              <w:rPr>
                <w:rFonts w:hint="default" w:ascii="Times New Roman" w:hAnsi="Times New Roman" w:cs="Times New Roman"/>
                <w:b/>
                <w:bCs/>
                <w:color w:val="000000"/>
                <w:sz w:val="24"/>
                <w:szCs w:val="24"/>
                <w:highlight w:val="none"/>
                <w:lang w:val="en-US" w:eastAsia="zh-CN"/>
              </w:rPr>
              <w:t>4-13    噪声声源调查清单（室内声源）</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1224"/>
              <w:gridCol w:w="1917"/>
              <w:gridCol w:w="426"/>
              <w:gridCol w:w="1244"/>
              <w:gridCol w:w="940"/>
              <w:gridCol w:w="586"/>
              <w:gridCol w:w="575"/>
              <w:gridCol w:w="516"/>
              <w:gridCol w:w="664"/>
              <w:gridCol w:w="921"/>
              <w:gridCol w:w="800"/>
              <w:gridCol w:w="1063"/>
              <w:gridCol w:w="812"/>
              <w:gridCol w:w="801"/>
            </w:tblGrid>
            <w:tr w14:paraId="5F6F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1" w:type="dxa"/>
                  <w:vMerge w:val="restart"/>
                  <w:tcBorders>
                    <w:tl2br w:val="nil"/>
                    <w:tr2bl w:val="nil"/>
                  </w:tcBorders>
                  <w:noWrap w:val="0"/>
                  <w:vAlign w:val="center"/>
                </w:tcPr>
                <w:p w14:paraId="19D10F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序号</w:t>
                  </w:r>
                </w:p>
              </w:tc>
              <w:tc>
                <w:tcPr>
                  <w:tcW w:w="1224" w:type="dxa"/>
                  <w:vMerge w:val="restart"/>
                  <w:tcBorders>
                    <w:tl2br w:val="nil"/>
                    <w:tr2bl w:val="nil"/>
                  </w:tcBorders>
                  <w:noWrap w:val="0"/>
                  <w:vAlign w:val="center"/>
                </w:tcPr>
                <w:p w14:paraId="2B59C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工序</w:t>
                  </w:r>
                </w:p>
              </w:tc>
              <w:tc>
                <w:tcPr>
                  <w:tcW w:w="1917" w:type="dxa"/>
                  <w:vMerge w:val="restart"/>
                  <w:tcBorders>
                    <w:tl2br w:val="nil"/>
                    <w:tr2bl w:val="nil"/>
                  </w:tcBorders>
                  <w:noWrap w:val="0"/>
                  <w:vAlign w:val="center"/>
                </w:tcPr>
                <w:p w14:paraId="5DFB33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声源名称</w:t>
                  </w:r>
                </w:p>
              </w:tc>
              <w:tc>
                <w:tcPr>
                  <w:tcW w:w="426" w:type="dxa"/>
                  <w:vMerge w:val="restart"/>
                  <w:tcBorders>
                    <w:tl2br w:val="nil"/>
                    <w:tr2bl w:val="nil"/>
                  </w:tcBorders>
                  <w:noWrap w:val="0"/>
                  <w:vAlign w:val="center"/>
                </w:tcPr>
                <w:p w14:paraId="725F9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数量</w:t>
                  </w:r>
                </w:p>
              </w:tc>
              <w:tc>
                <w:tcPr>
                  <w:tcW w:w="1244" w:type="dxa"/>
                  <w:vMerge w:val="restart"/>
                  <w:tcBorders>
                    <w:tl2br w:val="nil"/>
                    <w:tr2bl w:val="nil"/>
                  </w:tcBorders>
                  <w:noWrap w:val="0"/>
                  <w:vAlign w:val="center"/>
                </w:tcPr>
                <w:p w14:paraId="516BCB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源强（距离</w:t>
                  </w:r>
                  <w:r>
                    <w:rPr>
                      <w:rFonts w:hint="default" w:ascii="Times New Roman" w:hAnsi="Times New Roman" w:eastAsia="宋体" w:cs="Times New Roman"/>
                      <w:color w:val="000000"/>
                      <w:sz w:val="18"/>
                      <w:szCs w:val="18"/>
                      <w:highlight w:val="none"/>
                      <w:vertAlign w:val="baseline"/>
                      <w:lang w:eastAsia="zh-CN"/>
                    </w:rPr>
                    <w:t>声</w:t>
                  </w:r>
                  <w:r>
                    <w:rPr>
                      <w:rFonts w:hint="default" w:ascii="Times New Roman" w:hAnsi="Times New Roman" w:eastAsia="宋体" w:cs="Times New Roman"/>
                      <w:color w:val="000000"/>
                      <w:sz w:val="18"/>
                      <w:szCs w:val="18"/>
                      <w:highlight w:val="none"/>
                      <w:vertAlign w:val="baseline"/>
                      <w:lang w:val="en-US" w:eastAsia="zh-CN"/>
                    </w:rPr>
                    <w:t>源1m声</w:t>
                  </w:r>
                  <w:r>
                    <w:rPr>
                      <w:rFonts w:hint="default" w:ascii="Times New Roman" w:hAnsi="Times New Roman" w:eastAsia="宋体" w:cs="Times New Roman"/>
                      <w:color w:val="000000"/>
                      <w:sz w:val="18"/>
                      <w:szCs w:val="18"/>
                      <w:highlight w:val="none"/>
                      <w:vertAlign w:val="baseline"/>
                      <w:lang w:eastAsia="zh-CN"/>
                    </w:rPr>
                    <w:t>压级</w:t>
                  </w:r>
                  <w:r>
                    <w:rPr>
                      <w:rFonts w:hint="default" w:ascii="Times New Roman" w:hAnsi="Times New Roman" w:eastAsia="宋体" w:cs="Times New Roman"/>
                      <w:color w:val="000000"/>
                      <w:sz w:val="18"/>
                      <w:szCs w:val="18"/>
                      <w:highlight w:val="none"/>
                      <w:vertAlign w:val="baseline"/>
                      <w:lang w:val="en-US" w:eastAsia="zh-CN"/>
                    </w:rPr>
                    <w:t>/dB(A)</w:t>
                  </w:r>
                </w:p>
              </w:tc>
              <w:tc>
                <w:tcPr>
                  <w:tcW w:w="940" w:type="dxa"/>
                  <w:vMerge w:val="restart"/>
                  <w:tcBorders>
                    <w:tl2br w:val="nil"/>
                    <w:tr2bl w:val="nil"/>
                  </w:tcBorders>
                  <w:noWrap w:val="0"/>
                  <w:vAlign w:val="center"/>
                </w:tcPr>
                <w:p w14:paraId="28BF13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声源控制措施</w:t>
                  </w:r>
                </w:p>
              </w:tc>
              <w:tc>
                <w:tcPr>
                  <w:tcW w:w="1677" w:type="dxa"/>
                  <w:gridSpan w:val="3"/>
                  <w:tcBorders>
                    <w:tl2br w:val="nil"/>
                    <w:tr2bl w:val="nil"/>
                  </w:tcBorders>
                  <w:noWrap w:val="0"/>
                  <w:vAlign w:val="center"/>
                </w:tcPr>
                <w:p w14:paraId="12F70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空间相对位置/m</w:t>
                  </w:r>
                </w:p>
              </w:tc>
              <w:tc>
                <w:tcPr>
                  <w:tcW w:w="664" w:type="dxa"/>
                  <w:vMerge w:val="restart"/>
                  <w:tcBorders>
                    <w:tl2br w:val="nil"/>
                    <w:tr2bl w:val="nil"/>
                  </w:tcBorders>
                  <w:noWrap w:val="0"/>
                  <w:vAlign w:val="center"/>
                </w:tcPr>
                <w:p w14:paraId="7D4B3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距室内边界距离/m</w:t>
                  </w:r>
                </w:p>
              </w:tc>
              <w:tc>
                <w:tcPr>
                  <w:tcW w:w="921" w:type="dxa"/>
                  <w:vMerge w:val="restart"/>
                  <w:tcBorders>
                    <w:tl2br w:val="nil"/>
                    <w:tr2bl w:val="nil"/>
                  </w:tcBorders>
                  <w:noWrap w:val="0"/>
                  <w:vAlign w:val="center"/>
                </w:tcPr>
                <w:p w14:paraId="34891A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室内边界声级/dB(A)</w:t>
                  </w:r>
                </w:p>
              </w:tc>
              <w:tc>
                <w:tcPr>
                  <w:tcW w:w="800" w:type="dxa"/>
                  <w:vMerge w:val="restart"/>
                  <w:tcBorders>
                    <w:tl2br w:val="nil"/>
                    <w:tr2bl w:val="nil"/>
                  </w:tcBorders>
                  <w:noWrap w:val="0"/>
                  <w:vAlign w:val="center"/>
                </w:tcPr>
                <w:p w14:paraId="21822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运行</w:t>
                  </w:r>
                </w:p>
                <w:p w14:paraId="10AAE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时段</w:t>
                  </w:r>
                </w:p>
              </w:tc>
              <w:tc>
                <w:tcPr>
                  <w:tcW w:w="1063" w:type="dxa"/>
                  <w:vMerge w:val="restart"/>
                  <w:tcBorders>
                    <w:tl2br w:val="nil"/>
                    <w:tr2bl w:val="nil"/>
                  </w:tcBorders>
                  <w:noWrap w:val="0"/>
                  <w:vAlign w:val="center"/>
                </w:tcPr>
                <w:p w14:paraId="763E7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建筑物插入损失 / dB(A)</w:t>
                  </w:r>
                </w:p>
              </w:tc>
              <w:tc>
                <w:tcPr>
                  <w:tcW w:w="1613" w:type="dxa"/>
                  <w:gridSpan w:val="2"/>
                  <w:tcBorders>
                    <w:tl2br w:val="nil"/>
                    <w:tr2bl w:val="nil"/>
                  </w:tcBorders>
                  <w:noWrap w:val="0"/>
                  <w:vAlign w:val="center"/>
                </w:tcPr>
                <w:p w14:paraId="46B04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TW"/>
                    </w:rPr>
                    <w:t>建筑物外</w:t>
                  </w:r>
                  <w:r>
                    <w:rPr>
                      <w:rFonts w:hint="default" w:ascii="Times New Roman" w:hAnsi="Times New Roman" w:eastAsia="宋体" w:cs="Times New Roman"/>
                      <w:color w:val="000000"/>
                      <w:sz w:val="18"/>
                      <w:szCs w:val="18"/>
                      <w:highlight w:val="none"/>
                      <w:vertAlign w:val="baseline"/>
                      <w:lang w:eastAsia="zh-CN"/>
                    </w:rPr>
                    <w:t>噪声</w:t>
                  </w:r>
                </w:p>
              </w:tc>
            </w:tr>
            <w:tr w14:paraId="76C9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6EF3D5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1A75E2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vMerge w:val="continue"/>
                  <w:tcBorders>
                    <w:tl2br w:val="nil"/>
                    <w:tr2bl w:val="nil"/>
                  </w:tcBorders>
                  <w:noWrap w:val="0"/>
                  <w:vAlign w:val="center"/>
                </w:tcPr>
                <w:p w14:paraId="33C8F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426" w:type="dxa"/>
                  <w:vMerge w:val="continue"/>
                  <w:tcBorders>
                    <w:tl2br w:val="nil"/>
                    <w:tr2bl w:val="nil"/>
                  </w:tcBorders>
                  <w:noWrap w:val="0"/>
                  <w:vAlign w:val="center"/>
                </w:tcPr>
                <w:p w14:paraId="694E6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44" w:type="dxa"/>
                  <w:vMerge w:val="continue"/>
                  <w:tcBorders>
                    <w:tl2br w:val="nil"/>
                    <w:tr2bl w:val="nil"/>
                  </w:tcBorders>
                  <w:noWrap w:val="0"/>
                  <w:vAlign w:val="center"/>
                </w:tcPr>
                <w:p w14:paraId="4EDBD1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940" w:type="dxa"/>
                  <w:vMerge w:val="continue"/>
                  <w:tcBorders>
                    <w:tl2br w:val="nil"/>
                    <w:tr2bl w:val="nil"/>
                  </w:tcBorders>
                  <w:noWrap w:val="0"/>
                  <w:vAlign w:val="center"/>
                </w:tcPr>
                <w:p w14:paraId="207E2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23C5E5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X</w:t>
                  </w:r>
                </w:p>
              </w:tc>
              <w:tc>
                <w:tcPr>
                  <w:tcW w:w="575" w:type="dxa"/>
                  <w:tcBorders>
                    <w:tl2br w:val="nil"/>
                    <w:tr2bl w:val="nil"/>
                  </w:tcBorders>
                  <w:noWrap w:val="0"/>
                  <w:vAlign w:val="center"/>
                </w:tcPr>
                <w:p w14:paraId="19A88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Y</w:t>
                  </w:r>
                </w:p>
              </w:tc>
              <w:tc>
                <w:tcPr>
                  <w:tcW w:w="516" w:type="dxa"/>
                  <w:tcBorders>
                    <w:tl2br w:val="nil"/>
                    <w:tr2bl w:val="nil"/>
                  </w:tcBorders>
                  <w:noWrap w:val="0"/>
                  <w:vAlign w:val="center"/>
                </w:tcPr>
                <w:p w14:paraId="57778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Z</w:t>
                  </w:r>
                </w:p>
              </w:tc>
              <w:tc>
                <w:tcPr>
                  <w:tcW w:w="664" w:type="dxa"/>
                  <w:vMerge w:val="continue"/>
                  <w:tcBorders>
                    <w:tl2br w:val="nil"/>
                    <w:tr2bl w:val="nil"/>
                  </w:tcBorders>
                  <w:noWrap w:val="0"/>
                  <w:vAlign w:val="center"/>
                </w:tcPr>
                <w:p w14:paraId="179319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921" w:type="dxa"/>
                  <w:vMerge w:val="continue"/>
                  <w:tcBorders>
                    <w:tl2br w:val="nil"/>
                    <w:tr2bl w:val="nil"/>
                  </w:tcBorders>
                  <w:noWrap w:val="0"/>
                  <w:vAlign w:val="center"/>
                </w:tcPr>
                <w:p w14:paraId="109A9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0" w:type="dxa"/>
                  <w:vMerge w:val="continue"/>
                  <w:tcBorders>
                    <w:tl2br w:val="nil"/>
                    <w:tr2bl w:val="nil"/>
                  </w:tcBorders>
                  <w:noWrap w:val="0"/>
                  <w:vAlign w:val="center"/>
                </w:tcPr>
                <w:p w14:paraId="4157C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vMerge w:val="continue"/>
                  <w:tcBorders>
                    <w:tl2br w:val="nil"/>
                    <w:tr2bl w:val="nil"/>
                  </w:tcBorders>
                  <w:noWrap w:val="0"/>
                  <w:vAlign w:val="center"/>
                </w:tcPr>
                <w:p w14:paraId="53AEFB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12" w:type="dxa"/>
                  <w:tcBorders>
                    <w:tl2br w:val="nil"/>
                    <w:tr2bl w:val="nil"/>
                  </w:tcBorders>
                  <w:noWrap w:val="0"/>
                  <w:vAlign w:val="center"/>
                </w:tcPr>
                <w:p w14:paraId="370F34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声</w:t>
                  </w:r>
                  <w:r>
                    <w:rPr>
                      <w:rFonts w:hint="default" w:ascii="Times New Roman" w:hAnsi="Times New Roman" w:eastAsia="宋体" w:cs="Times New Roman"/>
                      <w:color w:val="000000"/>
                      <w:sz w:val="18"/>
                      <w:szCs w:val="18"/>
                      <w:highlight w:val="none"/>
                      <w:vertAlign w:val="baseline"/>
                      <w:lang w:eastAsia="zh-CN"/>
                    </w:rPr>
                    <w:t>压级</w:t>
                  </w:r>
                  <w:r>
                    <w:rPr>
                      <w:rFonts w:hint="default" w:ascii="Times New Roman" w:hAnsi="Times New Roman" w:eastAsia="宋体" w:cs="Times New Roman"/>
                      <w:color w:val="000000"/>
                      <w:sz w:val="18"/>
                      <w:szCs w:val="18"/>
                      <w:highlight w:val="none"/>
                      <w:vertAlign w:val="baseline"/>
                      <w:lang w:val="en-US" w:eastAsia="zh-CN"/>
                    </w:rPr>
                    <w:t>/dB(A)</w:t>
                  </w:r>
                </w:p>
              </w:tc>
              <w:tc>
                <w:tcPr>
                  <w:tcW w:w="801" w:type="dxa"/>
                  <w:tcBorders>
                    <w:tl2br w:val="nil"/>
                    <w:tr2bl w:val="nil"/>
                  </w:tcBorders>
                  <w:noWrap w:val="0"/>
                  <w:vAlign w:val="center"/>
                </w:tcPr>
                <w:p w14:paraId="067F1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eastAsia="zh-TW"/>
                    </w:rPr>
                    <w:t>建筑物外</w:t>
                  </w:r>
                  <w:r>
                    <w:rPr>
                      <w:rFonts w:hint="default" w:ascii="Times New Roman" w:hAnsi="Times New Roman" w:eastAsia="宋体" w:cs="Times New Roman"/>
                      <w:color w:val="000000"/>
                      <w:sz w:val="18"/>
                      <w:szCs w:val="18"/>
                      <w:highlight w:val="none"/>
                      <w:vertAlign w:val="baseline"/>
                      <w:lang w:val="en-US" w:eastAsia="zh-CN"/>
                    </w:rPr>
                    <w:t>距离（m）</w:t>
                  </w:r>
                </w:p>
              </w:tc>
            </w:tr>
            <w:tr w14:paraId="336C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restart"/>
                  <w:tcBorders>
                    <w:tl2br w:val="nil"/>
                    <w:tr2bl w:val="nil"/>
                  </w:tcBorders>
                  <w:noWrap w:val="0"/>
                  <w:vAlign w:val="center"/>
                </w:tcPr>
                <w:p w14:paraId="1130BE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1车间</w:t>
                  </w:r>
                </w:p>
              </w:tc>
              <w:tc>
                <w:tcPr>
                  <w:tcW w:w="1224" w:type="dxa"/>
                  <w:tcBorders>
                    <w:tl2br w:val="nil"/>
                    <w:tr2bl w:val="nil"/>
                  </w:tcBorders>
                  <w:shd w:val="clear" w:color="auto" w:fill="auto"/>
                  <w:noWrap w:val="0"/>
                  <w:vAlign w:val="center"/>
                </w:tcPr>
                <w:p w14:paraId="185179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lang w:val="en-US" w:eastAsia="zh-CN"/>
                    </w:rPr>
                    <w:t>废气治理</w:t>
                  </w:r>
                </w:p>
              </w:tc>
              <w:tc>
                <w:tcPr>
                  <w:tcW w:w="1917" w:type="dxa"/>
                  <w:tcBorders>
                    <w:tl2br w:val="nil"/>
                    <w:tr2bl w:val="nil"/>
                  </w:tcBorders>
                  <w:shd w:val="clear" w:color="auto" w:fill="auto"/>
                  <w:noWrap w:val="0"/>
                  <w:vAlign w:val="center"/>
                </w:tcPr>
                <w:p w14:paraId="097945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风机</w:t>
                  </w:r>
                </w:p>
              </w:tc>
              <w:tc>
                <w:tcPr>
                  <w:tcW w:w="426" w:type="dxa"/>
                  <w:tcBorders>
                    <w:tl2br w:val="nil"/>
                    <w:tr2bl w:val="nil"/>
                  </w:tcBorders>
                  <w:shd w:val="clear" w:color="auto" w:fill="auto"/>
                  <w:noWrap w:val="0"/>
                  <w:vAlign w:val="center"/>
                </w:tcPr>
                <w:p w14:paraId="7A4B5E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149B9A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90</w:t>
                  </w:r>
                </w:p>
              </w:tc>
              <w:tc>
                <w:tcPr>
                  <w:tcW w:w="940" w:type="dxa"/>
                  <w:vMerge w:val="restart"/>
                  <w:tcBorders>
                    <w:tl2br w:val="nil"/>
                    <w:tr2bl w:val="nil"/>
                  </w:tcBorders>
                  <w:noWrap w:val="0"/>
                  <w:vAlign w:val="center"/>
                </w:tcPr>
                <w:p w14:paraId="0D24CC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基础减振、</w:t>
                  </w:r>
                  <w:r>
                    <w:rPr>
                      <w:rFonts w:hint="default" w:ascii="Times New Roman" w:hAnsi="Times New Roman" w:eastAsia="宋体" w:cs="Times New Roman"/>
                      <w:color w:val="000000"/>
                      <w:sz w:val="18"/>
                      <w:szCs w:val="18"/>
                      <w:highlight w:val="none"/>
                      <w:vertAlign w:val="baseline"/>
                      <w:lang w:eastAsia="zh-CN"/>
                    </w:rPr>
                    <w:t>封闭车间隔声、严格环境管理</w:t>
                  </w:r>
                </w:p>
              </w:tc>
              <w:tc>
                <w:tcPr>
                  <w:tcW w:w="586" w:type="dxa"/>
                  <w:tcBorders>
                    <w:tl2br w:val="nil"/>
                    <w:tr2bl w:val="nil"/>
                  </w:tcBorders>
                  <w:shd w:val="clear" w:color="auto" w:fill="auto"/>
                  <w:noWrap w:val="0"/>
                  <w:vAlign w:val="center"/>
                </w:tcPr>
                <w:p w14:paraId="045B52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61</w:t>
                  </w:r>
                </w:p>
              </w:tc>
              <w:tc>
                <w:tcPr>
                  <w:tcW w:w="575" w:type="dxa"/>
                  <w:tcBorders>
                    <w:tl2br w:val="nil"/>
                    <w:tr2bl w:val="nil"/>
                  </w:tcBorders>
                  <w:shd w:val="clear" w:color="auto" w:fill="auto"/>
                  <w:noWrap w:val="0"/>
                  <w:vAlign w:val="center"/>
                </w:tcPr>
                <w:p w14:paraId="2B856E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46</w:t>
                  </w:r>
                </w:p>
              </w:tc>
              <w:tc>
                <w:tcPr>
                  <w:tcW w:w="516" w:type="dxa"/>
                  <w:tcBorders>
                    <w:tl2br w:val="nil"/>
                    <w:tr2bl w:val="nil"/>
                  </w:tcBorders>
                  <w:shd w:val="clear" w:color="auto" w:fill="auto"/>
                  <w:noWrap w:val="0"/>
                  <w:vAlign w:val="center"/>
                </w:tcPr>
                <w:p w14:paraId="3FE740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1BDD11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61</w:t>
                  </w:r>
                </w:p>
              </w:tc>
              <w:tc>
                <w:tcPr>
                  <w:tcW w:w="921" w:type="dxa"/>
                  <w:tcBorders>
                    <w:tl2br w:val="nil"/>
                    <w:tr2bl w:val="nil"/>
                  </w:tcBorders>
                  <w:shd w:val="clear" w:color="auto" w:fill="auto"/>
                  <w:noWrap w:val="0"/>
                  <w:vAlign w:val="center"/>
                </w:tcPr>
                <w:p w14:paraId="385E0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54.3</w:t>
                  </w:r>
                </w:p>
              </w:tc>
              <w:tc>
                <w:tcPr>
                  <w:tcW w:w="800" w:type="dxa"/>
                  <w:vMerge w:val="restart"/>
                  <w:tcBorders>
                    <w:tl2br w:val="nil"/>
                    <w:tr2bl w:val="nil"/>
                  </w:tcBorders>
                  <w:noWrap w:val="0"/>
                  <w:vAlign w:val="center"/>
                </w:tcPr>
                <w:p w14:paraId="5450D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24h</w:t>
                  </w:r>
                </w:p>
              </w:tc>
              <w:tc>
                <w:tcPr>
                  <w:tcW w:w="1063" w:type="dxa"/>
                  <w:tcBorders>
                    <w:tl2br w:val="nil"/>
                    <w:tr2bl w:val="nil"/>
                  </w:tcBorders>
                  <w:shd w:val="clear" w:color="auto" w:fill="auto"/>
                  <w:noWrap w:val="0"/>
                  <w:vAlign w:val="center"/>
                </w:tcPr>
                <w:p w14:paraId="73F42F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tcBorders>
                    <w:tl2br w:val="nil"/>
                    <w:tr2bl w:val="nil"/>
                  </w:tcBorders>
                  <w:shd w:val="clear" w:color="auto" w:fill="auto"/>
                  <w:noWrap w:val="0"/>
                  <w:vAlign w:val="center"/>
                </w:tcPr>
                <w:p w14:paraId="53FE59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44.3</w:t>
                  </w:r>
                </w:p>
              </w:tc>
              <w:tc>
                <w:tcPr>
                  <w:tcW w:w="801" w:type="dxa"/>
                  <w:tcBorders>
                    <w:tl2br w:val="nil"/>
                    <w:tr2bl w:val="nil"/>
                  </w:tcBorders>
                  <w:shd w:val="clear" w:color="auto" w:fill="auto"/>
                  <w:noWrap w:val="0"/>
                  <w:vAlign w:val="center"/>
                </w:tcPr>
                <w:p w14:paraId="6A6ABB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r>
            <w:tr w14:paraId="20BD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1" w:type="dxa"/>
                  <w:vMerge w:val="continue"/>
                  <w:tcBorders>
                    <w:tl2br w:val="nil"/>
                    <w:tr2bl w:val="nil"/>
                  </w:tcBorders>
                  <w:noWrap w:val="0"/>
                  <w:vAlign w:val="center"/>
                </w:tcPr>
                <w:p w14:paraId="2F0E1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tcBorders>
                    <w:tl2br w:val="nil"/>
                    <w:tr2bl w:val="nil"/>
                  </w:tcBorders>
                  <w:noWrap w:val="0"/>
                  <w:vAlign w:val="center"/>
                </w:tcPr>
                <w:p w14:paraId="387E51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营养土生产线</w:t>
                  </w:r>
                </w:p>
              </w:tc>
              <w:tc>
                <w:tcPr>
                  <w:tcW w:w="1917" w:type="dxa"/>
                  <w:tcBorders>
                    <w:tl2br w:val="nil"/>
                    <w:tr2bl w:val="nil"/>
                  </w:tcBorders>
                  <w:noWrap w:val="0"/>
                  <w:vAlign w:val="center"/>
                </w:tcPr>
                <w:p w14:paraId="4CBB8A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搅拌机</w:t>
                  </w:r>
                </w:p>
              </w:tc>
              <w:tc>
                <w:tcPr>
                  <w:tcW w:w="426" w:type="dxa"/>
                  <w:tcBorders>
                    <w:tl2br w:val="nil"/>
                    <w:tr2bl w:val="nil"/>
                  </w:tcBorders>
                  <w:noWrap w:val="0"/>
                  <w:vAlign w:val="center"/>
                </w:tcPr>
                <w:p w14:paraId="17479B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noWrap w:val="0"/>
                  <w:vAlign w:val="center"/>
                </w:tcPr>
                <w:p w14:paraId="47166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299894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63AC02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123</w:t>
                  </w:r>
                </w:p>
              </w:tc>
              <w:tc>
                <w:tcPr>
                  <w:tcW w:w="575" w:type="dxa"/>
                  <w:tcBorders>
                    <w:tl2br w:val="nil"/>
                    <w:tr2bl w:val="nil"/>
                  </w:tcBorders>
                  <w:noWrap w:val="0"/>
                  <w:vAlign w:val="center"/>
                </w:tcPr>
                <w:p w14:paraId="65EEB5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50</w:t>
                  </w:r>
                </w:p>
              </w:tc>
              <w:tc>
                <w:tcPr>
                  <w:tcW w:w="516" w:type="dxa"/>
                  <w:tcBorders>
                    <w:tl2br w:val="nil"/>
                    <w:tr2bl w:val="nil"/>
                  </w:tcBorders>
                  <w:noWrap w:val="0"/>
                  <w:vAlign w:val="center"/>
                </w:tcPr>
                <w:p w14:paraId="49322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6BE37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42</w:t>
                  </w:r>
                </w:p>
              </w:tc>
              <w:tc>
                <w:tcPr>
                  <w:tcW w:w="921" w:type="dxa"/>
                  <w:tcBorders>
                    <w:tl2br w:val="nil"/>
                    <w:tr2bl w:val="nil"/>
                  </w:tcBorders>
                  <w:noWrap w:val="0"/>
                  <w:vAlign w:val="center"/>
                </w:tcPr>
                <w:p w14:paraId="661FB2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42.5</w:t>
                  </w:r>
                </w:p>
              </w:tc>
              <w:tc>
                <w:tcPr>
                  <w:tcW w:w="800" w:type="dxa"/>
                  <w:vMerge w:val="continue"/>
                  <w:tcBorders>
                    <w:tl2br w:val="nil"/>
                    <w:tr2bl w:val="nil"/>
                  </w:tcBorders>
                  <w:noWrap w:val="0"/>
                  <w:vAlign w:val="center"/>
                </w:tcPr>
                <w:p w14:paraId="5618B6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4B65FE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tcBorders>
                    <w:tl2br w:val="nil"/>
                    <w:tr2bl w:val="nil"/>
                  </w:tcBorders>
                  <w:noWrap w:val="0"/>
                  <w:vAlign w:val="center"/>
                </w:tcPr>
                <w:p w14:paraId="4EFD34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32.5</w:t>
                  </w:r>
                </w:p>
              </w:tc>
              <w:tc>
                <w:tcPr>
                  <w:tcW w:w="801" w:type="dxa"/>
                  <w:tcBorders>
                    <w:tl2br w:val="nil"/>
                    <w:tr2bl w:val="nil"/>
                  </w:tcBorders>
                  <w:noWrap w:val="0"/>
                  <w:vAlign w:val="center"/>
                </w:tcPr>
                <w:p w14:paraId="05E39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r>
            <w:tr w14:paraId="1CAA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481" w:type="dxa"/>
                  <w:vMerge w:val="restart"/>
                  <w:tcBorders>
                    <w:tl2br w:val="nil"/>
                    <w:tr2bl w:val="nil"/>
                  </w:tcBorders>
                  <w:noWrap w:val="0"/>
                  <w:vAlign w:val="center"/>
                </w:tcPr>
                <w:p w14:paraId="03DAA2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2车间</w:t>
                  </w:r>
                </w:p>
              </w:tc>
              <w:tc>
                <w:tcPr>
                  <w:tcW w:w="1224" w:type="dxa"/>
                  <w:vMerge w:val="restart"/>
                  <w:tcBorders>
                    <w:tl2br w:val="nil"/>
                    <w:tr2bl w:val="nil"/>
                  </w:tcBorders>
                  <w:noWrap w:val="0"/>
                  <w:vAlign w:val="center"/>
                </w:tcPr>
                <w:p w14:paraId="1ADBA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替代燃料颗粒生产线</w:t>
                  </w:r>
                </w:p>
              </w:tc>
              <w:tc>
                <w:tcPr>
                  <w:tcW w:w="1917" w:type="dxa"/>
                  <w:tcBorders>
                    <w:tl2br w:val="nil"/>
                    <w:tr2bl w:val="nil"/>
                  </w:tcBorders>
                  <w:noWrap w:val="0"/>
                  <w:vAlign w:val="center"/>
                </w:tcPr>
                <w:p w14:paraId="23B24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val="en-US" w:eastAsia="zh-CN"/>
                    </w:rPr>
                    <w:t>撕碎机</w:t>
                  </w:r>
                </w:p>
              </w:tc>
              <w:tc>
                <w:tcPr>
                  <w:tcW w:w="426" w:type="dxa"/>
                  <w:tcBorders>
                    <w:tl2br w:val="nil"/>
                    <w:tr2bl w:val="nil"/>
                  </w:tcBorders>
                  <w:noWrap w:val="0"/>
                  <w:vAlign w:val="center"/>
                </w:tcPr>
                <w:p w14:paraId="2D5ABF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noWrap w:val="0"/>
                  <w:vAlign w:val="center"/>
                </w:tcPr>
                <w:p w14:paraId="579ACE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80</w:t>
                  </w:r>
                </w:p>
              </w:tc>
              <w:tc>
                <w:tcPr>
                  <w:tcW w:w="940" w:type="dxa"/>
                  <w:vMerge w:val="continue"/>
                  <w:tcBorders>
                    <w:tl2br w:val="nil"/>
                    <w:tr2bl w:val="nil"/>
                  </w:tcBorders>
                  <w:noWrap w:val="0"/>
                  <w:vAlign w:val="center"/>
                </w:tcPr>
                <w:p w14:paraId="7CEF3F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2D4549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100</w:t>
                  </w:r>
                </w:p>
              </w:tc>
              <w:tc>
                <w:tcPr>
                  <w:tcW w:w="575" w:type="dxa"/>
                  <w:tcBorders>
                    <w:tl2br w:val="nil"/>
                    <w:tr2bl w:val="nil"/>
                  </w:tcBorders>
                  <w:noWrap w:val="0"/>
                  <w:vAlign w:val="center"/>
                </w:tcPr>
                <w:p w14:paraId="1DB267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118</w:t>
                  </w:r>
                </w:p>
              </w:tc>
              <w:tc>
                <w:tcPr>
                  <w:tcW w:w="516" w:type="dxa"/>
                  <w:tcBorders>
                    <w:tl2br w:val="nil"/>
                    <w:tr2bl w:val="nil"/>
                  </w:tcBorders>
                  <w:noWrap w:val="0"/>
                  <w:vAlign w:val="center"/>
                </w:tcPr>
                <w:p w14:paraId="2F6A9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1D788C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15</w:t>
                  </w:r>
                </w:p>
              </w:tc>
              <w:tc>
                <w:tcPr>
                  <w:tcW w:w="921" w:type="dxa"/>
                  <w:tcBorders>
                    <w:tl2br w:val="nil"/>
                    <w:tr2bl w:val="nil"/>
                  </w:tcBorders>
                  <w:noWrap w:val="0"/>
                  <w:vAlign w:val="center"/>
                </w:tcPr>
                <w:p w14:paraId="168AD3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w:t>
                  </w:r>
                  <w:r>
                    <w:rPr>
                      <w:rFonts w:hint="default" w:ascii="Times New Roman" w:hAnsi="Times New Roman" w:cs="Times New Roman"/>
                      <w:color w:val="000000"/>
                      <w:sz w:val="18"/>
                      <w:szCs w:val="18"/>
                      <w:highlight w:val="none"/>
                      <w:vertAlign w:val="baseline"/>
                      <w:lang w:val="en-US" w:eastAsia="zh-CN"/>
                    </w:rPr>
                    <w:t>6</w:t>
                  </w:r>
                  <w:r>
                    <w:rPr>
                      <w:rFonts w:hint="default" w:ascii="Times New Roman" w:hAnsi="Times New Roman" w:eastAsia="宋体" w:cs="Times New Roman"/>
                      <w:color w:val="000000"/>
                      <w:sz w:val="18"/>
                      <w:szCs w:val="18"/>
                      <w:highlight w:val="none"/>
                      <w:vertAlign w:val="baseline"/>
                      <w:lang w:val="en-US" w:eastAsia="zh-CN"/>
                    </w:rPr>
                    <w:t>.5</w:t>
                  </w:r>
                </w:p>
              </w:tc>
              <w:tc>
                <w:tcPr>
                  <w:tcW w:w="800" w:type="dxa"/>
                  <w:vMerge w:val="continue"/>
                  <w:tcBorders>
                    <w:tl2br w:val="nil"/>
                    <w:tr2bl w:val="nil"/>
                  </w:tcBorders>
                  <w:noWrap w:val="0"/>
                  <w:vAlign w:val="center"/>
                </w:tcPr>
                <w:p w14:paraId="000B6F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0F2581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restart"/>
                  <w:tcBorders>
                    <w:tl2br w:val="nil"/>
                    <w:tr2bl w:val="nil"/>
                  </w:tcBorders>
                  <w:noWrap w:val="0"/>
                  <w:vAlign w:val="center"/>
                </w:tcPr>
                <w:p w14:paraId="44ED1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47.5</w:t>
                  </w:r>
                </w:p>
              </w:tc>
              <w:tc>
                <w:tcPr>
                  <w:tcW w:w="801" w:type="dxa"/>
                  <w:vMerge w:val="restart"/>
                  <w:tcBorders>
                    <w:tl2br w:val="nil"/>
                    <w:tr2bl w:val="nil"/>
                  </w:tcBorders>
                  <w:noWrap w:val="0"/>
                  <w:vAlign w:val="center"/>
                </w:tcPr>
                <w:p w14:paraId="0C1B5A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38</w:t>
                  </w:r>
                </w:p>
              </w:tc>
            </w:tr>
            <w:tr w14:paraId="5B96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07549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474F6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noWrap w:val="0"/>
                  <w:vAlign w:val="center"/>
                </w:tcPr>
                <w:p w14:paraId="009AF8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eastAsia="zh-CN"/>
                    </w:rPr>
                  </w:pPr>
                  <w:r>
                    <w:rPr>
                      <w:rFonts w:hint="default" w:ascii="Times New Roman" w:hAnsi="Times New Roman" w:eastAsia="宋体" w:cs="Times New Roman"/>
                      <w:color w:val="000000"/>
                      <w:sz w:val="18"/>
                      <w:szCs w:val="18"/>
                      <w:highlight w:val="none"/>
                      <w:vertAlign w:val="baseline"/>
                      <w:lang w:eastAsia="zh-CN"/>
                    </w:rPr>
                    <w:t>输送带</w:t>
                  </w:r>
                </w:p>
              </w:tc>
              <w:tc>
                <w:tcPr>
                  <w:tcW w:w="426" w:type="dxa"/>
                  <w:tcBorders>
                    <w:tl2br w:val="nil"/>
                    <w:tr2bl w:val="nil"/>
                  </w:tcBorders>
                  <w:noWrap w:val="0"/>
                  <w:vAlign w:val="center"/>
                </w:tcPr>
                <w:p w14:paraId="0F6BC3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noWrap w:val="0"/>
                  <w:vAlign w:val="center"/>
                </w:tcPr>
                <w:p w14:paraId="44059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3B141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65BA4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102</w:t>
                  </w:r>
                </w:p>
              </w:tc>
              <w:tc>
                <w:tcPr>
                  <w:tcW w:w="575" w:type="dxa"/>
                  <w:tcBorders>
                    <w:tl2br w:val="nil"/>
                    <w:tr2bl w:val="nil"/>
                  </w:tcBorders>
                  <w:noWrap w:val="0"/>
                  <w:vAlign w:val="center"/>
                </w:tcPr>
                <w:p w14:paraId="248705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117</w:t>
                  </w:r>
                </w:p>
              </w:tc>
              <w:tc>
                <w:tcPr>
                  <w:tcW w:w="516" w:type="dxa"/>
                  <w:tcBorders>
                    <w:tl2br w:val="nil"/>
                    <w:tr2bl w:val="nil"/>
                  </w:tcBorders>
                  <w:noWrap w:val="0"/>
                  <w:vAlign w:val="center"/>
                </w:tcPr>
                <w:p w14:paraId="77C53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21807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17</w:t>
                  </w:r>
                </w:p>
              </w:tc>
              <w:tc>
                <w:tcPr>
                  <w:tcW w:w="921" w:type="dxa"/>
                  <w:tcBorders>
                    <w:tl2br w:val="nil"/>
                    <w:tr2bl w:val="nil"/>
                  </w:tcBorders>
                  <w:noWrap w:val="0"/>
                  <w:vAlign w:val="center"/>
                </w:tcPr>
                <w:p w14:paraId="79044A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50</w:t>
                  </w:r>
                  <w:r>
                    <w:rPr>
                      <w:rFonts w:hint="default" w:ascii="Times New Roman" w:hAnsi="Times New Roman" w:eastAsia="宋体" w:cs="Times New Roman"/>
                      <w:color w:val="000000"/>
                      <w:sz w:val="18"/>
                      <w:szCs w:val="18"/>
                      <w:highlight w:val="none"/>
                      <w:vertAlign w:val="baseline"/>
                      <w:lang w:val="en-US" w:eastAsia="zh-CN"/>
                    </w:rPr>
                    <w:t>.4</w:t>
                  </w:r>
                </w:p>
              </w:tc>
              <w:tc>
                <w:tcPr>
                  <w:tcW w:w="800" w:type="dxa"/>
                  <w:vMerge w:val="continue"/>
                  <w:tcBorders>
                    <w:tl2br w:val="nil"/>
                    <w:tr2bl w:val="nil"/>
                  </w:tcBorders>
                  <w:noWrap w:val="0"/>
                  <w:vAlign w:val="center"/>
                </w:tcPr>
                <w:p w14:paraId="4DAEBD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62E90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1CC510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4AFB7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59A5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481" w:type="dxa"/>
                  <w:vMerge w:val="continue"/>
                  <w:tcBorders>
                    <w:tl2br w:val="nil"/>
                    <w:tr2bl w:val="nil"/>
                  </w:tcBorders>
                  <w:noWrap w:val="0"/>
                  <w:vAlign w:val="center"/>
                </w:tcPr>
                <w:p w14:paraId="46859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2BBA9B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noWrap w:val="0"/>
                  <w:vAlign w:val="center"/>
                </w:tcPr>
                <w:p w14:paraId="7BCC4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粉碎机</w:t>
                  </w:r>
                </w:p>
              </w:tc>
              <w:tc>
                <w:tcPr>
                  <w:tcW w:w="426" w:type="dxa"/>
                  <w:tcBorders>
                    <w:tl2br w:val="nil"/>
                    <w:tr2bl w:val="nil"/>
                  </w:tcBorders>
                  <w:noWrap w:val="0"/>
                  <w:vAlign w:val="center"/>
                </w:tcPr>
                <w:p w14:paraId="118FF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noWrap w:val="0"/>
                  <w:vAlign w:val="center"/>
                </w:tcPr>
                <w:p w14:paraId="4EAD72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80</w:t>
                  </w:r>
                </w:p>
              </w:tc>
              <w:tc>
                <w:tcPr>
                  <w:tcW w:w="940" w:type="dxa"/>
                  <w:vMerge w:val="continue"/>
                  <w:tcBorders>
                    <w:tl2br w:val="nil"/>
                    <w:tr2bl w:val="nil"/>
                  </w:tcBorders>
                  <w:noWrap w:val="0"/>
                  <w:vAlign w:val="center"/>
                </w:tcPr>
                <w:p w14:paraId="00509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3BD48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104</w:t>
                  </w:r>
                </w:p>
              </w:tc>
              <w:tc>
                <w:tcPr>
                  <w:tcW w:w="575" w:type="dxa"/>
                  <w:tcBorders>
                    <w:tl2br w:val="nil"/>
                    <w:tr2bl w:val="nil"/>
                  </w:tcBorders>
                  <w:noWrap w:val="0"/>
                  <w:vAlign w:val="center"/>
                </w:tcPr>
                <w:p w14:paraId="49B826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117</w:t>
                  </w:r>
                </w:p>
              </w:tc>
              <w:tc>
                <w:tcPr>
                  <w:tcW w:w="516" w:type="dxa"/>
                  <w:tcBorders>
                    <w:tl2br w:val="nil"/>
                    <w:tr2bl w:val="nil"/>
                  </w:tcBorders>
                  <w:noWrap w:val="0"/>
                  <w:vAlign w:val="center"/>
                </w:tcPr>
                <w:p w14:paraId="37BF9E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780813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19</w:t>
                  </w:r>
                </w:p>
              </w:tc>
              <w:tc>
                <w:tcPr>
                  <w:tcW w:w="921" w:type="dxa"/>
                  <w:tcBorders>
                    <w:tl2br w:val="nil"/>
                    <w:tr2bl w:val="nil"/>
                  </w:tcBorders>
                  <w:noWrap w:val="0"/>
                  <w:vAlign w:val="center"/>
                </w:tcPr>
                <w:p w14:paraId="307E60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54.4</w:t>
                  </w:r>
                </w:p>
              </w:tc>
              <w:tc>
                <w:tcPr>
                  <w:tcW w:w="800" w:type="dxa"/>
                  <w:vMerge w:val="continue"/>
                  <w:tcBorders>
                    <w:tl2br w:val="nil"/>
                    <w:tr2bl w:val="nil"/>
                  </w:tcBorders>
                  <w:noWrap w:val="0"/>
                  <w:vAlign w:val="center"/>
                </w:tcPr>
                <w:p w14:paraId="6F3AF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75C9A9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5624A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6674DB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14CF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7585C2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34CE0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noWrap w:val="0"/>
                  <w:vAlign w:val="center"/>
                </w:tcPr>
                <w:p w14:paraId="1CE695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搅拌机</w:t>
                  </w:r>
                </w:p>
              </w:tc>
              <w:tc>
                <w:tcPr>
                  <w:tcW w:w="426" w:type="dxa"/>
                  <w:tcBorders>
                    <w:tl2br w:val="nil"/>
                    <w:tr2bl w:val="nil"/>
                  </w:tcBorders>
                  <w:noWrap w:val="0"/>
                  <w:vAlign w:val="center"/>
                </w:tcPr>
                <w:p w14:paraId="08206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noWrap w:val="0"/>
                  <w:vAlign w:val="center"/>
                </w:tcPr>
                <w:p w14:paraId="26FF83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0B6B71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0A36F6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106</w:t>
                  </w:r>
                </w:p>
              </w:tc>
              <w:tc>
                <w:tcPr>
                  <w:tcW w:w="575" w:type="dxa"/>
                  <w:tcBorders>
                    <w:tl2br w:val="nil"/>
                    <w:tr2bl w:val="nil"/>
                  </w:tcBorders>
                  <w:noWrap w:val="0"/>
                  <w:vAlign w:val="center"/>
                </w:tcPr>
                <w:p w14:paraId="16971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118</w:t>
                  </w:r>
                </w:p>
              </w:tc>
              <w:tc>
                <w:tcPr>
                  <w:tcW w:w="516" w:type="dxa"/>
                  <w:tcBorders>
                    <w:tl2br w:val="nil"/>
                    <w:tr2bl w:val="nil"/>
                  </w:tcBorders>
                  <w:noWrap w:val="0"/>
                  <w:vAlign w:val="center"/>
                </w:tcPr>
                <w:p w14:paraId="50FD4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57DACB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22</w:t>
                  </w:r>
                </w:p>
              </w:tc>
              <w:tc>
                <w:tcPr>
                  <w:tcW w:w="921" w:type="dxa"/>
                  <w:tcBorders>
                    <w:tl2br w:val="nil"/>
                    <w:tr2bl w:val="nil"/>
                  </w:tcBorders>
                  <w:noWrap w:val="0"/>
                  <w:vAlign w:val="center"/>
                </w:tcPr>
                <w:p w14:paraId="105D4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48.2</w:t>
                  </w:r>
                </w:p>
              </w:tc>
              <w:tc>
                <w:tcPr>
                  <w:tcW w:w="800" w:type="dxa"/>
                  <w:vMerge w:val="continue"/>
                  <w:tcBorders>
                    <w:tl2br w:val="nil"/>
                    <w:tr2bl w:val="nil"/>
                  </w:tcBorders>
                  <w:noWrap w:val="0"/>
                  <w:vAlign w:val="center"/>
                </w:tcPr>
                <w:p w14:paraId="205B8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284EF3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29AF33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1F2D87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2D19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574E2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3C962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noWrap w:val="0"/>
                  <w:vAlign w:val="center"/>
                </w:tcPr>
                <w:p w14:paraId="54621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造粒机</w:t>
                  </w:r>
                </w:p>
              </w:tc>
              <w:tc>
                <w:tcPr>
                  <w:tcW w:w="426" w:type="dxa"/>
                  <w:tcBorders>
                    <w:tl2br w:val="nil"/>
                    <w:tr2bl w:val="nil"/>
                  </w:tcBorders>
                  <w:noWrap w:val="0"/>
                  <w:vAlign w:val="center"/>
                </w:tcPr>
                <w:p w14:paraId="538E70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noWrap w:val="0"/>
                  <w:vAlign w:val="center"/>
                </w:tcPr>
                <w:p w14:paraId="261B7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63E7E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31C0E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108</w:t>
                  </w:r>
                </w:p>
              </w:tc>
              <w:tc>
                <w:tcPr>
                  <w:tcW w:w="575" w:type="dxa"/>
                  <w:tcBorders>
                    <w:tl2br w:val="nil"/>
                    <w:tr2bl w:val="nil"/>
                  </w:tcBorders>
                  <w:noWrap w:val="0"/>
                  <w:vAlign w:val="center"/>
                </w:tcPr>
                <w:p w14:paraId="417778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117</w:t>
                  </w:r>
                </w:p>
              </w:tc>
              <w:tc>
                <w:tcPr>
                  <w:tcW w:w="516" w:type="dxa"/>
                  <w:tcBorders>
                    <w:tl2br w:val="nil"/>
                    <w:tr2bl w:val="nil"/>
                  </w:tcBorders>
                  <w:noWrap w:val="0"/>
                  <w:vAlign w:val="center"/>
                </w:tcPr>
                <w:p w14:paraId="02411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365963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25</w:t>
                  </w:r>
                </w:p>
              </w:tc>
              <w:tc>
                <w:tcPr>
                  <w:tcW w:w="921" w:type="dxa"/>
                  <w:tcBorders>
                    <w:tl2br w:val="nil"/>
                    <w:tr2bl w:val="nil"/>
                  </w:tcBorders>
                  <w:noWrap w:val="0"/>
                  <w:vAlign w:val="center"/>
                </w:tcPr>
                <w:p w14:paraId="49E46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47.0</w:t>
                  </w:r>
                </w:p>
              </w:tc>
              <w:tc>
                <w:tcPr>
                  <w:tcW w:w="800" w:type="dxa"/>
                  <w:vMerge w:val="continue"/>
                  <w:tcBorders>
                    <w:tl2br w:val="nil"/>
                    <w:tr2bl w:val="nil"/>
                  </w:tcBorders>
                  <w:noWrap w:val="0"/>
                  <w:vAlign w:val="center"/>
                </w:tcPr>
                <w:p w14:paraId="01CCD0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2295C4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3FD8E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58CA2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18E8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0C58DD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restart"/>
                  <w:tcBorders>
                    <w:tl2br w:val="nil"/>
                    <w:tr2bl w:val="nil"/>
                  </w:tcBorders>
                  <w:shd w:val="clear" w:color="auto" w:fill="auto"/>
                  <w:noWrap w:val="0"/>
                  <w:vAlign w:val="center"/>
                </w:tcPr>
                <w:p w14:paraId="44ADEC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烘干生产线</w:t>
                  </w:r>
                </w:p>
              </w:tc>
              <w:tc>
                <w:tcPr>
                  <w:tcW w:w="1917" w:type="dxa"/>
                  <w:tcBorders>
                    <w:tl2br w:val="nil"/>
                    <w:tr2bl w:val="nil"/>
                  </w:tcBorders>
                  <w:shd w:val="clear" w:color="auto" w:fill="auto"/>
                  <w:noWrap w:val="0"/>
                  <w:vAlign w:val="center"/>
                </w:tcPr>
                <w:p w14:paraId="04F154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eastAsia="zh-CN"/>
                    </w:rPr>
                    <w:t>打碎机</w:t>
                  </w:r>
                </w:p>
              </w:tc>
              <w:tc>
                <w:tcPr>
                  <w:tcW w:w="426" w:type="dxa"/>
                  <w:tcBorders>
                    <w:tl2br w:val="nil"/>
                    <w:tr2bl w:val="nil"/>
                  </w:tcBorders>
                  <w:shd w:val="clear" w:color="auto" w:fill="auto"/>
                  <w:noWrap w:val="0"/>
                  <w:vAlign w:val="center"/>
                </w:tcPr>
                <w:p w14:paraId="7D61C7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20551D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6D3B1E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396D79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16</w:t>
                  </w:r>
                </w:p>
              </w:tc>
              <w:tc>
                <w:tcPr>
                  <w:tcW w:w="575" w:type="dxa"/>
                  <w:tcBorders>
                    <w:tl2br w:val="nil"/>
                    <w:tr2bl w:val="nil"/>
                  </w:tcBorders>
                  <w:shd w:val="clear" w:color="auto" w:fill="auto"/>
                  <w:noWrap w:val="0"/>
                  <w:vAlign w:val="center"/>
                </w:tcPr>
                <w:p w14:paraId="0318B3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120</w:t>
                  </w:r>
                </w:p>
              </w:tc>
              <w:tc>
                <w:tcPr>
                  <w:tcW w:w="516" w:type="dxa"/>
                  <w:tcBorders>
                    <w:tl2br w:val="nil"/>
                    <w:tr2bl w:val="nil"/>
                  </w:tcBorders>
                  <w:shd w:val="clear" w:color="auto" w:fill="auto"/>
                  <w:noWrap w:val="0"/>
                  <w:vAlign w:val="center"/>
                </w:tcPr>
                <w:p w14:paraId="387F57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4E104D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16</w:t>
                  </w:r>
                </w:p>
              </w:tc>
              <w:tc>
                <w:tcPr>
                  <w:tcW w:w="921" w:type="dxa"/>
                  <w:tcBorders>
                    <w:tl2br w:val="nil"/>
                    <w:tr2bl w:val="nil"/>
                  </w:tcBorders>
                  <w:shd w:val="clear" w:color="auto" w:fill="auto"/>
                  <w:noWrap w:val="0"/>
                  <w:vAlign w:val="center"/>
                </w:tcPr>
                <w:p w14:paraId="048DC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50.9</w:t>
                  </w:r>
                </w:p>
              </w:tc>
              <w:tc>
                <w:tcPr>
                  <w:tcW w:w="800" w:type="dxa"/>
                  <w:vMerge w:val="continue"/>
                  <w:tcBorders>
                    <w:tl2br w:val="nil"/>
                    <w:tr2bl w:val="nil"/>
                  </w:tcBorders>
                  <w:noWrap w:val="0"/>
                  <w:vAlign w:val="center"/>
                </w:tcPr>
                <w:p w14:paraId="2F5CD6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4CE288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restart"/>
                  <w:tcBorders>
                    <w:tl2br w:val="nil"/>
                    <w:tr2bl w:val="nil"/>
                  </w:tcBorders>
                  <w:noWrap w:val="0"/>
                  <w:vAlign w:val="center"/>
                </w:tcPr>
                <w:p w14:paraId="1AA79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43.6</w:t>
                  </w:r>
                </w:p>
              </w:tc>
              <w:tc>
                <w:tcPr>
                  <w:tcW w:w="801" w:type="dxa"/>
                  <w:vMerge w:val="restart"/>
                  <w:tcBorders>
                    <w:tl2br w:val="nil"/>
                    <w:tr2bl w:val="nil"/>
                  </w:tcBorders>
                  <w:noWrap w:val="0"/>
                  <w:vAlign w:val="center"/>
                </w:tcPr>
                <w:p w14:paraId="0C4EB3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r>
            <w:tr w14:paraId="06FA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63C333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48ECC8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shd w:val="clear" w:color="auto" w:fill="auto"/>
                  <w:noWrap w:val="0"/>
                  <w:vAlign w:val="center"/>
                </w:tcPr>
                <w:p w14:paraId="026AE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烘干机</w:t>
                  </w:r>
                </w:p>
              </w:tc>
              <w:tc>
                <w:tcPr>
                  <w:tcW w:w="426" w:type="dxa"/>
                  <w:tcBorders>
                    <w:tl2br w:val="nil"/>
                    <w:tr2bl w:val="nil"/>
                  </w:tcBorders>
                  <w:shd w:val="clear" w:color="auto" w:fill="auto"/>
                  <w:noWrap w:val="0"/>
                  <w:vAlign w:val="center"/>
                </w:tcPr>
                <w:p w14:paraId="2C7E5A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3DDCCD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70</w:t>
                  </w:r>
                </w:p>
              </w:tc>
              <w:tc>
                <w:tcPr>
                  <w:tcW w:w="940" w:type="dxa"/>
                  <w:vMerge w:val="continue"/>
                  <w:tcBorders>
                    <w:tl2br w:val="nil"/>
                    <w:tr2bl w:val="nil"/>
                  </w:tcBorders>
                  <w:noWrap w:val="0"/>
                  <w:vAlign w:val="center"/>
                </w:tcPr>
                <w:p w14:paraId="15BE2C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49F46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17</w:t>
                  </w:r>
                </w:p>
              </w:tc>
              <w:tc>
                <w:tcPr>
                  <w:tcW w:w="575" w:type="dxa"/>
                  <w:tcBorders>
                    <w:tl2br w:val="nil"/>
                    <w:tr2bl w:val="nil"/>
                  </w:tcBorders>
                  <w:shd w:val="clear" w:color="auto" w:fill="auto"/>
                  <w:noWrap w:val="0"/>
                  <w:vAlign w:val="center"/>
                </w:tcPr>
                <w:p w14:paraId="7D862D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110</w:t>
                  </w:r>
                </w:p>
              </w:tc>
              <w:tc>
                <w:tcPr>
                  <w:tcW w:w="516" w:type="dxa"/>
                  <w:tcBorders>
                    <w:tl2br w:val="nil"/>
                    <w:tr2bl w:val="nil"/>
                  </w:tcBorders>
                  <w:shd w:val="clear" w:color="auto" w:fill="auto"/>
                  <w:noWrap w:val="0"/>
                  <w:vAlign w:val="center"/>
                </w:tcPr>
                <w:p w14:paraId="14D1D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23422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17</w:t>
                  </w:r>
                </w:p>
              </w:tc>
              <w:tc>
                <w:tcPr>
                  <w:tcW w:w="921" w:type="dxa"/>
                  <w:tcBorders>
                    <w:tl2br w:val="nil"/>
                    <w:tr2bl w:val="nil"/>
                  </w:tcBorders>
                  <w:shd w:val="clear" w:color="auto" w:fill="auto"/>
                  <w:noWrap w:val="0"/>
                  <w:vAlign w:val="center"/>
                </w:tcPr>
                <w:p w14:paraId="7D021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45.4</w:t>
                  </w:r>
                </w:p>
              </w:tc>
              <w:tc>
                <w:tcPr>
                  <w:tcW w:w="800" w:type="dxa"/>
                  <w:vMerge w:val="continue"/>
                  <w:tcBorders>
                    <w:tl2br w:val="nil"/>
                    <w:tr2bl w:val="nil"/>
                  </w:tcBorders>
                  <w:noWrap w:val="0"/>
                  <w:vAlign w:val="center"/>
                </w:tcPr>
                <w:p w14:paraId="3D4A0D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6C5D84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256B5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6D849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153B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7FAE2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51104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shd w:val="clear" w:color="auto" w:fill="auto"/>
                  <w:noWrap w:val="0"/>
                  <w:vAlign w:val="center"/>
                </w:tcPr>
                <w:p w14:paraId="023B5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eastAsia="zh-CN"/>
                    </w:rPr>
                    <w:t>输送带</w:t>
                  </w:r>
                </w:p>
              </w:tc>
              <w:tc>
                <w:tcPr>
                  <w:tcW w:w="426" w:type="dxa"/>
                  <w:tcBorders>
                    <w:tl2br w:val="nil"/>
                    <w:tr2bl w:val="nil"/>
                  </w:tcBorders>
                  <w:shd w:val="clear" w:color="auto" w:fill="auto"/>
                  <w:noWrap w:val="0"/>
                  <w:vAlign w:val="center"/>
                </w:tcPr>
                <w:p w14:paraId="1FB31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1498C6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00B59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4E0504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16</w:t>
                  </w:r>
                </w:p>
              </w:tc>
              <w:tc>
                <w:tcPr>
                  <w:tcW w:w="575" w:type="dxa"/>
                  <w:tcBorders>
                    <w:tl2br w:val="nil"/>
                    <w:tr2bl w:val="nil"/>
                  </w:tcBorders>
                  <w:shd w:val="clear" w:color="auto" w:fill="auto"/>
                  <w:noWrap w:val="0"/>
                  <w:vAlign w:val="center"/>
                </w:tcPr>
                <w:p w14:paraId="5AECB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115</w:t>
                  </w:r>
                </w:p>
              </w:tc>
              <w:tc>
                <w:tcPr>
                  <w:tcW w:w="516" w:type="dxa"/>
                  <w:tcBorders>
                    <w:tl2br w:val="nil"/>
                    <w:tr2bl w:val="nil"/>
                  </w:tcBorders>
                  <w:shd w:val="clear" w:color="auto" w:fill="auto"/>
                  <w:noWrap w:val="0"/>
                  <w:vAlign w:val="center"/>
                </w:tcPr>
                <w:p w14:paraId="609BCF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1CFFF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16</w:t>
                  </w:r>
                </w:p>
              </w:tc>
              <w:tc>
                <w:tcPr>
                  <w:tcW w:w="921" w:type="dxa"/>
                  <w:tcBorders>
                    <w:tl2br w:val="nil"/>
                    <w:tr2bl w:val="nil"/>
                  </w:tcBorders>
                  <w:shd w:val="clear" w:color="auto" w:fill="auto"/>
                  <w:noWrap w:val="0"/>
                  <w:vAlign w:val="center"/>
                </w:tcPr>
                <w:p w14:paraId="2B5FD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45.9</w:t>
                  </w:r>
                </w:p>
              </w:tc>
              <w:tc>
                <w:tcPr>
                  <w:tcW w:w="800" w:type="dxa"/>
                  <w:vMerge w:val="continue"/>
                  <w:tcBorders>
                    <w:tl2br w:val="nil"/>
                    <w:tr2bl w:val="nil"/>
                  </w:tcBorders>
                  <w:noWrap w:val="0"/>
                  <w:vAlign w:val="center"/>
                </w:tcPr>
                <w:p w14:paraId="2A91C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56E8C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776A5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1BB14D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3DF6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dxa"/>
                  <w:vMerge w:val="continue"/>
                  <w:tcBorders>
                    <w:tl2br w:val="nil"/>
                    <w:tr2bl w:val="nil"/>
                  </w:tcBorders>
                  <w:noWrap w:val="0"/>
                  <w:vAlign w:val="center"/>
                </w:tcPr>
                <w:p w14:paraId="7B3EF9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restart"/>
                  <w:tcBorders>
                    <w:tl2br w:val="nil"/>
                    <w:tr2bl w:val="nil"/>
                  </w:tcBorders>
                  <w:noWrap w:val="0"/>
                  <w:vAlign w:val="center"/>
                </w:tcPr>
                <w:p w14:paraId="00E61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免烧砖生产线</w:t>
                  </w:r>
                </w:p>
              </w:tc>
              <w:tc>
                <w:tcPr>
                  <w:tcW w:w="1917" w:type="dxa"/>
                  <w:tcBorders>
                    <w:tl2br w:val="nil"/>
                    <w:tr2bl w:val="nil"/>
                  </w:tcBorders>
                  <w:shd w:val="clear" w:color="auto" w:fill="auto"/>
                  <w:noWrap w:val="0"/>
                  <w:vAlign w:val="center"/>
                </w:tcPr>
                <w:p w14:paraId="2B50F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打碎机</w:t>
                  </w:r>
                </w:p>
              </w:tc>
              <w:tc>
                <w:tcPr>
                  <w:tcW w:w="426" w:type="dxa"/>
                  <w:tcBorders>
                    <w:tl2br w:val="nil"/>
                    <w:tr2bl w:val="nil"/>
                  </w:tcBorders>
                  <w:shd w:val="clear" w:color="auto" w:fill="auto"/>
                  <w:noWrap w:val="0"/>
                  <w:vAlign w:val="center"/>
                </w:tcPr>
                <w:p w14:paraId="39E48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3384C8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4F594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015DC0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212</w:t>
                  </w:r>
                </w:p>
              </w:tc>
              <w:tc>
                <w:tcPr>
                  <w:tcW w:w="575" w:type="dxa"/>
                  <w:tcBorders>
                    <w:tl2br w:val="nil"/>
                    <w:tr2bl w:val="nil"/>
                  </w:tcBorders>
                  <w:shd w:val="clear" w:color="auto" w:fill="auto"/>
                  <w:noWrap w:val="0"/>
                  <w:vAlign w:val="center"/>
                </w:tcPr>
                <w:p w14:paraId="51550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140</w:t>
                  </w:r>
                </w:p>
              </w:tc>
              <w:tc>
                <w:tcPr>
                  <w:tcW w:w="516" w:type="dxa"/>
                  <w:tcBorders>
                    <w:tl2br w:val="nil"/>
                    <w:tr2bl w:val="nil"/>
                  </w:tcBorders>
                  <w:shd w:val="clear" w:color="auto" w:fill="auto"/>
                  <w:noWrap w:val="0"/>
                  <w:vAlign w:val="center"/>
                </w:tcPr>
                <w:p w14:paraId="54A851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0AB618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28</w:t>
                  </w:r>
                </w:p>
              </w:tc>
              <w:tc>
                <w:tcPr>
                  <w:tcW w:w="921" w:type="dxa"/>
                  <w:tcBorders>
                    <w:tl2br w:val="nil"/>
                    <w:tr2bl w:val="nil"/>
                  </w:tcBorders>
                  <w:shd w:val="clear" w:color="auto" w:fill="auto"/>
                  <w:noWrap w:val="0"/>
                  <w:vAlign w:val="center"/>
                </w:tcPr>
                <w:p w14:paraId="1242D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46.1</w:t>
                  </w:r>
                </w:p>
              </w:tc>
              <w:tc>
                <w:tcPr>
                  <w:tcW w:w="800" w:type="dxa"/>
                  <w:vMerge w:val="continue"/>
                  <w:tcBorders>
                    <w:tl2br w:val="nil"/>
                    <w:tr2bl w:val="nil"/>
                  </w:tcBorders>
                  <w:noWrap w:val="0"/>
                  <w:vAlign w:val="center"/>
                </w:tcPr>
                <w:p w14:paraId="4294A3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1090D6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restart"/>
                  <w:tcBorders>
                    <w:tl2br w:val="nil"/>
                    <w:tr2bl w:val="nil"/>
                  </w:tcBorders>
                  <w:noWrap w:val="0"/>
                  <w:vAlign w:val="center"/>
                </w:tcPr>
                <w:p w14:paraId="22835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40.9</w:t>
                  </w:r>
                </w:p>
              </w:tc>
              <w:tc>
                <w:tcPr>
                  <w:tcW w:w="801" w:type="dxa"/>
                  <w:vMerge w:val="restart"/>
                  <w:tcBorders>
                    <w:tl2br w:val="nil"/>
                    <w:tr2bl w:val="nil"/>
                  </w:tcBorders>
                  <w:noWrap w:val="0"/>
                  <w:vAlign w:val="center"/>
                </w:tcPr>
                <w:p w14:paraId="536F0A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1</w:t>
                  </w:r>
                </w:p>
              </w:tc>
            </w:tr>
            <w:tr w14:paraId="54BA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3D8BDF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0829FD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shd w:val="clear" w:color="auto" w:fill="auto"/>
                  <w:noWrap w:val="0"/>
                  <w:vAlign w:val="center"/>
                </w:tcPr>
                <w:p w14:paraId="5D001F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传送带</w:t>
                  </w:r>
                </w:p>
              </w:tc>
              <w:tc>
                <w:tcPr>
                  <w:tcW w:w="426" w:type="dxa"/>
                  <w:tcBorders>
                    <w:tl2br w:val="nil"/>
                    <w:tr2bl w:val="nil"/>
                  </w:tcBorders>
                  <w:shd w:val="clear" w:color="auto" w:fill="auto"/>
                  <w:noWrap w:val="0"/>
                  <w:vAlign w:val="center"/>
                </w:tcPr>
                <w:p w14:paraId="6B332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6AEC9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70</w:t>
                  </w:r>
                </w:p>
              </w:tc>
              <w:tc>
                <w:tcPr>
                  <w:tcW w:w="940" w:type="dxa"/>
                  <w:vMerge w:val="continue"/>
                  <w:tcBorders>
                    <w:tl2br w:val="nil"/>
                    <w:tr2bl w:val="nil"/>
                  </w:tcBorders>
                  <w:noWrap w:val="0"/>
                  <w:vAlign w:val="center"/>
                </w:tcPr>
                <w:p w14:paraId="67FC1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0A3518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212</w:t>
                  </w:r>
                </w:p>
              </w:tc>
              <w:tc>
                <w:tcPr>
                  <w:tcW w:w="575" w:type="dxa"/>
                  <w:tcBorders>
                    <w:tl2br w:val="nil"/>
                    <w:tr2bl w:val="nil"/>
                  </w:tcBorders>
                  <w:shd w:val="clear" w:color="auto" w:fill="auto"/>
                  <w:noWrap w:val="0"/>
                  <w:vAlign w:val="center"/>
                </w:tcPr>
                <w:p w14:paraId="244E3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135</w:t>
                  </w:r>
                </w:p>
              </w:tc>
              <w:tc>
                <w:tcPr>
                  <w:tcW w:w="516" w:type="dxa"/>
                  <w:tcBorders>
                    <w:tl2br w:val="nil"/>
                    <w:tr2bl w:val="nil"/>
                  </w:tcBorders>
                  <w:shd w:val="clear" w:color="auto" w:fill="auto"/>
                  <w:noWrap w:val="0"/>
                  <w:vAlign w:val="center"/>
                </w:tcPr>
                <w:p w14:paraId="2C5EE8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1A3A4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28</w:t>
                  </w:r>
                </w:p>
              </w:tc>
              <w:tc>
                <w:tcPr>
                  <w:tcW w:w="921" w:type="dxa"/>
                  <w:tcBorders>
                    <w:tl2br w:val="nil"/>
                    <w:tr2bl w:val="nil"/>
                  </w:tcBorders>
                  <w:shd w:val="clear" w:color="auto" w:fill="auto"/>
                  <w:noWrap w:val="0"/>
                  <w:vAlign w:val="center"/>
                </w:tcPr>
                <w:p w14:paraId="121153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41.1</w:t>
                  </w:r>
                </w:p>
              </w:tc>
              <w:tc>
                <w:tcPr>
                  <w:tcW w:w="800" w:type="dxa"/>
                  <w:vMerge w:val="continue"/>
                  <w:tcBorders>
                    <w:tl2br w:val="nil"/>
                    <w:tr2bl w:val="nil"/>
                  </w:tcBorders>
                  <w:noWrap w:val="0"/>
                  <w:vAlign w:val="center"/>
                </w:tcPr>
                <w:p w14:paraId="262576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7DB00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37680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63ADF7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01FC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004062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3DEF2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shd w:val="clear" w:color="auto" w:fill="auto"/>
                  <w:noWrap w:val="0"/>
                  <w:vAlign w:val="center"/>
                </w:tcPr>
                <w:p w14:paraId="58A0A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免烧砖压型机</w:t>
                  </w:r>
                </w:p>
              </w:tc>
              <w:tc>
                <w:tcPr>
                  <w:tcW w:w="426" w:type="dxa"/>
                  <w:tcBorders>
                    <w:tl2br w:val="nil"/>
                    <w:tr2bl w:val="nil"/>
                  </w:tcBorders>
                  <w:shd w:val="clear" w:color="auto" w:fill="auto"/>
                  <w:noWrap w:val="0"/>
                  <w:vAlign w:val="center"/>
                </w:tcPr>
                <w:p w14:paraId="29BFB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3455D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80</w:t>
                  </w:r>
                </w:p>
              </w:tc>
              <w:tc>
                <w:tcPr>
                  <w:tcW w:w="940" w:type="dxa"/>
                  <w:vMerge w:val="continue"/>
                  <w:tcBorders>
                    <w:tl2br w:val="nil"/>
                    <w:tr2bl w:val="nil"/>
                  </w:tcBorders>
                  <w:noWrap w:val="0"/>
                  <w:vAlign w:val="center"/>
                </w:tcPr>
                <w:p w14:paraId="302589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242B1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210</w:t>
                  </w:r>
                </w:p>
              </w:tc>
              <w:tc>
                <w:tcPr>
                  <w:tcW w:w="575" w:type="dxa"/>
                  <w:tcBorders>
                    <w:tl2br w:val="nil"/>
                    <w:tr2bl w:val="nil"/>
                  </w:tcBorders>
                  <w:shd w:val="clear" w:color="auto" w:fill="auto"/>
                  <w:noWrap w:val="0"/>
                  <w:vAlign w:val="center"/>
                </w:tcPr>
                <w:p w14:paraId="07494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130</w:t>
                  </w:r>
                </w:p>
              </w:tc>
              <w:tc>
                <w:tcPr>
                  <w:tcW w:w="516" w:type="dxa"/>
                  <w:tcBorders>
                    <w:tl2br w:val="nil"/>
                    <w:tr2bl w:val="nil"/>
                  </w:tcBorders>
                  <w:shd w:val="clear" w:color="auto" w:fill="auto"/>
                  <w:noWrap w:val="0"/>
                  <w:vAlign w:val="center"/>
                </w:tcPr>
                <w:p w14:paraId="0E8ED9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143CC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30</w:t>
                  </w:r>
                </w:p>
              </w:tc>
              <w:tc>
                <w:tcPr>
                  <w:tcW w:w="921" w:type="dxa"/>
                  <w:tcBorders>
                    <w:tl2br w:val="nil"/>
                    <w:tr2bl w:val="nil"/>
                  </w:tcBorders>
                  <w:shd w:val="clear" w:color="auto" w:fill="auto"/>
                  <w:noWrap w:val="0"/>
                  <w:vAlign w:val="center"/>
                </w:tcPr>
                <w:p w14:paraId="3E099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40.5</w:t>
                  </w:r>
                </w:p>
              </w:tc>
              <w:tc>
                <w:tcPr>
                  <w:tcW w:w="800" w:type="dxa"/>
                  <w:vMerge w:val="continue"/>
                  <w:tcBorders>
                    <w:tl2br w:val="nil"/>
                    <w:tr2bl w:val="nil"/>
                  </w:tcBorders>
                  <w:noWrap w:val="0"/>
                  <w:vAlign w:val="center"/>
                </w:tcPr>
                <w:p w14:paraId="037902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2D000F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3FB88B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25F66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1A4D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2A0590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vMerge w:val="continue"/>
                  <w:tcBorders>
                    <w:tl2br w:val="nil"/>
                    <w:tr2bl w:val="nil"/>
                  </w:tcBorders>
                  <w:noWrap w:val="0"/>
                  <w:vAlign w:val="center"/>
                </w:tcPr>
                <w:p w14:paraId="7CFD1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917" w:type="dxa"/>
                  <w:tcBorders>
                    <w:tl2br w:val="nil"/>
                    <w:tr2bl w:val="nil"/>
                  </w:tcBorders>
                  <w:shd w:val="clear" w:color="auto" w:fill="auto"/>
                  <w:noWrap w:val="0"/>
                  <w:vAlign w:val="center"/>
                </w:tcPr>
                <w:p w14:paraId="72AABB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搅拌机</w:t>
                  </w:r>
                </w:p>
              </w:tc>
              <w:tc>
                <w:tcPr>
                  <w:tcW w:w="426" w:type="dxa"/>
                  <w:tcBorders>
                    <w:tl2br w:val="nil"/>
                    <w:tr2bl w:val="nil"/>
                  </w:tcBorders>
                  <w:shd w:val="clear" w:color="auto" w:fill="auto"/>
                  <w:noWrap w:val="0"/>
                  <w:vAlign w:val="center"/>
                </w:tcPr>
                <w:p w14:paraId="6AD6FE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1244" w:type="dxa"/>
                  <w:tcBorders>
                    <w:tl2br w:val="nil"/>
                    <w:tr2bl w:val="nil"/>
                  </w:tcBorders>
                  <w:shd w:val="clear" w:color="auto" w:fill="auto"/>
                  <w:noWrap w:val="0"/>
                  <w:vAlign w:val="center"/>
                </w:tcPr>
                <w:p w14:paraId="737CC4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75</w:t>
                  </w:r>
                </w:p>
              </w:tc>
              <w:tc>
                <w:tcPr>
                  <w:tcW w:w="940" w:type="dxa"/>
                  <w:vMerge w:val="continue"/>
                  <w:tcBorders>
                    <w:tl2br w:val="nil"/>
                    <w:tr2bl w:val="nil"/>
                  </w:tcBorders>
                  <w:noWrap w:val="0"/>
                  <w:vAlign w:val="center"/>
                </w:tcPr>
                <w:p w14:paraId="72048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shd w:val="clear" w:color="auto" w:fill="auto"/>
                  <w:noWrap w:val="0"/>
                  <w:vAlign w:val="center"/>
                </w:tcPr>
                <w:p w14:paraId="502EE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210</w:t>
                  </w:r>
                </w:p>
              </w:tc>
              <w:tc>
                <w:tcPr>
                  <w:tcW w:w="575" w:type="dxa"/>
                  <w:tcBorders>
                    <w:tl2br w:val="nil"/>
                    <w:tr2bl w:val="nil"/>
                  </w:tcBorders>
                  <w:shd w:val="clear" w:color="auto" w:fill="auto"/>
                  <w:noWrap w:val="0"/>
                  <w:vAlign w:val="center"/>
                </w:tcPr>
                <w:p w14:paraId="1AE11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132</w:t>
                  </w:r>
                </w:p>
              </w:tc>
              <w:tc>
                <w:tcPr>
                  <w:tcW w:w="516" w:type="dxa"/>
                  <w:tcBorders>
                    <w:tl2br w:val="nil"/>
                    <w:tr2bl w:val="nil"/>
                  </w:tcBorders>
                  <w:shd w:val="clear" w:color="auto" w:fill="auto"/>
                  <w:noWrap w:val="0"/>
                  <w:vAlign w:val="center"/>
                </w:tcPr>
                <w:p w14:paraId="62BCD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shd w:val="clear" w:color="auto" w:fill="auto"/>
                  <w:noWrap w:val="0"/>
                  <w:vAlign w:val="center"/>
                </w:tcPr>
                <w:p w14:paraId="55917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30</w:t>
                  </w:r>
                </w:p>
              </w:tc>
              <w:tc>
                <w:tcPr>
                  <w:tcW w:w="921" w:type="dxa"/>
                  <w:tcBorders>
                    <w:tl2br w:val="nil"/>
                    <w:tr2bl w:val="nil"/>
                  </w:tcBorders>
                  <w:shd w:val="clear" w:color="auto" w:fill="auto"/>
                  <w:noWrap w:val="0"/>
                  <w:vAlign w:val="center"/>
                </w:tcPr>
                <w:p w14:paraId="4C1F0C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45.5</w:t>
                  </w:r>
                </w:p>
              </w:tc>
              <w:tc>
                <w:tcPr>
                  <w:tcW w:w="800" w:type="dxa"/>
                  <w:vMerge w:val="continue"/>
                  <w:tcBorders>
                    <w:tl2br w:val="nil"/>
                    <w:tr2bl w:val="nil"/>
                  </w:tcBorders>
                  <w:noWrap w:val="0"/>
                  <w:vAlign w:val="center"/>
                </w:tcPr>
                <w:p w14:paraId="3AF645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shd w:val="clear" w:color="auto" w:fill="auto"/>
                  <w:noWrap w:val="0"/>
                  <w:vAlign w:val="center"/>
                </w:tcPr>
                <w:p w14:paraId="0B6D3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18"/>
                      <w:szCs w:val="18"/>
                      <w:highlight w:val="none"/>
                      <w:vertAlign w:val="baseline"/>
                      <w:lang w:val="en-US" w:eastAsia="zh-CN" w:bidi="ar-SA"/>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vMerge w:val="continue"/>
                  <w:tcBorders>
                    <w:tl2br w:val="nil"/>
                    <w:tr2bl w:val="nil"/>
                  </w:tcBorders>
                  <w:noWrap w:val="0"/>
                  <w:vAlign w:val="center"/>
                </w:tcPr>
                <w:p w14:paraId="172073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801" w:type="dxa"/>
                  <w:vMerge w:val="continue"/>
                  <w:tcBorders>
                    <w:tl2br w:val="nil"/>
                    <w:tr2bl w:val="nil"/>
                  </w:tcBorders>
                  <w:noWrap w:val="0"/>
                  <w:vAlign w:val="center"/>
                </w:tcPr>
                <w:p w14:paraId="6B161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r>
            <w:tr w14:paraId="7DF9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1" w:type="dxa"/>
                  <w:vMerge w:val="continue"/>
                  <w:tcBorders>
                    <w:tl2br w:val="nil"/>
                    <w:tr2bl w:val="nil"/>
                  </w:tcBorders>
                  <w:noWrap w:val="0"/>
                  <w:vAlign w:val="center"/>
                </w:tcPr>
                <w:p w14:paraId="461D6E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224" w:type="dxa"/>
                  <w:tcBorders>
                    <w:tl2br w:val="nil"/>
                    <w:tr2bl w:val="nil"/>
                  </w:tcBorders>
                  <w:noWrap w:val="0"/>
                  <w:vAlign w:val="center"/>
                </w:tcPr>
                <w:p w14:paraId="23937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lang w:val="en-US" w:eastAsia="zh-CN"/>
                    </w:rPr>
                    <w:t>废气治理</w:t>
                  </w:r>
                </w:p>
              </w:tc>
              <w:tc>
                <w:tcPr>
                  <w:tcW w:w="1917" w:type="dxa"/>
                  <w:tcBorders>
                    <w:tl2br w:val="nil"/>
                    <w:tr2bl w:val="nil"/>
                  </w:tcBorders>
                  <w:noWrap w:val="0"/>
                  <w:vAlign w:val="center"/>
                </w:tcPr>
                <w:p w14:paraId="1E0DB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风机</w:t>
                  </w:r>
                </w:p>
              </w:tc>
              <w:tc>
                <w:tcPr>
                  <w:tcW w:w="426" w:type="dxa"/>
                  <w:tcBorders>
                    <w:tl2br w:val="nil"/>
                    <w:tr2bl w:val="nil"/>
                  </w:tcBorders>
                  <w:noWrap w:val="0"/>
                  <w:vAlign w:val="center"/>
                </w:tcPr>
                <w:p w14:paraId="12586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cs="Times New Roman"/>
                      <w:color w:val="000000"/>
                      <w:sz w:val="18"/>
                      <w:szCs w:val="18"/>
                      <w:highlight w:val="none"/>
                      <w:vertAlign w:val="baseline"/>
                      <w:lang w:val="en-US" w:eastAsia="zh-CN"/>
                    </w:rPr>
                    <w:t>3</w:t>
                  </w:r>
                </w:p>
              </w:tc>
              <w:tc>
                <w:tcPr>
                  <w:tcW w:w="1244" w:type="dxa"/>
                  <w:tcBorders>
                    <w:tl2br w:val="nil"/>
                    <w:tr2bl w:val="nil"/>
                  </w:tcBorders>
                  <w:noWrap w:val="0"/>
                  <w:vAlign w:val="center"/>
                </w:tcPr>
                <w:p w14:paraId="3AD041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90</w:t>
                  </w:r>
                </w:p>
              </w:tc>
              <w:tc>
                <w:tcPr>
                  <w:tcW w:w="940" w:type="dxa"/>
                  <w:vMerge w:val="continue"/>
                  <w:tcBorders>
                    <w:tl2br w:val="nil"/>
                    <w:tr2bl w:val="nil"/>
                  </w:tcBorders>
                  <w:noWrap w:val="0"/>
                  <w:vAlign w:val="center"/>
                </w:tcPr>
                <w:p w14:paraId="669A0B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586" w:type="dxa"/>
                  <w:tcBorders>
                    <w:tl2br w:val="nil"/>
                    <w:tr2bl w:val="nil"/>
                  </w:tcBorders>
                  <w:noWrap w:val="0"/>
                  <w:vAlign w:val="center"/>
                </w:tcPr>
                <w:p w14:paraId="1813C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55</w:t>
                  </w:r>
                </w:p>
              </w:tc>
              <w:tc>
                <w:tcPr>
                  <w:tcW w:w="575" w:type="dxa"/>
                  <w:tcBorders>
                    <w:tl2br w:val="nil"/>
                    <w:tr2bl w:val="nil"/>
                  </w:tcBorders>
                  <w:noWrap w:val="0"/>
                  <w:vAlign w:val="center"/>
                </w:tcPr>
                <w:p w14:paraId="5248D2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102</w:t>
                  </w:r>
                </w:p>
              </w:tc>
              <w:tc>
                <w:tcPr>
                  <w:tcW w:w="516" w:type="dxa"/>
                  <w:tcBorders>
                    <w:tl2br w:val="nil"/>
                    <w:tr2bl w:val="nil"/>
                  </w:tcBorders>
                  <w:noWrap w:val="0"/>
                  <w:vAlign w:val="center"/>
                </w:tcPr>
                <w:p w14:paraId="5D7EB7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w:t>
                  </w:r>
                </w:p>
              </w:tc>
              <w:tc>
                <w:tcPr>
                  <w:tcW w:w="664" w:type="dxa"/>
                  <w:tcBorders>
                    <w:tl2br w:val="nil"/>
                    <w:tr2bl w:val="nil"/>
                  </w:tcBorders>
                  <w:noWrap w:val="0"/>
                  <w:vAlign w:val="center"/>
                </w:tcPr>
                <w:p w14:paraId="37D380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55</w:t>
                  </w:r>
                </w:p>
              </w:tc>
              <w:tc>
                <w:tcPr>
                  <w:tcW w:w="921" w:type="dxa"/>
                  <w:tcBorders>
                    <w:tl2br w:val="nil"/>
                    <w:tr2bl w:val="nil"/>
                  </w:tcBorders>
                  <w:noWrap w:val="0"/>
                  <w:vAlign w:val="center"/>
                </w:tcPr>
                <w:p w14:paraId="75ECEA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55.2</w:t>
                  </w:r>
                </w:p>
              </w:tc>
              <w:tc>
                <w:tcPr>
                  <w:tcW w:w="800" w:type="dxa"/>
                  <w:vMerge w:val="continue"/>
                  <w:tcBorders>
                    <w:tl2br w:val="nil"/>
                    <w:tr2bl w:val="nil"/>
                  </w:tcBorders>
                  <w:noWrap w:val="0"/>
                  <w:vAlign w:val="center"/>
                </w:tcPr>
                <w:p w14:paraId="5EAED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p>
              </w:tc>
              <w:tc>
                <w:tcPr>
                  <w:tcW w:w="1063" w:type="dxa"/>
                  <w:tcBorders>
                    <w:tl2br w:val="nil"/>
                    <w:tr2bl w:val="nil"/>
                  </w:tcBorders>
                  <w:noWrap w:val="0"/>
                  <w:vAlign w:val="center"/>
                </w:tcPr>
                <w:p w14:paraId="4BF0A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10</w:t>
                  </w:r>
                </w:p>
              </w:tc>
              <w:tc>
                <w:tcPr>
                  <w:tcW w:w="812" w:type="dxa"/>
                  <w:tcBorders>
                    <w:tl2br w:val="nil"/>
                    <w:tr2bl w:val="nil"/>
                  </w:tcBorders>
                  <w:noWrap w:val="0"/>
                  <w:vAlign w:val="center"/>
                </w:tcPr>
                <w:p w14:paraId="0A5AF1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45.2</w:t>
                  </w:r>
                </w:p>
              </w:tc>
              <w:tc>
                <w:tcPr>
                  <w:tcW w:w="801" w:type="dxa"/>
                  <w:tcBorders>
                    <w:tl2br w:val="nil"/>
                    <w:tr2bl w:val="nil"/>
                  </w:tcBorders>
                  <w:noWrap w:val="0"/>
                  <w:vAlign w:val="center"/>
                </w:tcPr>
                <w:p w14:paraId="77F6E4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宋体" w:cs="Times New Roman"/>
                      <w:color w:val="000000"/>
                      <w:sz w:val="18"/>
                      <w:szCs w:val="18"/>
                      <w:highlight w:val="none"/>
                      <w:vertAlign w:val="baseline"/>
                      <w:lang w:val="en-US" w:eastAsia="zh-CN"/>
                    </w:rPr>
                  </w:pPr>
                  <w:r>
                    <w:rPr>
                      <w:rFonts w:hint="default" w:ascii="Times New Roman" w:hAnsi="Times New Roman" w:eastAsia="宋体" w:cs="Times New Roman"/>
                      <w:color w:val="000000"/>
                      <w:sz w:val="18"/>
                      <w:szCs w:val="18"/>
                      <w:highlight w:val="none"/>
                      <w:vertAlign w:val="baseline"/>
                      <w:lang w:val="en-US" w:eastAsia="zh-CN"/>
                    </w:rPr>
                    <w:t>38</w:t>
                  </w:r>
                </w:p>
              </w:tc>
            </w:tr>
          </w:tbl>
          <w:p w14:paraId="6CF90DCC">
            <w:pPr>
              <w:pStyle w:val="41"/>
              <w:keepNext w:val="0"/>
              <w:keepLines w:val="0"/>
              <w:suppressLineNumbers w:val="0"/>
              <w:spacing w:before="0" w:beforeAutospacing="0" w:after="0" w:afterAutospacing="0"/>
              <w:ind w:left="0" w:right="0"/>
              <w:rPr>
                <w:rFonts w:hint="default" w:ascii="Times New Roman" w:hAnsi="Times New Roman" w:cs="Times New Roman"/>
                <w:color w:val="000000"/>
                <w:highlight w:val="none"/>
                <w:lang w:val="en-US" w:eastAsia="zh-CN"/>
              </w:rPr>
            </w:pPr>
          </w:p>
          <w:p w14:paraId="22D7BD59">
            <w:pPr>
              <w:pStyle w:val="41"/>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0000FF"/>
                <w:highlight w:val="none"/>
                <w:lang w:val="en-US" w:eastAsia="zh-CN"/>
              </w:rPr>
            </w:pPr>
          </w:p>
          <w:p w14:paraId="7F9DB43D">
            <w:pPr>
              <w:pStyle w:val="41"/>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0000FF"/>
                <w:highlight w:val="none"/>
                <w:lang w:val="en-US" w:eastAsia="zh-CN"/>
              </w:rPr>
            </w:pPr>
          </w:p>
        </w:tc>
      </w:tr>
    </w:tbl>
    <w:p w14:paraId="64B7E0E8">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8"/>
          <w:szCs w:val="28"/>
          <w:highlight w:val="green"/>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8385"/>
      </w:tblGrid>
      <w:tr w14:paraId="07025E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523" w:type="dxa"/>
            <w:noWrap w:val="0"/>
            <w:tcMar>
              <w:left w:w="28" w:type="dxa"/>
              <w:right w:w="28" w:type="dxa"/>
            </w:tcMar>
            <w:vAlign w:val="center"/>
          </w:tcPr>
          <w:p w14:paraId="32621BB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运营</w:t>
            </w:r>
          </w:p>
          <w:p w14:paraId="4187E01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期环</w:t>
            </w:r>
          </w:p>
          <w:p w14:paraId="2576AB4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境影</w:t>
            </w:r>
          </w:p>
          <w:p w14:paraId="368464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响和</w:t>
            </w:r>
          </w:p>
          <w:p w14:paraId="5366BBE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保护</w:t>
            </w:r>
          </w:p>
          <w:p w14:paraId="2EAAABA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FF"/>
                <w:szCs w:val="21"/>
                <w:highlight w:val="none"/>
              </w:rPr>
            </w:pPr>
            <w:r>
              <w:rPr>
                <w:rFonts w:hint="default" w:ascii="Times New Roman" w:hAnsi="Times New Roman" w:cs="Times New Roman"/>
                <w:bCs/>
                <w:color w:val="000000"/>
                <w:szCs w:val="21"/>
                <w:highlight w:val="none"/>
              </w:rPr>
              <w:t>措施</w:t>
            </w:r>
          </w:p>
        </w:tc>
        <w:tc>
          <w:tcPr>
            <w:tcW w:w="8385" w:type="dxa"/>
            <w:noWrap w:val="0"/>
            <w:vAlign w:val="center"/>
          </w:tcPr>
          <w:p w14:paraId="56142733">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（2）厂界噪声影响预测及达标分析</w:t>
            </w:r>
          </w:p>
          <w:p w14:paraId="3DA7416D">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1）预测模式</w:t>
            </w:r>
          </w:p>
          <w:p w14:paraId="139521EB">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采用《环境影响评价技术导则声环境》（HJ2.4-2021）推荐的方法和模式进行预测。</w:t>
            </w:r>
          </w:p>
          <w:p w14:paraId="7B6C13B8">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室内声源等效室外声源声功率级计算 </w:t>
            </w:r>
          </w:p>
          <w:p w14:paraId="5A60F228">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室内声源首先换算为等效室外声源，再按各类声源模式计算。 </w:t>
            </w:r>
          </w:p>
          <w:p w14:paraId="1FEA3A73">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①首先计算出某个室内声源靠近围护结构处的倍频带声压级：</w:t>
            </w:r>
          </w:p>
          <w:p w14:paraId="357834E9">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pict>
                <v:shape id="对象 850" o:spid="_x0000_s1027" o:spt="75" type="#_x0000_t75" style="position:absolute;left:0pt;margin-left:52.55pt;margin-top:6.4pt;height:34pt;width:135.05pt;mso-wrap-distance-bottom:0pt;mso-wrap-distance-left:9pt;mso-wrap-distance-right:9pt;mso-wrap-distance-top:0pt;z-index:251659264;mso-width-relative:page;mso-height-relative:page;" o:ole="t" filled="f" o:preferrelative="t" stroked="f" coordsize="21600,21600">
                  <v:path/>
                  <v:fill on="f" focussize="0,0"/>
                  <v:stroke on="f"/>
                  <v:imagedata r:id="rId22" o:title=""/>
                  <o:lock v:ext="edit" aspectratio="t"/>
                  <w10:wrap type="square"/>
                </v:shape>
                <o:OLEObject Type="Embed" ProgID="Equation.3" ShapeID="对象 850" DrawAspect="Content" ObjectID="_1468075730" r:id="rId21">
                  <o:LockedField>false</o:LockedField>
                </o:OLEObject>
              </w:pict>
            </w:r>
          </w:p>
          <w:p w14:paraId="32510526">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p>
          <w:p w14:paraId="7FF31241">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式中： Lp1——靠近开口（或窗户）处室内某倍频带声压级，dB； </w:t>
            </w:r>
          </w:p>
          <w:p w14:paraId="559B1C7A">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Lw ——声源声功率级，dB； </w:t>
            </w:r>
          </w:p>
          <w:p w14:paraId="3E9C10A9">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r ——声源到靠近围护结构某点处的距离，m； </w:t>
            </w:r>
          </w:p>
          <w:p w14:paraId="504C17BF">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Q——指向性因数，通常对无指向性声源，当声源放在房间中心时，Q=1；当放在一面墙的中心时，Q=2；当放在两面墙夹角处时，Q=4；当放在三面墙夹角处时，Q=8； </w:t>
            </w:r>
          </w:p>
          <w:p w14:paraId="255ED083">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R ——房间常数，R=S</w:t>
            </w:r>
            <w:r>
              <w:rPr>
                <w:rFonts w:hint="default" w:ascii="Times New Roman" w:hAnsi="Times New Roman" w:cs="Times New Roman"/>
                <w:color w:val="000000"/>
                <w:sz w:val="24"/>
                <w:szCs w:val="24"/>
                <w:highlight w:val="none"/>
              </w:rPr>
              <w:t>α</w:t>
            </w:r>
            <w:r>
              <w:rPr>
                <w:rFonts w:hint="default" w:ascii="Times New Roman" w:hAnsi="Times New Roman" w:cs="Times New Roman"/>
                <w:color w:val="000000"/>
                <w:sz w:val="24"/>
                <w:szCs w:val="24"/>
                <w:highlight w:val="none"/>
                <w:lang w:val="en-US" w:eastAsia="zh-CN"/>
              </w:rPr>
              <w:t>/(1-</w:t>
            </w:r>
            <w:r>
              <w:rPr>
                <w:rFonts w:hint="default" w:ascii="Times New Roman" w:hAnsi="Times New Roman" w:cs="Times New Roman"/>
                <w:color w:val="000000"/>
                <w:sz w:val="24"/>
                <w:szCs w:val="24"/>
                <w:highlight w:val="none"/>
              </w:rPr>
              <w:t>α</w:t>
            </w:r>
            <w:r>
              <w:rPr>
                <w:rFonts w:hint="eastAsia"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，S为房间内表面面积，m</w:t>
            </w:r>
            <w:r>
              <w:rPr>
                <w:rFonts w:hint="default" w:ascii="Times New Roman" w:hAnsi="Times New Roman" w:cs="Times New Roman"/>
                <w:color w:val="000000"/>
                <w:sz w:val="24"/>
                <w:szCs w:val="24"/>
                <w:highlight w:val="none"/>
                <w:vertAlign w:val="superscript"/>
                <w:lang w:val="en-US" w:eastAsia="zh-CN"/>
              </w:rPr>
              <w:t>2</w:t>
            </w:r>
            <w:r>
              <w:rPr>
                <w:rFonts w:hint="default" w:ascii="Times New Roman" w:hAnsi="Times New Roman" w:cs="Times New Roman"/>
                <w:color w:val="000000"/>
                <w:sz w:val="24"/>
                <w:szCs w:val="24"/>
                <w:highlight w:val="none"/>
                <w:lang w:val="en-US" w:eastAsia="zh-CN"/>
              </w:rPr>
              <w:t>，</w:t>
            </w:r>
            <w:r>
              <w:rPr>
                <w:rFonts w:hint="default" w:ascii="Times New Roman" w:hAnsi="Times New Roman" w:cs="Times New Roman"/>
                <w:color w:val="000000"/>
                <w:sz w:val="24"/>
                <w:szCs w:val="24"/>
                <w:highlight w:val="none"/>
              </w:rPr>
              <w:t>α</w:t>
            </w:r>
            <w:r>
              <w:rPr>
                <w:rFonts w:hint="default" w:ascii="Times New Roman" w:hAnsi="Times New Roman" w:cs="Times New Roman"/>
                <w:color w:val="000000"/>
                <w:sz w:val="24"/>
                <w:szCs w:val="24"/>
                <w:highlight w:val="none"/>
                <w:lang w:val="en-US" w:eastAsia="zh-CN"/>
              </w:rPr>
              <w:t xml:space="preserve">为平均吸声系数。 </w:t>
            </w:r>
          </w:p>
          <w:p w14:paraId="647BD511">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②计算出所有室内声源在围护结构处产生的i倍频带叠加声压级： </w:t>
            </w:r>
          </w:p>
          <w:p w14:paraId="09616773">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object>
                <v:shape id="_x0000_i1030" o:spt="75" type="#_x0000_t75" style="height:35pt;width:131pt;" o:ole="t" filled="f" o:preferrelative="t" stroked="f" coordsize="21600,21600">
                  <v:path/>
                  <v:fill on="f" focussize="0,0"/>
                  <v:stroke on="f"/>
                  <v:imagedata r:id="rId24" o:title=""/>
                  <o:lock v:ext="edit" grouping="f" rotation="f" text="f" aspectratio="t"/>
                  <w10:wrap type="none"/>
                  <w10:anchorlock/>
                </v:shape>
                <o:OLEObject Type="Embed" ProgID="Equation.3" ShapeID="_x0000_i1030" DrawAspect="Content" ObjectID="_1468075731" r:id="rId23">
                  <o:LockedField>false</o:LockedField>
                </o:OLEObject>
              </w:object>
            </w:r>
          </w:p>
          <w:p w14:paraId="44DD3F2E">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式中： Lp1i(T)——靠近围护结构处室内N个声源i倍频带的叠加声压级，dB； </w:t>
            </w:r>
          </w:p>
          <w:p w14:paraId="3547C610">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Lp1ij ——室内j声源i倍频带的声压级，dB； </w:t>
            </w:r>
          </w:p>
          <w:p w14:paraId="5AD84739">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N ——室内声源总数。 </w:t>
            </w:r>
          </w:p>
          <w:p w14:paraId="5E5C7BE9">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③计算出室外靠近围护结构处的声压级： </w:t>
            </w:r>
          </w:p>
          <w:p w14:paraId="46FC6899">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Lp2i(T)=Lp1i(T) - (TLi + 6) </w:t>
            </w:r>
          </w:p>
          <w:p w14:paraId="02D822F2">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式中：Lp2i(T)——靠近围护结构处室外N个声源i倍频带的叠加声压级，dB； </w:t>
            </w:r>
          </w:p>
          <w:p w14:paraId="52872143">
            <w:pPr>
              <w:keepNext w:val="0"/>
              <w:keepLines w:val="0"/>
              <w:pageBreakBefore w:val="0"/>
              <w:suppressLineNumbers w:val="0"/>
              <w:kinsoku/>
              <w:wordWrap/>
              <w:overflowPunct/>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TLi ——围护结构i倍频带的隔声量，dB； </w:t>
            </w:r>
          </w:p>
          <w:p w14:paraId="65D6D1B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④将室外声源的声压级和透过面积换算成等效的室外声源，计算出中心位置位于透声面积（S）处的等效声源的倍频带声功率级。 </w:t>
            </w:r>
          </w:p>
          <w:p w14:paraId="365971C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Lw=Lp2 (T ) +10lgS</w:t>
            </w:r>
          </w:p>
          <w:p w14:paraId="0C1A7D6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lang w:val="en-US"/>
              </w:rPr>
            </w:pPr>
            <w:r>
              <w:rPr>
                <w:rFonts w:hint="default" w:ascii="Times New Roman" w:hAnsi="Times New Roman" w:cs="Times New Roman"/>
                <w:color w:val="000000"/>
                <w:sz w:val="24"/>
                <w:szCs w:val="24"/>
                <w:highlight w:val="none"/>
                <w:lang w:val="en-US" w:eastAsia="zh-CN"/>
              </w:rPr>
              <w:t>⑤按室外声源预测方法计算预测点处的A声级。</w:t>
            </w:r>
          </w:p>
          <w:p w14:paraId="77F7F43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2）计算总声压级 </w:t>
            </w:r>
          </w:p>
          <w:p w14:paraId="00D4520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①计算项目各室外噪声源和各含噪声源厂房对各预测点噪声贡献值 </w:t>
            </w:r>
          </w:p>
          <w:p w14:paraId="21DAD46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 xml:space="preserve">设第i个室外声源在预测点产生的A声级为LAi，在T时间内该声源工作时间为ti；第j个等效室外声源在预测点产生的A声级为LAj，在T时间内该声源工作时间为t j，则本项目声源对预测点产生的贡献值（ Leqg ）为： </w:t>
            </w:r>
          </w:p>
          <w:p w14:paraId="417A311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drawing>
                <wp:anchor distT="0" distB="0" distL="114300" distR="114300" simplePos="0" relativeHeight="251660288" behindDoc="0" locked="0" layoutInCell="1" allowOverlap="1">
                  <wp:simplePos x="0" y="0"/>
                  <wp:positionH relativeFrom="column">
                    <wp:posOffset>257175</wp:posOffset>
                  </wp:positionH>
                  <wp:positionV relativeFrom="paragraph">
                    <wp:posOffset>7620</wp:posOffset>
                  </wp:positionV>
                  <wp:extent cx="2789555" cy="544195"/>
                  <wp:effectExtent l="0" t="0" r="10795" b="8255"/>
                  <wp:wrapTopAndBottom/>
                  <wp:docPr id="5" name="图片 71" descr="165908177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1" descr="1659081775180"/>
                          <pic:cNvPicPr>
                            <a:picLocks noChangeAspect="1"/>
                          </pic:cNvPicPr>
                        </pic:nvPicPr>
                        <pic:blipFill>
                          <a:blip r:embed="rId25"/>
                          <a:stretch>
                            <a:fillRect/>
                          </a:stretch>
                        </pic:blipFill>
                        <pic:spPr>
                          <a:xfrm>
                            <a:off x="0" y="0"/>
                            <a:ext cx="2789555" cy="544195"/>
                          </a:xfrm>
                          <a:prstGeom prst="rect">
                            <a:avLst/>
                          </a:prstGeom>
                          <a:noFill/>
                          <a:ln>
                            <a:noFill/>
                          </a:ln>
                        </pic:spPr>
                      </pic:pic>
                    </a:graphicData>
                  </a:graphic>
                </wp:anchor>
              </w:drawing>
            </w:r>
            <w:r>
              <w:rPr>
                <w:rFonts w:hint="default" w:ascii="Times New Roman" w:hAnsi="Times New Roman" w:cs="Times New Roman"/>
                <w:color w:val="000000"/>
                <w:sz w:val="24"/>
                <w:szCs w:val="24"/>
                <w:highlight w:val="none"/>
                <w:lang w:val="en-US" w:eastAsia="zh-CN"/>
              </w:rPr>
              <w:t xml:space="preserve">②预测点的噪声预测值 </w:t>
            </w:r>
          </w:p>
          <w:p w14:paraId="7363833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drawing>
                <wp:anchor distT="0" distB="0" distL="114300" distR="114300" simplePos="0" relativeHeight="251661312" behindDoc="0" locked="0" layoutInCell="1" allowOverlap="1">
                  <wp:simplePos x="0" y="0"/>
                  <wp:positionH relativeFrom="column">
                    <wp:posOffset>391795</wp:posOffset>
                  </wp:positionH>
                  <wp:positionV relativeFrom="paragraph">
                    <wp:posOffset>40005</wp:posOffset>
                  </wp:positionV>
                  <wp:extent cx="2008505" cy="365760"/>
                  <wp:effectExtent l="0" t="0" r="10795" b="15240"/>
                  <wp:wrapTopAndBottom/>
                  <wp:docPr id="4" name="图片 83" descr="165908186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3" descr="1659081860842"/>
                          <pic:cNvPicPr>
                            <a:picLocks noChangeAspect="1"/>
                          </pic:cNvPicPr>
                        </pic:nvPicPr>
                        <pic:blipFill>
                          <a:blip r:embed="rId26"/>
                          <a:stretch>
                            <a:fillRect/>
                          </a:stretch>
                        </pic:blipFill>
                        <pic:spPr>
                          <a:xfrm>
                            <a:off x="0" y="0"/>
                            <a:ext cx="2008505" cy="365760"/>
                          </a:xfrm>
                          <a:prstGeom prst="rect">
                            <a:avLst/>
                          </a:prstGeom>
                          <a:noFill/>
                          <a:ln>
                            <a:noFill/>
                          </a:ln>
                        </pic:spPr>
                      </pic:pic>
                    </a:graphicData>
                  </a:graphic>
                </wp:anchor>
              </w:drawing>
            </w:r>
            <w:r>
              <w:rPr>
                <w:rFonts w:hint="default" w:ascii="Times New Roman" w:hAnsi="Times New Roman" w:cs="Times New Roman"/>
                <w:color w:val="000000"/>
                <w:sz w:val="24"/>
                <w:szCs w:val="24"/>
                <w:highlight w:val="none"/>
                <w:lang w:val="en-US" w:eastAsia="zh-CN"/>
              </w:rPr>
              <w:t>式中：L</w:t>
            </w:r>
            <w:r>
              <w:rPr>
                <w:rFonts w:hint="default" w:ascii="Times New Roman" w:hAnsi="Times New Roman" w:cs="Times New Roman"/>
                <w:color w:val="000000"/>
                <w:sz w:val="24"/>
                <w:szCs w:val="24"/>
                <w:highlight w:val="none"/>
                <w:vertAlign w:val="subscript"/>
                <w:lang w:val="en-US" w:eastAsia="zh-CN"/>
              </w:rPr>
              <w:t>eqg</w:t>
            </w:r>
            <w:r>
              <w:rPr>
                <w:rFonts w:hint="default" w:ascii="Times New Roman" w:hAnsi="Times New Roman" w:cs="Times New Roman"/>
                <w:color w:val="000000"/>
                <w:sz w:val="24"/>
                <w:szCs w:val="24"/>
                <w:highlight w:val="none"/>
                <w:lang w:val="en-US" w:eastAsia="zh-CN"/>
              </w:rPr>
              <w:t xml:space="preserve"> ——建设项目声源在预测点产生的噪声贡献值，dB(A</w:t>
            </w:r>
            <w:r>
              <w:rPr>
                <w:rFonts w:hint="eastAsia" w:cs="Times New Roman"/>
                <w:color w:val="000000"/>
                <w:sz w:val="24"/>
                <w:szCs w:val="24"/>
                <w:highlight w:val="none"/>
                <w:lang w:val="en-US" w:eastAsia="zh-CN"/>
              </w:rPr>
              <w:t>)</w:t>
            </w:r>
            <w:r>
              <w:rPr>
                <w:rFonts w:hint="default" w:ascii="Times New Roman" w:hAnsi="Times New Roman" w:cs="Times New Roman"/>
                <w:color w:val="000000"/>
                <w:sz w:val="24"/>
                <w:szCs w:val="24"/>
                <w:highlight w:val="none"/>
                <w:lang w:val="en-US" w:eastAsia="zh-CN"/>
              </w:rPr>
              <w:t xml:space="preserve">； </w:t>
            </w:r>
          </w:p>
          <w:p w14:paraId="18B705D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rightChars="0" w:firstLine="1200" w:firstLineChars="500"/>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L</w:t>
            </w:r>
            <w:r>
              <w:rPr>
                <w:rFonts w:hint="default" w:ascii="Times New Roman" w:hAnsi="Times New Roman" w:cs="Times New Roman"/>
                <w:color w:val="000000"/>
                <w:sz w:val="24"/>
                <w:szCs w:val="24"/>
                <w:highlight w:val="none"/>
                <w:vertAlign w:val="subscript"/>
                <w:lang w:val="en-US" w:eastAsia="zh-CN"/>
              </w:rPr>
              <w:t>eqb</w:t>
            </w:r>
            <w:r>
              <w:rPr>
                <w:rFonts w:hint="default" w:ascii="Times New Roman" w:hAnsi="Times New Roman" w:cs="Times New Roman"/>
                <w:color w:val="000000"/>
                <w:sz w:val="24"/>
                <w:szCs w:val="24"/>
                <w:highlight w:val="none"/>
                <w:lang w:val="en-US" w:eastAsia="zh-CN"/>
              </w:rPr>
              <w:t xml:space="preserve"> ——预测点的背景噪声值，dB(A</w:t>
            </w:r>
            <w:r>
              <w:rPr>
                <w:rFonts w:hint="eastAsia" w:cs="Times New Roman"/>
                <w:color w:val="000000"/>
                <w:sz w:val="24"/>
                <w:szCs w:val="24"/>
                <w:highlight w:val="none"/>
                <w:lang w:val="en-US" w:eastAsia="zh-CN"/>
              </w:rPr>
              <w:t>)</w:t>
            </w:r>
            <w:r>
              <w:rPr>
                <w:rFonts w:hint="default" w:ascii="Times New Roman" w:hAnsi="Times New Roman" w:cs="Times New Roman"/>
                <w:color w:val="000000"/>
                <w:sz w:val="24"/>
                <w:szCs w:val="24"/>
                <w:highlight w:val="none"/>
                <w:lang w:val="en-US" w:eastAsia="zh-CN"/>
              </w:rPr>
              <w:t xml:space="preserve">。 </w:t>
            </w:r>
          </w:p>
          <w:p w14:paraId="7AE6F4A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2）预测结果分析</w:t>
            </w:r>
          </w:p>
          <w:p w14:paraId="0808EA2C">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highlight w:val="none"/>
                <w:lang w:eastAsia="zh-CN"/>
              </w:rPr>
            </w:pPr>
            <w:r>
              <w:rPr>
                <w:rFonts w:hint="default" w:ascii="Times New Roman" w:hAnsi="Times New Roman" w:cs="Times New Roman"/>
                <w:color w:val="000000"/>
                <w:sz w:val="24"/>
                <w:highlight w:val="none"/>
              </w:rPr>
              <w:t>本项目通过预测模型计算，项目厂界噪声预测结果分析见下表</w:t>
            </w:r>
            <w:r>
              <w:rPr>
                <w:rFonts w:hint="default" w:ascii="Times New Roman" w:hAnsi="Times New Roman" w:cs="Times New Roman"/>
                <w:color w:val="000000"/>
                <w:sz w:val="24"/>
                <w:highlight w:val="none"/>
                <w:lang w:eastAsia="zh-CN"/>
              </w:rPr>
              <w:t>。</w:t>
            </w:r>
          </w:p>
          <w:p w14:paraId="631C3B64">
            <w:pPr>
              <w:keepNext w:val="0"/>
              <w:keepLines w:val="0"/>
              <w:pageBreakBefore w:val="0"/>
              <w:widowControl w:val="0"/>
              <w:suppressLineNumbers w:val="0"/>
              <w:kinsoku/>
              <w:wordWrap/>
              <w:overflowPunct/>
              <w:topLinePunct w:val="0"/>
              <w:bidi w:val="0"/>
              <w:adjustRightInd w:val="0"/>
              <w:spacing w:before="0" w:beforeAutospacing="0" w:after="0" w:afterAutospacing="0" w:line="360" w:lineRule="auto"/>
              <w:ind w:left="0" w:right="0"/>
              <w:jc w:val="center"/>
              <w:textAlignment w:val="baseline"/>
              <w:rPr>
                <w:rFonts w:hint="default" w:ascii="Times New Roman" w:hAnsi="Times New Roman" w:cs="Times New Roman"/>
                <w:b/>
                <w:bCs/>
                <w:color w:val="000000"/>
                <w:sz w:val="24"/>
                <w:highlight w:val="none"/>
              </w:rPr>
            </w:pPr>
            <w:r>
              <w:rPr>
                <w:rFonts w:hint="default" w:ascii="Times New Roman" w:hAnsi="Times New Roman" w:cs="Times New Roman"/>
                <w:b/>
                <w:bCs/>
                <w:color w:val="000000"/>
                <w:sz w:val="24"/>
                <w:highlight w:val="none"/>
              </w:rPr>
              <w:t>表4-1</w:t>
            </w:r>
            <w:r>
              <w:rPr>
                <w:rFonts w:hint="default" w:ascii="Times New Roman" w:hAnsi="Times New Roman" w:cs="Times New Roman"/>
                <w:b/>
                <w:bCs/>
                <w:color w:val="000000"/>
                <w:sz w:val="24"/>
                <w:highlight w:val="none"/>
                <w:lang w:val="en-US" w:eastAsia="zh-CN"/>
              </w:rPr>
              <w:t xml:space="preserve">4 </w:t>
            </w:r>
            <w:r>
              <w:rPr>
                <w:rFonts w:hint="default" w:ascii="Times New Roman" w:hAnsi="Times New Roman" w:cs="Times New Roman"/>
                <w:b/>
                <w:bCs/>
                <w:color w:val="000000"/>
                <w:sz w:val="24"/>
                <w:highlight w:val="none"/>
              </w:rPr>
              <w:t xml:space="preserve">   厂界噪声预测结果一览表    单位：dB(A)</w:t>
            </w:r>
          </w:p>
          <w:tbl>
            <w:tblPr>
              <w:tblStyle w:val="30"/>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3"/>
              <w:gridCol w:w="1622"/>
              <w:gridCol w:w="1186"/>
              <w:gridCol w:w="2418"/>
              <w:gridCol w:w="1297"/>
            </w:tblGrid>
            <w:tr w14:paraId="31911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01" w:type="pct"/>
                  <w:vMerge w:val="restart"/>
                  <w:noWrap/>
                  <w:vAlign w:val="center"/>
                </w:tcPr>
                <w:p w14:paraId="11030A25">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点位</w:t>
                  </w:r>
                </w:p>
              </w:tc>
              <w:tc>
                <w:tcPr>
                  <w:tcW w:w="1721" w:type="pct"/>
                  <w:gridSpan w:val="2"/>
                  <w:noWrap/>
                  <w:vAlign w:val="center"/>
                </w:tcPr>
                <w:p w14:paraId="53F939AD">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贡献值</w:t>
                  </w:r>
                  <w:r>
                    <w:rPr>
                      <w:rFonts w:hint="default" w:ascii="Times New Roman" w:hAnsi="Times New Roman" w:eastAsia="宋体" w:cs="Times New Roman"/>
                      <w:color w:val="000000"/>
                      <w:sz w:val="18"/>
                      <w:szCs w:val="18"/>
                      <w:highlight w:val="none"/>
                    </w:rPr>
                    <w:t>/dB(A)</w:t>
                  </w:r>
                </w:p>
              </w:tc>
              <w:tc>
                <w:tcPr>
                  <w:tcW w:w="1482" w:type="pct"/>
                  <w:vMerge w:val="restart"/>
                  <w:noWrap/>
                  <w:vAlign w:val="center"/>
                </w:tcPr>
                <w:p w14:paraId="3E54EBE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标准值</w:t>
                  </w:r>
                </w:p>
              </w:tc>
              <w:tc>
                <w:tcPr>
                  <w:tcW w:w="794" w:type="pct"/>
                  <w:vMerge w:val="restart"/>
                  <w:noWrap/>
                  <w:vAlign w:val="center"/>
                </w:tcPr>
                <w:p w14:paraId="3E07CBCC">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是否达标</w:t>
                  </w:r>
                </w:p>
              </w:tc>
            </w:tr>
            <w:tr w14:paraId="04111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01" w:type="pct"/>
                  <w:vMerge w:val="continue"/>
                  <w:noWrap w:val="0"/>
                  <w:vAlign w:val="center"/>
                </w:tcPr>
                <w:p w14:paraId="08B17FB7">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c>
                <w:tcPr>
                  <w:tcW w:w="994" w:type="pct"/>
                  <w:noWrap/>
                  <w:vAlign w:val="center"/>
                </w:tcPr>
                <w:p w14:paraId="373BCAA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昼间</w:t>
                  </w:r>
                </w:p>
              </w:tc>
              <w:tc>
                <w:tcPr>
                  <w:tcW w:w="726" w:type="pct"/>
                  <w:noWrap/>
                  <w:vAlign w:val="center"/>
                </w:tcPr>
                <w:p w14:paraId="6B9282C7">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夜间</w:t>
                  </w:r>
                </w:p>
              </w:tc>
              <w:tc>
                <w:tcPr>
                  <w:tcW w:w="1482" w:type="pct"/>
                  <w:vMerge w:val="continue"/>
                  <w:noWrap w:val="0"/>
                  <w:vAlign w:val="center"/>
                </w:tcPr>
                <w:p w14:paraId="2B892891">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c>
                <w:tcPr>
                  <w:tcW w:w="794" w:type="pct"/>
                  <w:vMerge w:val="continue"/>
                  <w:noWrap w:val="0"/>
                  <w:vAlign w:val="center"/>
                </w:tcPr>
                <w:p w14:paraId="7BCEFC34">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r>
            <w:tr w14:paraId="363AD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01" w:type="pct"/>
                  <w:noWrap w:val="0"/>
                  <w:vAlign w:val="center"/>
                </w:tcPr>
                <w:p w14:paraId="7554451C">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东厂界</w:t>
                  </w:r>
                </w:p>
              </w:tc>
              <w:tc>
                <w:tcPr>
                  <w:tcW w:w="994" w:type="pct"/>
                  <w:noWrap w:val="0"/>
                  <w:vAlign w:val="center"/>
                </w:tcPr>
                <w:p w14:paraId="4F397FDD">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34</w:t>
                  </w:r>
                </w:p>
              </w:tc>
              <w:tc>
                <w:tcPr>
                  <w:tcW w:w="726" w:type="pct"/>
                  <w:noWrap w:val="0"/>
                  <w:vAlign w:val="center"/>
                </w:tcPr>
                <w:p w14:paraId="4728A7EC">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rPr>
                    <w:t>34</w:t>
                  </w:r>
                </w:p>
              </w:tc>
              <w:tc>
                <w:tcPr>
                  <w:tcW w:w="1482" w:type="pct"/>
                  <w:vMerge w:val="restart"/>
                  <w:noWrap w:val="0"/>
                  <w:vAlign w:val="center"/>
                </w:tcPr>
                <w:p w14:paraId="348BAA02">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≤6</w:t>
                  </w:r>
                  <w:r>
                    <w:rPr>
                      <w:rFonts w:hint="default" w:ascii="Times New Roman" w:hAnsi="Times New Roman" w:eastAsia="宋体" w:cs="Times New Roman"/>
                      <w:color w:val="000000"/>
                      <w:kern w:val="0"/>
                      <w:sz w:val="18"/>
                      <w:szCs w:val="18"/>
                      <w:highlight w:val="none"/>
                      <w:lang w:val="en-US" w:eastAsia="zh-CN"/>
                    </w:rPr>
                    <w:t>5</w:t>
                  </w:r>
                  <w:r>
                    <w:rPr>
                      <w:rFonts w:hint="default" w:ascii="Times New Roman" w:hAnsi="Times New Roman" w:eastAsia="宋体" w:cs="Times New Roman"/>
                      <w:color w:val="000000"/>
                      <w:kern w:val="0"/>
                      <w:sz w:val="18"/>
                      <w:szCs w:val="18"/>
                      <w:highlight w:val="none"/>
                    </w:rPr>
                    <w:t>dB</w:t>
                  </w:r>
                  <w:r>
                    <w:rPr>
                      <w:rFonts w:hint="eastAsia" w:cs="Times New Roman"/>
                      <w:color w:val="000000"/>
                      <w:kern w:val="0"/>
                      <w:sz w:val="18"/>
                      <w:szCs w:val="18"/>
                      <w:highlight w:val="none"/>
                      <w:lang w:eastAsia="zh-CN"/>
                    </w:rPr>
                    <w:t>（</w:t>
                  </w:r>
                  <w:r>
                    <w:rPr>
                      <w:rFonts w:hint="default" w:ascii="Times New Roman" w:hAnsi="Times New Roman" w:eastAsia="宋体" w:cs="Times New Roman"/>
                      <w:color w:val="000000"/>
                      <w:kern w:val="0"/>
                      <w:sz w:val="18"/>
                      <w:szCs w:val="18"/>
                      <w:highlight w:val="none"/>
                    </w:rPr>
                    <w:t>A</w:t>
                  </w:r>
                  <w:r>
                    <w:rPr>
                      <w:rFonts w:hint="default" w:ascii="Times New Roman" w:hAnsi="Times New Roman" w:cs="Times New Roman"/>
                      <w:color w:val="000000"/>
                      <w:kern w:val="0"/>
                      <w:sz w:val="18"/>
                      <w:szCs w:val="18"/>
                      <w:highlight w:val="none"/>
                      <w:lang w:eastAsia="zh-CN"/>
                    </w:rPr>
                    <w:t>）</w:t>
                  </w:r>
                  <w:r>
                    <w:rPr>
                      <w:rFonts w:hint="default" w:ascii="Times New Roman" w:hAnsi="Times New Roman" w:eastAsia="宋体" w:cs="Times New Roman"/>
                      <w:color w:val="000000"/>
                      <w:kern w:val="0"/>
                      <w:sz w:val="18"/>
                      <w:szCs w:val="18"/>
                      <w:highlight w:val="none"/>
                    </w:rPr>
                    <w:t>昼间</w:t>
                  </w:r>
                </w:p>
                <w:p w14:paraId="5C9986C7">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≤5</w:t>
                  </w:r>
                  <w:r>
                    <w:rPr>
                      <w:rFonts w:hint="default" w:ascii="Times New Roman" w:hAnsi="Times New Roman" w:eastAsia="宋体" w:cs="Times New Roman"/>
                      <w:color w:val="000000"/>
                      <w:kern w:val="0"/>
                      <w:sz w:val="18"/>
                      <w:szCs w:val="18"/>
                      <w:highlight w:val="none"/>
                      <w:lang w:val="en-US" w:eastAsia="zh-CN"/>
                    </w:rPr>
                    <w:t>5</w:t>
                  </w:r>
                  <w:r>
                    <w:rPr>
                      <w:rFonts w:hint="default" w:ascii="Times New Roman" w:hAnsi="Times New Roman" w:eastAsia="宋体" w:cs="Times New Roman"/>
                      <w:color w:val="000000"/>
                      <w:kern w:val="0"/>
                      <w:sz w:val="18"/>
                      <w:szCs w:val="18"/>
                      <w:highlight w:val="none"/>
                    </w:rPr>
                    <w:t>dB</w:t>
                  </w:r>
                  <w:r>
                    <w:rPr>
                      <w:rFonts w:hint="eastAsia" w:cs="Times New Roman"/>
                      <w:color w:val="000000"/>
                      <w:kern w:val="0"/>
                      <w:sz w:val="18"/>
                      <w:szCs w:val="18"/>
                      <w:highlight w:val="none"/>
                      <w:lang w:eastAsia="zh-CN"/>
                    </w:rPr>
                    <w:t>（</w:t>
                  </w:r>
                  <w:r>
                    <w:rPr>
                      <w:rFonts w:hint="default" w:ascii="Times New Roman" w:hAnsi="Times New Roman" w:eastAsia="宋体" w:cs="Times New Roman"/>
                      <w:color w:val="000000"/>
                      <w:kern w:val="0"/>
                      <w:sz w:val="18"/>
                      <w:szCs w:val="18"/>
                      <w:highlight w:val="none"/>
                    </w:rPr>
                    <w:t>A</w:t>
                  </w:r>
                  <w:r>
                    <w:rPr>
                      <w:rFonts w:hint="default" w:ascii="Times New Roman" w:hAnsi="Times New Roman" w:cs="Times New Roman"/>
                      <w:color w:val="000000"/>
                      <w:kern w:val="0"/>
                      <w:sz w:val="18"/>
                      <w:szCs w:val="18"/>
                      <w:highlight w:val="none"/>
                      <w:lang w:eastAsia="zh-CN"/>
                    </w:rPr>
                    <w:t>）</w:t>
                  </w:r>
                  <w:r>
                    <w:rPr>
                      <w:rFonts w:hint="default" w:ascii="Times New Roman" w:hAnsi="Times New Roman" w:eastAsia="宋体" w:cs="Times New Roman"/>
                      <w:color w:val="000000"/>
                      <w:kern w:val="0"/>
                      <w:sz w:val="18"/>
                      <w:szCs w:val="18"/>
                      <w:highlight w:val="none"/>
                    </w:rPr>
                    <w:t>夜间</w:t>
                  </w:r>
                </w:p>
              </w:tc>
              <w:tc>
                <w:tcPr>
                  <w:tcW w:w="794" w:type="pct"/>
                  <w:vMerge w:val="restart"/>
                  <w:noWrap/>
                  <w:vAlign w:val="center"/>
                </w:tcPr>
                <w:p w14:paraId="1DEF84A7">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达标</w:t>
                  </w:r>
                </w:p>
              </w:tc>
            </w:tr>
            <w:tr w14:paraId="57E17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01" w:type="pct"/>
                  <w:noWrap w:val="0"/>
                  <w:vAlign w:val="center"/>
                </w:tcPr>
                <w:p w14:paraId="09AF5E4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西厂界</w:t>
                  </w:r>
                </w:p>
              </w:tc>
              <w:tc>
                <w:tcPr>
                  <w:tcW w:w="994" w:type="pct"/>
                  <w:noWrap w:val="0"/>
                  <w:vAlign w:val="center"/>
                </w:tcPr>
                <w:p w14:paraId="052B5CC6">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46</w:t>
                  </w:r>
                </w:p>
              </w:tc>
              <w:tc>
                <w:tcPr>
                  <w:tcW w:w="726" w:type="pct"/>
                  <w:noWrap w:val="0"/>
                  <w:vAlign w:val="center"/>
                </w:tcPr>
                <w:p w14:paraId="597C3B2F">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eastAsia="zh-CN"/>
                    </w:rPr>
                  </w:pPr>
                  <w:r>
                    <w:rPr>
                      <w:rFonts w:hint="default" w:ascii="Times New Roman" w:hAnsi="Times New Roman" w:cs="Times New Roman"/>
                      <w:color w:val="000000"/>
                      <w:kern w:val="0"/>
                      <w:sz w:val="18"/>
                      <w:szCs w:val="18"/>
                      <w:highlight w:val="none"/>
                      <w:lang w:val="en-US" w:eastAsia="zh-CN"/>
                    </w:rPr>
                    <w:t>46</w:t>
                  </w:r>
                </w:p>
              </w:tc>
              <w:tc>
                <w:tcPr>
                  <w:tcW w:w="1482" w:type="pct"/>
                  <w:vMerge w:val="continue"/>
                  <w:noWrap w:val="0"/>
                  <w:vAlign w:val="center"/>
                </w:tcPr>
                <w:p w14:paraId="127E28D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c>
                <w:tcPr>
                  <w:tcW w:w="794" w:type="pct"/>
                  <w:vMerge w:val="continue"/>
                  <w:noWrap/>
                  <w:vAlign w:val="center"/>
                </w:tcPr>
                <w:p w14:paraId="368C1A3B">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r>
            <w:tr w14:paraId="5561A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01" w:type="pct"/>
                  <w:noWrap w:val="0"/>
                  <w:vAlign w:val="center"/>
                </w:tcPr>
                <w:p w14:paraId="07D4ED31">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val="en-US" w:eastAsia="zh-CN" w:bidi="ar-SA"/>
                    </w:rPr>
                  </w:pPr>
                  <w:r>
                    <w:rPr>
                      <w:rFonts w:hint="default" w:ascii="Times New Roman" w:hAnsi="Times New Roman" w:eastAsia="宋体" w:cs="Times New Roman"/>
                      <w:color w:val="000000"/>
                      <w:kern w:val="0"/>
                      <w:sz w:val="18"/>
                      <w:szCs w:val="18"/>
                      <w:highlight w:val="none"/>
                    </w:rPr>
                    <w:t>北厂界</w:t>
                  </w:r>
                </w:p>
              </w:tc>
              <w:tc>
                <w:tcPr>
                  <w:tcW w:w="994" w:type="pct"/>
                  <w:noWrap w:val="0"/>
                  <w:vAlign w:val="center"/>
                </w:tcPr>
                <w:p w14:paraId="709C694A">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val="en-US" w:eastAsia="zh-CN" w:bidi="ar-SA"/>
                    </w:rPr>
                  </w:pPr>
                  <w:r>
                    <w:rPr>
                      <w:rFonts w:hint="default" w:ascii="Times New Roman" w:hAnsi="Times New Roman" w:cs="Times New Roman"/>
                      <w:color w:val="000000"/>
                      <w:kern w:val="0"/>
                      <w:sz w:val="18"/>
                      <w:szCs w:val="18"/>
                      <w:highlight w:val="none"/>
                      <w:lang w:val="en-US" w:eastAsia="zh-CN"/>
                    </w:rPr>
                    <w:t>49</w:t>
                  </w:r>
                </w:p>
              </w:tc>
              <w:tc>
                <w:tcPr>
                  <w:tcW w:w="726" w:type="pct"/>
                  <w:noWrap w:val="0"/>
                  <w:vAlign w:val="center"/>
                </w:tcPr>
                <w:p w14:paraId="357E7236">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val="en-US" w:eastAsia="zh-CN" w:bidi="ar-SA"/>
                    </w:rPr>
                  </w:pPr>
                  <w:r>
                    <w:rPr>
                      <w:rFonts w:hint="default" w:ascii="Times New Roman" w:hAnsi="Times New Roman" w:cs="Times New Roman"/>
                      <w:color w:val="000000"/>
                      <w:kern w:val="0"/>
                      <w:sz w:val="18"/>
                      <w:szCs w:val="18"/>
                      <w:highlight w:val="none"/>
                      <w:lang w:val="en-US" w:eastAsia="zh-CN"/>
                    </w:rPr>
                    <w:t>49</w:t>
                  </w:r>
                </w:p>
              </w:tc>
              <w:tc>
                <w:tcPr>
                  <w:tcW w:w="1482" w:type="pct"/>
                  <w:vMerge w:val="continue"/>
                  <w:noWrap w:val="0"/>
                  <w:vAlign w:val="center"/>
                </w:tcPr>
                <w:p w14:paraId="0F15D3CA">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c>
                <w:tcPr>
                  <w:tcW w:w="794" w:type="pct"/>
                  <w:vMerge w:val="continue"/>
                  <w:noWrap/>
                  <w:vAlign w:val="center"/>
                </w:tcPr>
                <w:p w14:paraId="104F0B62">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r>
            <w:tr w14:paraId="4B8E4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01" w:type="pct"/>
                  <w:noWrap w:val="0"/>
                  <w:vAlign w:val="center"/>
                </w:tcPr>
                <w:p w14:paraId="08DCECA3">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南厂界</w:t>
                  </w:r>
                </w:p>
              </w:tc>
              <w:tc>
                <w:tcPr>
                  <w:tcW w:w="994" w:type="pct"/>
                  <w:noWrap w:val="0"/>
                  <w:vAlign w:val="center"/>
                </w:tcPr>
                <w:p w14:paraId="1EAF315C">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50</w:t>
                  </w:r>
                </w:p>
              </w:tc>
              <w:tc>
                <w:tcPr>
                  <w:tcW w:w="726" w:type="pct"/>
                  <w:noWrap w:val="0"/>
                  <w:vAlign w:val="center"/>
                </w:tcPr>
                <w:p w14:paraId="4438672D">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rPr>
                    <w:t>50</w:t>
                  </w:r>
                </w:p>
              </w:tc>
              <w:tc>
                <w:tcPr>
                  <w:tcW w:w="1482" w:type="pct"/>
                  <w:vMerge w:val="continue"/>
                  <w:noWrap w:val="0"/>
                  <w:vAlign w:val="center"/>
                </w:tcPr>
                <w:p w14:paraId="68C8EDB5">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c>
                <w:tcPr>
                  <w:tcW w:w="794" w:type="pct"/>
                  <w:vMerge w:val="continue"/>
                  <w:noWrap w:val="0"/>
                  <w:vAlign w:val="center"/>
                </w:tcPr>
                <w:p w14:paraId="3E54E7AD">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000000"/>
                      <w:kern w:val="0"/>
                      <w:sz w:val="18"/>
                      <w:szCs w:val="18"/>
                      <w:highlight w:val="none"/>
                    </w:rPr>
                  </w:pPr>
                </w:p>
              </w:tc>
            </w:tr>
          </w:tbl>
          <w:p w14:paraId="36E16BE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sz w:val="24"/>
                <w:szCs w:val="24"/>
                <w:highlight w:val="none"/>
              </w:rPr>
            </w:pPr>
            <w:r>
              <w:rPr>
                <w:rFonts w:hint="default" w:ascii="Times New Roman" w:hAnsi="Times New Roman" w:eastAsia="宋体" w:cs="Times New Roman"/>
                <w:color w:val="000000"/>
                <w:sz w:val="24"/>
                <w:szCs w:val="24"/>
                <w:highlight w:val="none"/>
              </w:rPr>
              <w:t>由上表可知，项目实施后对东、西</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北</w:t>
            </w:r>
            <w:r>
              <w:rPr>
                <w:rFonts w:hint="default" w:ascii="Times New Roman" w:hAnsi="Times New Roman" w:eastAsia="宋体" w:cs="Times New Roman"/>
                <w:color w:val="000000"/>
                <w:sz w:val="24"/>
                <w:szCs w:val="24"/>
                <w:highlight w:val="none"/>
              </w:rPr>
              <w:t>厂界的噪声预测值为：</w:t>
            </w:r>
            <w:r>
              <w:rPr>
                <w:rFonts w:hint="default" w:ascii="Times New Roman" w:hAnsi="Times New Roman" w:eastAsia="宋体" w:cs="Times New Roman"/>
                <w:color w:val="000000"/>
                <w:sz w:val="24"/>
                <w:szCs w:val="24"/>
                <w:highlight w:val="none"/>
                <w:lang w:val="en-US" w:eastAsia="zh-CN"/>
              </w:rPr>
              <w:t>昼间</w:t>
            </w:r>
            <w:r>
              <w:rPr>
                <w:rFonts w:hint="default" w:ascii="Times New Roman" w:hAnsi="Times New Roman" w:cs="Times New Roman"/>
                <w:color w:val="000000"/>
                <w:sz w:val="24"/>
                <w:szCs w:val="24"/>
                <w:highlight w:val="none"/>
                <w:lang w:val="en-US" w:eastAsia="zh-CN"/>
              </w:rPr>
              <w:t>34-50</w:t>
            </w:r>
            <w:r>
              <w:rPr>
                <w:rFonts w:hint="default" w:ascii="Times New Roman" w:hAnsi="Times New Roman" w:eastAsia="宋体" w:cs="Times New Roman"/>
                <w:color w:val="000000"/>
                <w:sz w:val="24"/>
                <w:szCs w:val="24"/>
                <w:highlight w:val="none"/>
              </w:rPr>
              <w:t>dB</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A</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夜间</w:t>
            </w:r>
            <w:r>
              <w:rPr>
                <w:rFonts w:hint="default" w:ascii="Times New Roman" w:hAnsi="Times New Roman" w:cs="Times New Roman"/>
                <w:color w:val="000000"/>
                <w:sz w:val="24"/>
                <w:szCs w:val="24"/>
                <w:highlight w:val="none"/>
                <w:lang w:val="en-US" w:eastAsia="zh-CN"/>
              </w:rPr>
              <w:t>34-50</w:t>
            </w:r>
            <w:r>
              <w:rPr>
                <w:rFonts w:hint="default" w:ascii="Times New Roman" w:hAnsi="Times New Roman" w:eastAsia="宋体" w:cs="Times New Roman"/>
                <w:color w:val="000000"/>
                <w:sz w:val="24"/>
                <w:szCs w:val="24"/>
                <w:highlight w:val="none"/>
              </w:rPr>
              <w:t>dB</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A</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，满足《工业企业厂界环境噪声排放标准》</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GB12348-2008</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类标准</w:t>
            </w:r>
            <w:r>
              <w:rPr>
                <w:rFonts w:hint="default" w:ascii="Times New Roman" w:hAnsi="Times New Roman" w:eastAsia="宋体" w:cs="Times New Roman"/>
                <w:bCs/>
                <w:color w:val="000000"/>
                <w:sz w:val="24"/>
                <w:szCs w:val="24"/>
                <w:highlight w:val="none"/>
              </w:rPr>
              <w:t>。</w:t>
            </w:r>
          </w:p>
          <w:p w14:paraId="6597FC0C">
            <w:pPr>
              <w:keepNext w:val="0"/>
              <w:keepLines w:val="0"/>
              <w:suppressLineNumbers w:val="0"/>
              <w:adjustRightInd w:val="0"/>
              <w:spacing w:before="0" w:beforeAutospacing="0" w:after="0" w:afterAutospacing="0"/>
              <w:ind w:left="0" w:right="0"/>
              <w:jc w:val="center"/>
              <w:textAlignment w:val="baseline"/>
              <w:rPr>
                <w:rFonts w:hint="default" w:ascii="Times New Roman" w:hAnsi="Times New Roman" w:cs="Times New Roman"/>
                <w:b/>
                <w:bCs/>
                <w:color w:val="000000"/>
                <w:sz w:val="24"/>
                <w:highlight w:val="none"/>
              </w:rPr>
            </w:pPr>
          </w:p>
          <w:p w14:paraId="3C644D60">
            <w:pPr>
              <w:keepNext w:val="0"/>
              <w:keepLines w:val="0"/>
              <w:suppressLineNumbers w:val="0"/>
              <w:adjustRightInd w:val="0"/>
              <w:spacing w:before="0" w:beforeAutospacing="0" w:after="0" w:afterAutospacing="0"/>
              <w:ind w:left="0" w:right="0"/>
              <w:jc w:val="center"/>
              <w:textAlignment w:val="baseline"/>
              <w:rPr>
                <w:rFonts w:hint="default" w:ascii="Times New Roman" w:hAnsi="Times New Roman" w:cs="Times New Roman"/>
                <w:b/>
                <w:bCs/>
                <w:color w:val="000000"/>
                <w:sz w:val="24"/>
                <w:highlight w:val="none"/>
              </w:rPr>
            </w:pPr>
          </w:p>
          <w:p w14:paraId="16B6BAA1">
            <w:pPr>
              <w:keepNext w:val="0"/>
              <w:keepLines w:val="0"/>
              <w:suppressLineNumbers w:val="0"/>
              <w:adjustRightInd w:val="0"/>
              <w:spacing w:before="0" w:beforeAutospacing="0" w:after="0" w:afterAutospacing="0"/>
              <w:ind w:left="0" w:right="0"/>
              <w:jc w:val="center"/>
              <w:textAlignment w:val="baseline"/>
              <w:rPr>
                <w:rFonts w:hint="default" w:ascii="Times New Roman" w:hAnsi="Times New Roman" w:cs="Times New Roman"/>
                <w:b/>
                <w:bCs/>
                <w:color w:val="000000"/>
                <w:sz w:val="24"/>
                <w:highlight w:val="none"/>
              </w:rPr>
            </w:pPr>
          </w:p>
          <w:p w14:paraId="6453767C">
            <w:pPr>
              <w:keepNext w:val="0"/>
              <w:keepLines w:val="0"/>
              <w:suppressLineNumbers w:val="0"/>
              <w:adjustRightInd w:val="0"/>
              <w:spacing w:before="0" w:beforeAutospacing="0" w:after="0" w:afterAutospacing="0"/>
              <w:ind w:left="0" w:right="0"/>
              <w:jc w:val="center"/>
              <w:textAlignment w:val="baseline"/>
              <w:rPr>
                <w:rFonts w:hint="default" w:ascii="Times New Roman" w:hAnsi="Times New Roman" w:cs="Times New Roman"/>
                <w:b/>
                <w:bCs/>
                <w:color w:val="000000"/>
                <w:sz w:val="24"/>
                <w:highlight w:val="none"/>
              </w:rPr>
            </w:pPr>
            <w:r>
              <w:rPr>
                <w:rFonts w:hint="default" w:ascii="Times New Roman" w:hAnsi="Times New Roman" w:cs="Times New Roman"/>
                <w:b/>
                <w:bCs/>
                <w:color w:val="000000"/>
                <w:sz w:val="24"/>
                <w:highlight w:val="none"/>
              </w:rPr>
              <w:t>表4-</w:t>
            </w:r>
            <w:r>
              <w:rPr>
                <w:rFonts w:hint="default" w:ascii="Times New Roman" w:hAnsi="Times New Roman" w:cs="Times New Roman"/>
                <w:b/>
                <w:bCs/>
                <w:color w:val="000000"/>
                <w:sz w:val="24"/>
                <w:highlight w:val="none"/>
                <w:lang w:val="en-US" w:eastAsia="zh-CN"/>
              </w:rPr>
              <w:t xml:space="preserve">15 </w:t>
            </w:r>
            <w:r>
              <w:rPr>
                <w:rFonts w:hint="default" w:ascii="Times New Roman" w:hAnsi="Times New Roman" w:cs="Times New Roman"/>
                <w:b/>
                <w:bCs/>
                <w:color w:val="000000"/>
                <w:sz w:val="24"/>
                <w:highlight w:val="none"/>
              </w:rPr>
              <w:t xml:space="preserve">   噪声监测要求一览表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155"/>
              <w:gridCol w:w="1648"/>
              <w:gridCol w:w="1103"/>
              <w:gridCol w:w="3494"/>
            </w:tblGrid>
            <w:tr w14:paraId="389B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noWrap w:val="0"/>
                  <w:vAlign w:val="center"/>
                </w:tcPr>
                <w:p w14:paraId="3B8A7E1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类别</w:t>
                  </w:r>
                </w:p>
              </w:tc>
              <w:tc>
                <w:tcPr>
                  <w:tcW w:w="708" w:type="pct"/>
                  <w:noWrap w:val="0"/>
                  <w:vAlign w:val="center"/>
                </w:tcPr>
                <w:p w14:paraId="37529C4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监测点位</w:t>
                  </w:r>
                </w:p>
              </w:tc>
              <w:tc>
                <w:tcPr>
                  <w:tcW w:w="1010" w:type="pct"/>
                  <w:noWrap w:val="0"/>
                  <w:vAlign w:val="center"/>
                </w:tcPr>
                <w:p w14:paraId="75A7572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监测指标</w:t>
                  </w:r>
                </w:p>
              </w:tc>
              <w:tc>
                <w:tcPr>
                  <w:tcW w:w="676" w:type="pct"/>
                  <w:noWrap w:val="0"/>
                  <w:vAlign w:val="center"/>
                </w:tcPr>
                <w:p w14:paraId="6C04432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监测频次</w:t>
                  </w:r>
                </w:p>
              </w:tc>
              <w:tc>
                <w:tcPr>
                  <w:tcW w:w="2141" w:type="pct"/>
                  <w:noWrap w:val="0"/>
                  <w:vAlign w:val="center"/>
                </w:tcPr>
                <w:p w14:paraId="7678C4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执行排放标准</w:t>
                  </w:r>
                </w:p>
              </w:tc>
            </w:tr>
            <w:tr w14:paraId="68BD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3" w:type="pct"/>
                  <w:noWrap w:val="0"/>
                  <w:vAlign w:val="center"/>
                </w:tcPr>
                <w:p w14:paraId="7958BB8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噪声</w:t>
                  </w:r>
                </w:p>
              </w:tc>
              <w:tc>
                <w:tcPr>
                  <w:tcW w:w="708" w:type="pct"/>
                  <w:noWrap w:val="0"/>
                  <w:vAlign w:val="center"/>
                </w:tcPr>
                <w:p w14:paraId="21AC010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lang w:val="en-US" w:eastAsia="zh-CN"/>
                    </w:rPr>
                    <w:t>东、南、西、北</w:t>
                  </w:r>
                  <w:r>
                    <w:rPr>
                      <w:rFonts w:hint="default" w:ascii="Times New Roman" w:hAnsi="Times New Roman" w:cs="Times New Roman"/>
                      <w:color w:val="000000"/>
                      <w:sz w:val="18"/>
                      <w:szCs w:val="18"/>
                      <w:highlight w:val="none"/>
                    </w:rPr>
                    <w:t>厂界</w:t>
                  </w:r>
                </w:p>
              </w:tc>
              <w:tc>
                <w:tcPr>
                  <w:tcW w:w="1010" w:type="pct"/>
                  <w:noWrap w:val="0"/>
                  <w:vAlign w:val="center"/>
                </w:tcPr>
                <w:p w14:paraId="307872A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昼</w:t>
                  </w:r>
                  <w:r>
                    <w:rPr>
                      <w:rFonts w:hint="default" w:ascii="Times New Roman" w:hAnsi="Times New Roman" w:cs="Times New Roman"/>
                      <w:color w:val="000000"/>
                      <w:sz w:val="18"/>
                      <w:szCs w:val="18"/>
                      <w:highlight w:val="none"/>
                      <w:lang w:eastAsia="zh-CN"/>
                    </w:rPr>
                    <w:t>、</w:t>
                  </w:r>
                  <w:r>
                    <w:rPr>
                      <w:rFonts w:hint="default" w:ascii="Times New Roman" w:hAnsi="Times New Roman" w:cs="Times New Roman"/>
                      <w:color w:val="000000"/>
                      <w:sz w:val="18"/>
                      <w:szCs w:val="18"/>
                      <w:highlight w:val="none"/>
                    </w:rPr>
                    <w:t>夜等效连续A声级</w:t>
                  </w:r>
                </w:p>
              </w:tc>
              <w:tc>
                <w:tcPr>
                  <w:tcW w:w="676" w:type="pct"/>
                  <w:noWrap w:val="0"/>
                  <w:vAlign w:val="center"/>
                </w:tcPr>
                <w:p w14:paraId="0140843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1次/季度</w:t>
                  </w:r>
                </w:p>
              </w:tc>
              <w:tc>
                <w:tcPr>
                  <w:tcW w:w="2141" w:type="pct"/>
                  <w:noWrap w:val="0"/>
                  <w:vAlign w:val="center"/>
                </w:tcPr>
                <w:p w14:paraId="2996914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《工业企业厂界环境噪声排放标准》（GB12348-2008）中</w:t>
                  </w:r>
                  <w:r>
                    <w:rPr>
                      <w:rFonts w:hint="default" w:ascii="Times New Roman" w:hAnsi="Times New Roman" w:cs="Times New Roman"/>
                      <w:color w:val="000000"/>
                      <w:sz w:val="18"/>
                      <w:szCs w:val="18"/>
                      <w:highlight w:val="none"/>
                      <w:lang w:val="en-US" w:eastAsia="zh-CN"/>
                    </w:rPr>
                    <w:t>3</w:t>
                  </w:r>
                  <w:r>
                    <w:rPr>
                      <w:rFonts w:hint="default" w:ascii="Times New Roman" w:hAnsi="Times New Roman" w:cs="Times New Roman"/>
                      <w:color w:val="000000"/>
                      <w:sz w:val="18"/>
                      <w:szCs w:val="18"/>
                      <w:highlight w:val="none"/>
                    </w:rPr>
                    <w:t>类标准</w:t>
                  </w:r>
                </w:p>
              </w:tc>
            </w:tr>
          </w:tbl>
          <w:p w14:paraId="66590427">
            <w:pPr>
              <w:keepNext w:val="0"/>
              <w:keepLines w:val="0"/>
              <w:widowControl/>
              <w:suppressLineNumbers w:val="0"/>
              <w:spacing w:before="0" w:beforeAutospacing="0" w:after="0" w:afterAutospacing="0" w:line="360" w:lineRule="auto"/>
              <w:ind w:left="0" w:right="0"/>
              <w:rPr>
                <w:rFonts w:hint="default" w:ascii="Times New Roman" w:hAnsi="Times New Roman" w:cs="Times New Roman"/>
                <w:bCs/>
                <w:color w:val="000000"/>
                <w:sz w:val="24"/>
                <w:highlight w:val="none"/>
              </w:rPr>
            </w:pPr>
            <w:r>
              <w:rPr>
                <w:rFonts w:hint="default" w:ascii="Times New Roman" w:hAnsi="Times New Roman" w:cs="Times New Roman"/>
                <w:color w:val="000000"/>
                <w:szCs w:val="21"/>
                <w:highlight w:val="none"/>
              </w:rPr>
              <w:t>注：企业自行监测方案参照《排污单位自行监测技术指南 总则》（HJ 819-2017）执行。</w:t>
            </w:r>
          </w:p>
          <w:p w14:paraId="69F1483E">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rPr>
                <w:rFonts w:hint="default" w:ascii="Times New Roman" w:hAnsi="Times New Roman" w:cs="Times New Roman"/>
                <w:b/>
                <w:color w:val="auto"/>
                <w:highlight w:val="none"/>
              </w:rPr>
            </w:pPr>
            <w:bookmarkStart w:id="10" w:name="OLE_LINK32"/>
            <w:r>
              <w:rPr>
                <w:rFonts w:hint="default" w:ascii="Times New Roman" w:hAnsi="Times New Roman" w:cs="Times New Roman"/>
                <w:b/>
                <w:color w:val="auto"/>
                <w:highlight w:val="none"/>
                <w:lang w:val="en-US" w:eastAsia="zh-CN"/>
              </w:rPr>
              <w:t>4</w:t>
            </w:r>
            <w:r>
              <w:rPr>
                <w:rFonts w:hint="default" w:ascii="Times New Roman" w:hAnsi="Times New Roman" w:cs="Times New Roman"/>
                <w:b/>
                <w:color w:val="auto"/>
                <w:highlight w:val="none"/>
              </w:rPr>
              <w:t>、</w:t>
            </w:r>
            <w:bookmarkEnd w:id="10"/>
            <w:r>
              <w:rPr>
                <w:rFonts w:hint="default" w:ascii="Times New Roman" w:hAnsi="Times New Roman" w:cs="Times New Roman"/>
                <w:b/>
                <w:color w:val="auto"/>
                <w:highlight w:val="none"/>
              </w:rPr>
              <w:t>固废</w:t>
            </w:r>
          </w:p>
          <w:p w14:paraId="61E8F38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4.1产生及处置情况</w:t>
            </w:r>
          </w:p>
          <w:p w14:paraId="75C2D47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一般固废：</w:t>
            </w:r>
            <w:r>
              <w:rPr>
                <w:rFonts w:hint="default" w:ascii="Times New Roman" w:hAnsi="Times New Roman" w:cs="Times New Roman"/>
                <w:color w:val="auto"/>
                <w:sz w:val="24"/>
                <w:highlight w:val="none"/>
                <w:lang w:val="en-US" w:eastAsia="zh-CN"/>
              </w:rPr>
              <w:t>塑烧板除尘器</w:t>
            </w:r>
            <w:r>
              <w:rPr>
                <w:rFonts w:hint="default" w:ascii="Times New Roman" w:hAnsi="Times New Roman" w:eastAsia="宋体" w:cs="Times New Roman"/>
                <w:color w:val="auto"/>
                <w:sz w:val="24"/>
                <w:highlight w:val="none"/>
                <w:lang w:val="en-US" w:eastAsia="zh-CN"/>
              </w:rPr>
              <w:t>产生的除尘灰、废布袋</w:t>
            </w:r>
            <w:r>
              <w:rPr>
                <w:rFonts w:hint="default" w:ascii="Times New Roman" w:hAnsi="Times New Roman" w:cs="Times New Roman"/>
                <w:color w:val="auto"/>
                <w:sz w:val="24"/>
                <w:highlight w:val="none"/>
                <w:lang w:val="en-US" w:eastAsia="zh-CN"/>
              </w:rPr>
              <w:t>、原料来料产生的废包装物、</w:t>
            </w:r>
            <w:r>
              <w:rPr>
                <w:rFonts w:hint="default" w:ascii="Times New Roman" w:hAnsi="Times New Roman" w:eastAsia="宋体" w:cs="Times New Roman"/>
                <w:color w:val="000000"/>
                <w:sz w:val="24"/>
                <w:szCs w:val="24"/>
                <w:highlight w:val="none"/>
                <w:lang w:val="en-US" w:eastAsia="zh-CN"/>
              </w:rPr>
              <w:t>洗车平台沉淀池产生的</w:t>
            </w:r>
            <w:r>
              <w:rPr>
                <w:rFonts w:hint="default" w:ascii="Times New Roman" w:hAnsi="Times New Roman" w:cs="Times New Roman"/>
                <w:color w:val="000000"/>
                <w:sz w:val="24"/>
                <w:szCs w:val="24"/>
                <w:highlight w:val="none"/>
                <w:lang w:val="en-US" w:eastAsia="zh-CN"/>
              </w:rPr>
              <w:t>沉泥，</w:t>
            </w:r>
            <w:r>
              <w:rPr>
                <w:rFonts w:hint="default" w:ascii="Times New Roman" w:hAnsi="Times New Roman" w:eastAsia="宋体" w:cs="Times New Roman"/>
                <w:color w:val="auto"/>
                <w:sz w:val="24"/>
                <w:highlight w:val="none"/>
                <w:lang w:val="en-US" w:eastAsia="zh-CN"/>
              </w:rPr>
              <w:t>定期清理回用于生产</w:t>
            </w:r>
            <w:r>
              <w:rPr>
                <w:rFonts w:hint="default" w:ascii="Times New Roman" w:hAnsi="Times New Roman" w:eastAsia="宋体" w:cs="Times New Roman"/>
                <w:color w:val="auto"/>
                <w:sz w:val="24"/>
                <w:highlight w:val="none"/>
              </w:rPr>
              <w:t>。</w:t>
            </w:r>
          </w:p>
          <w:p w14:paraId="2D03E9E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危险废物：废气处理设施产生的废活性炭（</w:t>
            </w:r>
            <w:r>
              <w:rPr>
                <w:rFonts w:hint="default" w:ascii="Times New Roman" w:hAnsi="Times New Roman" w:eastAsia="宋体" w:cs="Times New Roman"/>
                <w:color w:val="auto"/>
                <w:sz w:val="24"/>
                <w:highlight w:val="none"/>
                <w:lang w:eastAsia="zh-CN"/>
              </w:rPr>
              <w:t>活性炭吸附</w:t>
            </w:r>
            <w:r>
              <w:rPr>
                <w:rFonts w:hint="default" w:ascii="Times New Roman" w:hAnsi="Times New Roman" w:eastAsia="宋体" w:cs="Times New Roman"/>
                <w:color w:val="auto"/>
                <w:sz w:val="24"/>
                <w:highlight w:val="none"/>
              </w:rPr>
              <w:t>废气主要</w:t>
            </w:r>
            <w:r>
              <w:rPr>
                <w:rFonts w:hint="default" w:ascii="Times New Roman" w:hAnsi="Times New Roman" w:cs="Times New Roman"/>
                <w:color w:val="auto"/>
                <w:sz w:val="24"/>
                <w:highlight w:val="none"/>
                <w:lang w:val="en-US" w:eastAsia="zh-CN"/>
              </w:rPr>
              <w:t>包括固体废物堆存、发酵过</w:t>
            </w:r>
            <w:r>
              <w:rPr>
                <w:rFonts w:hint="eastAsia" w:cs="Times New Roman"/>
                <w:color w:val="auto"/>
                <w:sz w:val="24"/>
                <w:highlight w:val="none"/>
                <w:lang w:val="en-US" w:eastAsia="zh-CN"/>
              </w:rPr>
              <w:t>程中</w:t>
            </w:r>
            <w:r>
              <w:rPr>
                <w:rFonts w:hint="default" w:ascii="Times New Roman" w:hAnsi="Times New Roman" w:cs="Times New Roman"/>
                <w:color w:val="auto"/>
                <w:sz w:val="24"/>
                <w:highlight w:val="none"/>
                <w:lang w:val="en-US" w:eastAsia="zh-CN"/>
              </w:rPr>
              <w:t>产生的氨、硫化氢</w:t>
            </w:r>
            <w:r>
              <w:rPr>
                <w:rFonts w:hint="eastAsia" w:cs="Times New Roman"/>
                <w:color w:val="auto"/>
                <w:sz w:val="24"/>
                <w:highlight w:val="none"/>
                <w:lang w:val="en-US" w:eastAsia="zh-CN"/>
              </w:rPr>
              <w:t>，以及</w:t>
            </w:r>
            <w:r>
              <w:rPr>
                <w:rFonts w:hint="default" w:ascii="Times New Roman" w:hAnsi="Times New Roman" w:cs="Times New Roman"/>
                <w:color w:val="auto"/>
                <w:sz w:val="24"/>
                <w:highlight w:val="none"/>
                <w:lang w:val="en-US" w:eastAsia="zh-CN"/>
              </w:rPr>
              <w:t>固废中的其他异味</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活性炭吸附</w:t>
            </w:r>
            <w:r>
              <w:rPr>
                <w:rFonts w:hint="default" w:ascii="Times New Roman" w:hAnsi="Times New Roman" w:eastAsia="宋体" w:cs="Times New Roman"/>
                <w:color w:val="auto"/>
                <w:sz w:val="24"/>
                <w:highlight w:val="none"/>
              </w:rPr>
              <w:t>这些有毒气体后属于含有或沾染毒性危险废物的废弃过滤吸附介质，所以按照危险废物处理），污水处理站产生的污泥</w:t>
            </w:r>
            <w:r>
              <w:rPr>
                <w:rFonts w:hint="default" w:ascii="Times New Roman" w:hAnsi="Times New Roman" w:eastAsia="宋体" w:cs="Times New Roman"/>
                <w:color w:val="auto"/>
                <w:sz w:val="24"/>
                <w:highlight w:val="none"/>
                <w:lang w:eastAsia="zh-CN"/>
              </w:rPr>
              <w:t>和</w:t>
            </w:r>
            <w:r>
              <w:rPr>
                <w:rFonts w:hint="default" w:ascii="Times New Roman" w:hAnsi="Times New Roman" w:eastAsia="宋体" w:cs="Times New Roman"/>
                <w:color w:val="auto"/>
                <w:sz w:val="24"/>
                <w:highlight w:val="none"/>
              </w:rPr>
              <w:t>废过滤膜</w:t>
            </w:r>
            <w:r>
              <w:rPr>
                <w:rFonts w:hint="default" w:ascii="Times New Roman" w:hAnsi="Times New Roman" w:eastAsia="宋体" w:cs="Times New Roman"/>
                <w:color w:val="auto"/>
                <w:sz w:val="24"/>
                <w:highlight w:val="none"/>
                <w:lang w:eastAsia="zh-CN"/>
              </w:rPr>
              <w:t>含有重金属，属于危险废物，</w:t>
            </w:r>
            <w:r>
              <w:rPr>
                <w:rFonts w:hint="default" w:ascii="Times New Roman" w:hAnsi="Times New Roman" w:cs="Times New Roman"/>
                <w:color w:val="auto"/>
                <w:sz w:val="24"/>
                <w:highlight w:val="none"/>
                <w:lang w:val="en-US" w:eastAsia="zh-CN"/>
              </w:rPr>
              <w:t>实验室产生的废试剂和废试剂瓶，SCR设施定期更换的废催化剂，</w:t>
            </w:r>
            <w:r>
              <w:rPr>
                <w:rFonts w:hint="default" w:ascii="Times New Roman" w:hAnsi="Times New Roman" w:eastAsia="宋体" w:cs="Times New Roman"/>
                <w:color w:val="auto"/>
                <w:sz w:val="24"/>
                <w:highlight w:val="none"/>
              </w:rPr>
              <w:t>设备维护产生的废润滑油、废液压油、废油桶暂存于危废间，交有资质单位处理。</w:t>
            </w:r>
          </w:p>
          <w:p w14:paraId="4FC14D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bidi="ar"/>
              </w:rPr>
              <w:t>项目生活垃圾按0.5kg/d·人计算，生活垃圾产生量为7.5t/a，职工生活垃圾集中收集，送环卫部门指定地点，统一处理。</w:t>
            </w:r>
          </w:p>
          <w:p w14:paraId="18A4110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zh-CN"/>
              </w:rPr>
              <w:t>项目一般固废</w:t>
            </w:r>
            <w:r>
              <w:rPr>
                <w:rFonts w:hint="default" w:ascii="Times New Roman" w:hAnsi="Times New Roman" w:eastAsia="宋体" w:cs="Times New Roman"/>
                <w:color w:val="auto"/>
                <w:sz w:val="24"/>
                <w:highlight w:val="none"/>
              </w:rPr>
              <w:t>汇总表见下表。</w:t>
            </w:r>
          </w:p>
          <w:p w14:paraId="37905436">
            <w:pPr>
              <w:keepNext w:val="0"/>
              <w:keepLines w:val="0"/>
              <w:suppressLineNumbers w:val="0"/>
              <w:spacing w:before="0" w:beforeAutospacing="0" w:after="0" w:afterAutospacing="0" w:line="480" w:lineRule="exact"/>
              <w:ind w:left="0" w:right="0" w:firstLine="2168" w:firstLineChars="9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表4-</w:t>
            </w:r>
            <w:r>
              <w:rPr>
                <w:rFonts w:hint="default" w:ascii="Times New Roman" w:hAnsi="Times New Roman" w:cs="Times New Roman"/>
                <w:b/>
                <w:bCs/>
                <w:color w:val="auto"/>
                <w:sz w:val="24"/>
                <w:highlight w:val="none"/>
                <w:lang w:val="en-US" w:eastAsia="zh-CN"/>
              </w:rPr>
              <w:t>16</w:t>
            </w:r>
            <w:r>
              <w:rPr>
                <w:rFonts w:hint="default" w:ascii="Times New Roman" w:hAnsi="Times New Roman" w:cs="Times New Roman"/>
                <w:b/>
                <w:bCs/>
                <w:color w:val="auto"/>
                <w:sz w:val="24"/>
                <w:highlight w:val="none"/>
              </w:rPr>
              <w:t xml:space="preserve">   项目一般工业固废汇总表</w:t>
            </w:r>
          </w:p>
          <w:tbl>
            <w:tblPr>
              <w:tblStyle w:val="30"/>
              <w:tblW w:w="4997"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225"/>
              <w:gridCol w:w="1183"/>
              <w:gridCol w:w="1377"/>
              <w:gridCol w:w="1209"/>
              <w:gridCol w:w="2057"/>
            </w:tblGrid>
            <w:tr w14:paraId="43EA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676" w:type="pct"/>
                  <w:tcBorders>
                    <w:tl2br w:val="nil"/>
                    <w:tr2bl w:val="nil"/>
                  </w:tcBorders>
                  <w:noWrap w:val="0"/>
                  <w:vAlign w:val="center"/>
                </w:tcPr>
                <w:p w14:paraId="10076FB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污染源</w:t>
                  </w:r>
                </w:p>
              </w:tc>
              <w:tc>
                <w:tcPr>
                  <w:tcW w:w="751" w:type="pct"/>
                  <w:tcBorders>
                    <w:tl2br w:val="nil"/>
                    <w:tr2bl w:val="nil"/>
                  </w:tcBorders>
                  <w:noWrap w:val="0"/>
                  <w:vAlign w:val="center"/>
                </w:tcPr>
                <w:p w14:paraId="2804DDB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固废名称</w:t>
                  </w:r>
                </w:p>
              </w:tc>
              <w:tc>
                <w:tcPr>
                  <w:tcW w:w="725" w:type="pct"/>
                  <w:tcBorders>
                    <w:tl2br w:val="nil"/>
                    <w:tr2bl w:val="nil"/>
                  </w:tcBorders>
                  <w:noWrap w:val="0"/>
                  <w:vAlign w:val="center"/>
                </w:tcPr>
                <w:p w14:paraId="59365CF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一般固废类别</w:t>
                  </w:r>
                </w:p>
              </w:tc>
              <w:tc>
                <w:tcPr>
                  <w:tcW w:w="844" w:type="pct"/>
                  <w:tcBorders>
                    <w:tl2br w:val="nil"/>
                    <w:tr2bl w:val="nil"/>
                  </w:tcBorders>
                  <w:noWrap w:val="0"/>
                  <w:vAlign w:val="center"/>
                </w:tcPr>
                <w:p w14:paraId="2FD5CE2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一般固废代码</w:t>
                  </w:r>
                </w:p>
              </w:tc>
              <w:tc>
                <w:tcPr>
                  <w:tcW w:w="741" w:type="pct"/>
                  <w:tcBorders>
                    <w:tl2br w:val="nil"/>
                    <w:tr2bl w:val="nil"/>
                  </w:tcBorders>
                  <w:noWrap w:val="0"/>
                  <w:vAlign w:val="center"/>
                </w:tcPr>
                <w:p w14:paraId="2221EBD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本项目产生量t/a</w:t>
                  </w:r>
                </w:p>
              </w:tc>
              <w:tc>
                <w:tcPr>
                  <w:tcW w:w="1261" w:type="pct"/>
                  <w:tcBorders>
                    <w:tl2br w:val="nil"/>
                    <w:tr2bl w:val="nil"/>
                  </w:tcBorders>
                  <w:noWrap w:val="0"/>
                  <w:vAlign w:val="center"/>
                </w:tcPr>
                <w:p w14:paraId="4D0AE13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处置情况</w:t>
                  </w:r>
                </w:p>
              </w:tc>
            </w:tr>
            <w:tr w14:paraId="18CF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676" w:type="pct"/>
                  <w:tcBorders>
                    <w:tl2br w:val="nil"/>
                    <w:tr2bl w:val="nil"/>
                  </w:tcBorders>
                  <w:noWrap w:val="0"/>
                  <w:vAlign w:val="center"/>
                </w:tcPr>
                <w:p w14:paraId="02D9852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原料入厂</w:t>
                  </w:r>
                </w:p>
              </w:tc>
              <w:tc>
                <w:tcPr>
                  <w:tcW w:w="751" w:type="pct"/>
                  <w:tcBorders>
                    <w:tl2br w:val="nil"/>
                    <w:tr2bl w:val="nil"/>
                  </w:tcBorders>
                  <w:noWrap w:val="0"/>
                  <w:vAlign w:val="center"/>
                </w:tcPr>
                <w:p w14:paraId="381D70F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废包装物</w:t>
                  </w:r>
                </w:p>
              </w:tc>
              <w:tc>
                <w:tcPr>
                  <w:tcW w:w="725" w:type="pct"/>
                  <w:tcBorders>
                    <w:tl2br w:val="nil"/>
                    <w:tr2bl w:val="nil"/>
                  </w:tcBorders>
                  <w:shd w:val="clear" w:color="auto" w:fill="auto"/>
                  <w:noWrap w:val="0"/>
                  <w:vAlign w:val="center"/>
                </w:tcPr>
                <w:p w14:paraId="2F8FB11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其他废物</w:t>
                  </w:r>
                </w:p>
              </w:tc>
              <w:tc>
                <w:tcPr>
                  <w:tcW w:w="844" w:type="pct"/>
                  <w:tcBorders>
                    <w:tl2br w:val="nil"/>
                    <w:tr2bl w:val="nil"/>
                  </w:tcBorders>
                  <w:shd w:val="clear" w:color="auto" w:fill="auto"/>
                  <w:noWrap w:val="0"/>
                  <w:vAlign w:val="center"/>
                </w:tcPr>
                <w:p w14:paraId="5892B3F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900-099-S59</w:t>
                  </w:r>
                </w:p>
              </w:tc>
              <w:tc>
                <w:tcPr>
                  <w:tcW w:w="741" w:type="pct"/>
                  <w:tcBorders>
                    <w:tl2br w:val="nil"/>
                    <w:tr2bl w:val="nil"/>
                  </w:tcBorders>
                  <w:noWrap w:val="0"/>
                  <w:vAlign w:val="center"/>
                </w:tcPr>
                <w:p w14:paraId="5CF4ED8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0.5</w:t>
                  </w:r>
                </w:p>
              </w:tc>
              <w:tc>
                <w:tcPr>
                  <w:tcW w:w="1261" w:type="pct"/>
                  <w:vMerge w:val="restart"/>
                  <w:tcBorders>
                    <w:tl2br w:val="nil"/>
                    <w:tr2bl w:val="nil"/>
                  </w:tcBorders>
                  <w:noWrap w:val="0"/>
                  <w:vAlign w:val="center"/>
                </w:tcPr>
                <w:p w14:paraId="598C624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定期清理，回用于生产</w:t>
                  </w:r>
                </w:p>
              </w:tc>
            </w:tr>
            <w:tr w14:paraId="6C74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76" w:type="pct"/>
                  <w:tcBorders>
                    <w:tl2br w:val="nil"/>
                    <w:tr2bl w:val="nil"/>
                  </w:tcBorders>
                  <w:noWrap w:val="0"/>
                  <w:vAlign w:val="center"/>
                </w:tcPr>
                <w:p w14:paraId="5E80EA5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废气处理设施</w:t>
                  </w:r>
                </w:p>
              </w:tc>
              <w:tc>
                <w:tcPr>
                  <w:tcW w:w="751" w:type="pct"/>
                  <w:tcBorders>
                    <w:tl2br w:val="nil"/>
                    <w:tr2bl w:val="nil"/>
                  </w:tcBorders>
                  <w:noWrap w:val="0"/>
                  <w:vAlign w:val="center"/>
                </w:tcPr>
                <w:p w14:paraId="44FE88F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除尘灰</w:t>
                  </w:r>
                </w:p>
              </w:tc>
              <w:tc>
                <w:tcPr>
                  <w:tcW w:w="725" w:type="pct"/>
                  <w:tcBorders>
                    <w:tl2br w:val="nil"/>
                    <w:tr2bl w:val="nil"/>
                  </w:tcBorders>
                  <w:noWrap w:val="0"/>
                  <w:vAlign w:val="center"/>
                </w:tcPr>
                <w:p w14:paraId="4E0CABF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其他废物</w:t>
                  </w:r>
                </w:p>
              </w:tc>
              <w:tc>
                <w:tcPr>
                  <w:tcW w:w="844" w:type="pct"/>
                  <w:tcBorders>
                    <w:tl2br w:val="nil"/>
                    <w:tr2bl w:val="nil"/>
                  </w:tcBorders>
                  <w:noWrap w:val="0"/>
                  <w:vAlign w:val="center"/>
                </w:tcPr>
                <w:p w14:paraId="1E633DA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900-099-S59</w:t>
                  </w:r>
                </w:p>
              </w:tc>
              <w:tc>
                <w:tcPr>
                  <w:tcW w:w="741" w:type="pct"/>
                  <w:tcBorders>
                    <w:tl2br w:val="nil"/>
                    <w:tr2bl w:val="nil"/>
                  </w:tcBorders>
                  <w:noWrap w:val="0"/>
                  <w:vAlign w:val="center"/>
                </w:tcPr>
                <w:p w14:paraId="5EBE841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132.759</w:t>
                  </w:r>
                </w:p>
              </w:tc>
              <w:tc>
                <w:tcPr>
                  <w:tcW w:w="1261" w:type="pct"/>
                  <w:vMerge w:val="continue"/>
                  <w:tcBorders>
                    <w:tl2br w:val="nil"/>
                    <w:tr2bl w:val="nil"/>
                  </w:tcBorders>
                  <w:noWrap w:val="0"/>
                  <w:vAlign w:val="center"/>
                </w:tcPr>
                <w:p w14:paraId="53E5A7B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789D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76" w:type="pct"/>
                  <w:tcBorders>
                    <w:tl2br w:val="nil"/>
                    <w:tr2bl w:val="nil"/>
                  </w:tcBorders>
                  <w:noWrap w:val="0"/>
                  <w:vAlign w:val="center"/>
                </w:tcPr>
                <w:p w14:paraId="00A5F54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废气处理设施</w:t>
                  </w:r>
                </w:p>
              </w:tc>
              <w:tc>
                <w:tcPr>
                  <w:tcW w:w="751" w:type="pct"/>
                  <w:tcBorders>
                    <w:tl2br w:val="nil"/>
                    <w:tr2bl w:val="nil"/>
                  </w:tcBorders>
                  <w:noWrap w:val="0"/>
                  <w:vAlign w:val="center"/>
                </w:tcPr>
                <w:p w14:paraId="15BDE32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废布袋</w:t>
                  </w:r>
                </w:p>
              </w:tc>
              <w:tc>
                <w:tcPr>
                  <w:tcW w:w="725" w:type="pct"/>
                  <w:tcBorders>
                    <w:tl2br w:val="nil"/>
                    <w:tr2bl w:val="nil"/>
                  </w:tcBorders>
                  <w:noWrap w:val="0"/>
                  <w:vAlign w:val="center"/>
                </w:tcPr>
                <w:p w14:paraId="27BC171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其他废物</w:t>
                  </w:r>
                </w:p>
              </w:tc>
              <w:tc>
                <w:tcPr>
                  <w:tcW w:w="844" w:type="pct"/>
                  <w:tcBorders>
                    <w:tl2br w:val="nil"/>
                    <w:tr2bl w:val="nil"/>
                  </w:tcBorders>
                  <w:noWrap w:val="0"/>
                  <w:vAlign w:val="center"/>
                </w:tcPr>
                <w:p w14:paraId="3A2A5FB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900-009-S59</w:t>
                  </w:r>
                </w:p>
              </w:tc>
              <w:tc>
                <w:tcPr>
                  <w:tcW w:w="741" w:type="pct"/>
                  <w:tcBorders>
                    <w:tl2br w:val="nil"/>
                    <w:tr2bl w:val="nil"/>
                  </w:tcBorders>
                  <w:noWrap w:val="0"/>
                  <w:vAlign w:val="center"/>
                </w:tcPr>
                <w:p w14:paraId="7F57F90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1</w:t>
                  </w:r>
                </w:p>
              </w:tc>
              <w:tc>
                <w:tcPr>
                  <w:tcW w:w="1261" w:type="pct"/>
                  <w:vMerge w:val="continue"/>
                  <w:tcBorders>
                    <w:tl2br w:val="nil"/>
                    <w:tr2bl w:val="nil"/>
                  </w:tcBorders>
                  <w:noWrap w:val="0"/>
                  <w:vAlign w:val="center"/>
                </w:tcPr>
                <w:p w14:paraId="705E9E7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7EA8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76" w:type="pct"/>
                  <w:tcBorders>
                    <w:tl2br w:val="nil"/>
                    <w:tr2bl w:val="nil"/>
                  </w:tcBorders>
                  <w:noWrap w:val="0"/>
                  <w:vAlign w:val="center"/>
                </w:tcPr>
                <w:p w14:paraId="35D7EFB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洗车平台</w:t>
                  </w:r>
                </w:p>
              </w:tc>
              <w:tc>
                <w:tcPr>
                  <w:tcW w:w="751" w:type="pct"/>
                  <w:tcBorders>
                    <w:tl2br w:val="nil"/>
                    <w:tr2bl w:val="nil"/>
                  </w:tcBorders>
                  <w:noWrap w:val="0"/>
                  <w:vAlign w:val="center"/>
                </w:tcPr>
                <w:p w14:paraId="344B2E9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沉泥</w:t>
                  </w:r>
                </w:p>
              </w:tc>
              <w:tc>
                <w:tcPr>
                  <w:tcW w:w="725" w:type="pct"/>
                  <w:tcBorders>
                    <w:tl2br w:val="nil"/>
                    <w:tr2bl w:val="nil"/>
                  </w:tcBorders>
                  <w:noWrap w:val="0"/>
                  <w:vAlign w:val="center"/>
                </w:tcPr>
                <w:p w14:paraId="38C28AA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其他废物</w:t>
                  </w:r>
                </w:p>
              </w:tc>
              <w:tc>
                <w:tcPr>
                  <w:tcW w:w="844" w:type="pct"/>
                  <w:tcBorders>
                    <w:tl2br w:val="nil"/>
                    <w:tr2bl w:val="nil"/>
                  </w:tcBorders>
                  <w:noWrap w:val="0"/>
                  <w:vAlign w:val="center"/>
                </w:tcPr>
                <w:p w14:paraId="65E4AE3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900-099-S59</w:t>
                  </w:r>
                </w:p>
              </w:tc>
              <w:tc>
                <w:tcPr>
                  <w:tcW w:w="741" w:type="pct"/>
                  <w:tcBorders>
                    <w:tl2br w:val="nil"/>
                    <w:tr2bl w:val="nil"/>
                  </w:tcBorders>
                  <w:noWrap w:val="0"/>
                  <w:vAlign w:val="center"/>
                </w:tcPr>
                <w:p w14:paraId="0B18AD2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3</w:t>
                  </w:r>
                </w:p>
              </w:tc>
              <w:tc>
                <w:tcPr>
                  <w:tcW w:w="1261" w:type="pct"/>
                  <w:vMerge w:val="continue"/>
                  <w:tcBorders>
                    <w:tl2br w:val="nil"/>
                    <w:tr2bl w:val="nil"/>
                  </w:tcBorders>
                  <w:noWrap w:val="0"/>
                  <w:vAlign w:val="center"/>
                </w:tcPr>
                <w:p w14:paraId="46A7F1F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bl>
          <w:p w14:paraId="2CAEBB6C">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default" w:ascii="Times New Roman" w:hAnsi="Times New Roman" w:cs="Times New Roman"/>
                <w:b/>
                <w:bCs/>
                <w:color w:val="auto"/>
                <w:sz w:val="24"/>
                <w:highlight w:val="none"/>
                <w:lang w:val="en-US" w:eastAsia="zh-CN"/>
              </w:rPr>
              <w:t>17</w:t>
            </w:r>
            <w:r>
              <w:rPr>
                <w:rFonts w:hint="default" w:ascii="Times New Roman" w:hAnsi="Times New Roman" w:cs="Times New Roman"/>
                <w:b/>
                <w:bCs/>
                <w:color w:val="auto"/>
                <w:sz w:val="24"/>
                <w:highlight w:val="none"/>
              </w:rPr>
              <w:t xml:space="preserve"> 项目危险废物汇总表</w:t>
            </w:r>
          </w:p>
          <w:tbl>
            <w:tblPr>
              <w:tblStyle w:val="3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866"/>
              <w:gridCol w:w="1260"/>
              <w:gridCol w:w="876"/>
              <w:gridCol w:w="689"/>
              <w:gridCol w:w="540"/>
              <w:gridCol w:w="845"/>
              <w:gridCol w:w="618"/>
              <w:gridCol w:w="450"/>
              <w:gridCol w:w="1162"/>
            </w:tblGrid>
            <w:tr w14:paraId="201A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518" w:type="pct"/>
                  <w:tcBorders>
                    <w:tl2br w:val="nil"/>
                    <w:tr2bl w:val="nil"/>
                  </w:tcBorders>
                  <w:vAlign w:val="center"/>
                </w:tcPr>
                <w:p w14:paraId="7784047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危险废物名称</w:t>
                  </w:r>
                </w:p>
              </w:tc>
              <w:tc>
                <w:tcPr>
                  <w:tcW w:w="531" w:type="pct"/>
                  <w:tcBorders>
                    <w:tl2br w:val="nil"/>
                    <w:tr2bl w:val="nil"/>
                  </w:tcBorders>
                  <w:vAlign w:val="center"/>
                </w:tcPr>
                <w:p w14:paraId="548C6D6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危险废物类别</w:t>
                  </w:r>
                </w:p>
              </w:tc>
              <w:tc>
                <w:tcPr>
                  <w:tcW w:w="772" w:type="pct"/>
                  <w:tcBorders>
                    <w:tl2br w:val="nil"/>
                    <w:tr2bl w:val="nil"/>
                  </w:tcBorders>
                  <w:vAlign w:val="center"/>
                </w:tcPr>
                <w:p w14:paraId="1A7AEC2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危险废物代码</w:t>
                  </w:r>
                </w:p>
              </w:tc>
              <w:tc>
                <w:tcPr>
                  <w:tcW w:w="537" w:type="pct"/>
                  <w:tcBorders>
                    <w:tl2br w:val="nil"/>
                    <w:tr2bl w:val="nil"/>
                  </w:tcBorders>
                  <w:vAlign w:val="center"/>
                </w:tcPr>
                <w:p w14:paraId="085D1B9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产生量（t/a）</w:t>
                  </w:r>
                </w:p>
              </w:tc>
              <w:tc>
                <w:tcPr>
                  <w:tcW w:w="422" w:type="pct"/>
                  <w:tcBorders>
                    <w:tl2br w:val="nil"/>
                    <w:tr2bl w:val="nil"/>
                  </w:tcBorders>
                  <w:vAlign w:val="center"/>
                </w:tcPr>
                <w:p w14:paraId="1D0D5D1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产生工序及装置</w:t>
                  </w:r>
                </w:p>
              </w:tc>
              <w:tc>
                <w:tcPr>
                  <w:tcW w:w="331" w:type="pct"/>
                  <w:tcBorders>
                    <w:tl2br w:val="nil"/>
                    <w:tr2bl w:val="nil"/>
                  </w:tcBorders>
                  <w:vAlign w:val="center"/>
                </w:tcPr>
                <w:p w14:paraId="566E220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形态</w:t>
                  </w:r>
                </w:p>
              </w:tc>
              <w:tc>
                <w:tcPr>
                  <w:tcW w:w="518" w:type="pct"/>
                  <w:tcBorders>
                    <w:tl2br w:val="nil"/>
                    <w:tr2bl w:val="nil"/>
                  </w:tcBorders>
                  <w:vAlign w:val="center"/>
                </w:tcPr>
                <w:p w14:paraId="197390A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危险特性</w:t>
                  </w:r>
                </w:p>
              </w:tc>
              <w:tc>
                <w:tcPr>
                  <w:tcW w:w="379" w:type="pct"/>
                  <w:tcBorders>
                    <w:tl2br w:val="nil"/>
                    <w:tr2bl w:val="nil"/>
                  </w:tcBorders>
                  <w:vAlign w:val="center"/>
                </w:tcPr>
                <w:p w14:paraId="254FDCC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有害成分</w:t>
                  </w:r>
                </w:p>
              </w:tc>
              <w:tc>
                <w:tcPr>
                  <w:tcW w:w="276" w:type="pct"/>
                  <w:tcBorders>
                    <w:tl2br w:val="nil"/>
                    <w:tr2bl w:val="nil"/>
                  </w:tcBorders>
                  <w:vAlign w:val="center"/>
                </w:tcPr>
                <w:p w14:paraId="79165FE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产废周期</w:t>
                  </w:r>
                </w:p>
              </w:tc>
              <w:tc>
                <w:tcPr>
                  <w:tcW w:w="712" w:type="pct"/>
                  <w:tcBorders>
                    <w:tl2br w:val="nil"/>
                    <w:tr2bl w:val="nil"/>
                  </w:tcBorders>
                  <w:vAlign w:val="center"/>
                </w:tcPr>
                <w:p w14:paraId="79351D4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污染防治措施</w:t>
                  </w:r>
                </w:p>
              </w:tc>
            </w:tr>
            <w:tr w14:paraId="2576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18" w:type="pct"/>
                  <w:tcBorders>
                    <w:tl2br w:val="nil"/>
                    <w:tr2bl w:val="nil"/>
                  </w:tcBorders>
                  <w:vAlign w:val="center"/>
                </w:tcPr>
                <w:p w14:paraId="6F7232A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废润滑油</w:t>
                  </w:r>
                </w:p>
              </w:tc>
              <w:tc>
                <w:tcPr>
                  <w:tcW w:w="531" w:type="pct"/>
                  <w:tcBorders>
                    <w:tl2br w:val="nil"/>
                    <w:tr2bl w:val="nil"/>
                  </w:tcBorders>
                  <w:vAlign w:val="center"/>
                </w:tcPr>
                <w:p w14:paraId="1A6595B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HW08</w:t>
                  </w:r>
                </w:p>
              </w:tc>
              <w:tc>
                <w:tcPr>
                  <w:tcW w:w="772" w:type="pct"/>
                  <w:tcBorders>
                    <w:tl2br w:val="nil"/>
                    <w:tr2bl w:val="nil"/>
                  </w:tcBorders>
                  <w:vAlign w:val="center"/>
                </w:tcPr>
                <w:p w14:paraId="26C3505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900-217-08</w:t>
                  </w:r>
                </w:p>
              </w:tc>
              <w:tc>
                <w:tcPr>
                  <w:tcW w:w="537" w:type="pct"/>
                  <w:tcBorders>
                    <w:tl2br w:val="nil"/>
                    <w:tr2bl w:val="nil"/>
                  </w:tcBorders>
                  <w:vAlign w:val="center"/>
                </w:tcPr>
                <w:p w14:paraId="7B04B2B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0.03</w:t>
                  </w:r>
                </w:p>
              </w:tc>
              <w:tc>
                <w:tcPr>
                  <w:tcW w:w="422" w:type="pct"/>
                  <w:vMerge w:val="restart"/>
                  <w:tcBorders>
                    <w:tl2br w:val="nil"/>
                    <w:tr2bl w:val="nil"/>
                  </w:tcBorders>
                  <w:vAlign w:val="center"/>
                </w:tcPr>
                <w:p w14:paraId="1412FE0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设备维修</w:t>
                  </w:r>
                </w:p>
              </w:tc>
              <w:tc>
                <w:tcPr>
                  <w:tcW w:w="331" w:type="pct"/>
                  <w:tcBorders>
                    <w:tl2br w:val="nil"/>
                    <w:tr2bl w:val="nil"/>
                  </w:tcBorders>
                  <w:vAlign w:val="center"/>
                </w:tcPr>
                <w:p w14:paraId="18C7E62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液态</w:t>
                  </w:r>
                </w:p>
              </w:tc>
              <w:tc>
                <w:tcPr>
                  <w:tcW w:w="518" w:type="pct"/>
                  <w:vMerge w:val="restart"/>
                  <w:tcBorders>
                    <w:tl2br w:val="nil"/>
                    <w:tr2bl w:val="nil"/>
                  </w:tcBorders>
                  <w:vAlign w:val="center"/>
                </w:tcPr>
                <w:p w14:paraId="6E255FC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T, I</w:t>
                  </w:r>
                </w:p>
              </w:tc>
              <w:tc>
                <w:tcPr>
                  <w:tcW w:w="379" w:type="pct"/>
                  <w:vMerge w:val="restart"/>
                  <w:tcBorders>
                    <w:tl2br w:val="nil"/>
                    <w:tr2bl w:val="nil"/>
                  </w:tcBorders>
                  <w:vAlign w:val="center"/>
                </w:tcPr>
                <w:p w14:paraId="5057AFD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石油类</w:t>
                  </w:r>
                </w:p>
              </w:tc>
              <w:tc>
                <w:tcPr>
                  <w:tcW w:w="276" w:type="pct"/>
                  <w:vMerge w:val="restart"/>
                  <w:tcBorders>
                    <w:tl2br w:val="nil"/>
                    <w:tr2bl w:val="nil"/>
                  </w:tcBorders>
                  <w:vAlign w:val="center"/>
                </w:tcPr>
                <w:p w14:paraId="71D3AD0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一年</w:t>
                  </w:r>
                </w:p>
              </w:tc>
              <w:tc>
                <w:tcPr>
                  <w:tcW w:w="712" w:type="pct"/>
                  <w:vMerge w:val="restart"/>
                  <w:tcBorders>
                    <w:tl2br w:val="nil"/>
                    <w:tr2bl w:val="nil"/>
                  </w:tcBorders>
                  <w:vAlign w:val="center"/>
                </w:tcPr>
                <w:p w14:paraId="4D718D4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暂存于危废间内，定期交有资质单位统一处理</w:t>
                  </w:r>
                </w:p>
              </w:tc>
            </w:tr>
            <w:tr w14:paraId="08F2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18" w:type="pct"/>
                  <w:tcBorders>
                    <w:tl2br w:val="nil"/>
                    <w:tr2bl w:val="nil"/>
                  </w:tcBorders>
                  <w:vAlign w:val="center"/>
                </w:tcPr>
                <w:p w14:paraId="399824A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废液压油</w:t>
                  </w:r>
                </w:p>
              </w:tc>
              <w:tc>
                <w:tcPr>
                  <w:tcW w:w="531" w:type="pct"/>
                  <w:tcBorders>
                    <w:tl2br w:val="nil"/>
                    <w:tr2bl w:val="nil"/>
                  </w:tcBorders>
                  <w:vAlign w:val="center"/>
                </w:tcPr>
                <w:p w14:paraId="12BBD36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HW08</w:t>
                  </w:r>
                </w:p>
              </w:tc>
              <w:tc>
                <w:tcPr>
                  <w:tcW w:w="772" w:type="pct"/>
                  <w:tcBorders>
                    <w:tl2br w:val="nil"/>
                    <w:tr2bl w:val="nil"/>
                  </w:tcBorders>
                  <w:vAlign w:val="center"/>
                </w:tcPr>
                <w:p w14:paraId="4353A07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900-218-08</w:t>
                  </w:r>
                </w:p>
              </w:tc>
              <w:tc>
                <w:tcPr>
                  <w:tcW w:w="537" w:type="pct"/>
                  <w:tcBorders>
                    <w:tl2br w:val="nil"/>
                    <w:tr2bl w:val="nil"/>
                  </w:tcBorders>
                  <w:vAlign w:val="center"/>
                </w:tcPr>
                <w:p w14:paraId="1792A48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0.06</w:t>
                  </w:r>
                </w:p>
              </w:tc>
              <w:tc>
                <w:tcPr>
                  <w:tcW w:w="422" w:type="pct"/>
                  <w:vMerge w:val="continue"/>
                  <w:tcBorders>
                    <w:tl2br w:val="nil"/>
                    <w:tr2bl w:val="nil"/>
                  </w:tcBorders>
                  <w:vAlign w:val="center"/>
                </w:tcPr>
                <w:p w14:paraId="7B4F4B4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331" w:type="pct"/>
                  <w:tcBorders>
                    <w:tl2br w:val="nil"/>
                    <w:tr2bl w:val="nil"/>
                  </w:tcBorders>
                  <w:vAlign w:val="center"/>
                </w:tcPr>
                <w:p w14:paraId="10CC174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液态</w:t>
                  </w:r>
                </w:p>
              </w:tc>
              <w:tc>
                <w:tcPr>
                  <w:tcW w:w="518" w:type="pct"/>
                  <w:vMerge w:val="continue"/>
                  <w:tcBorders>
                    <w:tl2br w:val="nil"/>
                    <w:tr2bl w:val="nil"/>
                  </w:tcBorders>
                  <w:vAlign w:val="center"/>
                </w:tcPr>
                <w:p w14:paraId="56DC1A3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379" w:type="pct"/>
                  <w:vMerge w:val="continue"/>
                  <w:tcBorders>
                    <w:tl2br w:val="nil"/>
                    <w:tr2bl w:val="nil"/>
                  </w:tcBorders>
                  <w:vAlign w:val="center"/>
                </w:tcPr>
                <w:p w14:paraId="289F740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276" w:type="pct"/>
                  <w:vMerge w:val="continue"/>
                  <w:tcBorders>
                    <w:tl2br w:val="nil"/>
                    <w:tr2bl w:val="nil"/>
                  </w:tcBorders>
                  <w:vAlign w:val="center"/>
                </w:tcPr>
                <w:p w14:paraId="716F9E0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712" w:type="pct"/>
                  <w:vMerge w:val="continue"/>
                  <w:tcBorders>
                    <w:tl2br w:val="nil"/>
                    <w:tr2bl w:val="nil"/>
                  </w:tcBorders>
                  <w:vAlign w:val="center"/>
                </w:tcPr>
                <w:p w14:paraId="160BBDF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7D1B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3005DFD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废油桶</w:t>
                  </w:r>
                </w:p>
              </w:tc>
              <w:tc>
                <w:tcPr>
                  <w:tcW w:w="531" w:type="pct"/>
                  <w:tcBorders>
                    <w:tl2br w:val="nil"/>
                    <w:tr2bl w:val="nil"/>
                  </w:tcBorders>
                  <w:vAlign w:val="center"/>
                </w:tcPr>
                <w:p w14:paraId="5DF4A67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HW08</w:t>
                  </w:r>
                </w:p>
              </w:tc>
              <w:tc>
                <w:tcPr>
                  <w:tcW w:w="772" w:type="pct"/>
                  <w:tcBorders>
                    <w:tl2br w:val="nil"/>
                    <w:tr2bl w:val="nil"/>
                  </w:tcBorders>
                  <w:vAlign w:val="center"/>
                </w:tcPr>
                <w:p w14:paraId="79E51FC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900-249-08</w:t>
                  </w:r>
                </w:p>
              </w:tc>
              <w:tc>
                <w:tcPr>
                  <w:tcW w:w="537" w:type="pct"/>
                  <w:tcBorders>
                    <w:tl2br w:val="nil"/>
                    <w:tr2bl w:val="nil"/>
                  </w:tcBorders>
                  <w:vAlign w:val="center"/>
                </w:tcPr>
                <w:p w14:paraId="19CADFF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0.01</w:t>
                  </w:r>
                </w:p>
              </w:tc>
              <w:tc>
                <w:tcPr>
                  <w:tcW w:w="422" w:type="pct"/>
                  <w:vMerge w:val="continue"/>
                  <w:tcBorders>
                    <w:tl2br w:val="nil"/>
                    <w:tr2bl w:val="nil"/>
                  </w:tcBorders>
                  <w:vAlign w:val="center"/>
                </w:tcPr>
                <w:p w14:paraId="4FCE19F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331" w:type="pct"/>
                  <w:tcBorders>
                    <w:tl2br w:val="nil"/>
                    <w:tr2bl w:val="nil"/>
                  </w:tcBorders>
                  <w:vAlign w:val="center"/>
                </w:tcPr>
                <w:p w14:paraId="54EF4F3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固态</w:t>
                  </w:r>
                </w:p>
              </w:tc>
              <w:tc>
                <w:tcPr>
                  <w:tcW w:w="518" w:type="pct"/>
                  <w:vMerge w:val="continue"/>
                  <w:tcBorders>
                    <w:tl2br w:val="nil"/>
                    <w:tr2bl w:val="nil"/>
                  </w:tcBorders>
                  <w:vAlign w:val="center"/>
                </w:tcPr>
                <w:p w14:paraId="2B3EAAE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379" w:type="pct"/>
                  <w:vMerge w:val="continue"/>
                  <w:tcBorders>
                    <w:tl2br w:val="nil"/>
                    <w:tr2bl w:val="nil"/>
                  </w:tcBorders>
                  <w:vAlign w:val="center"/>
                </w:tcPr>
                <w:p w14:paraId="5F7E336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276" w:type="pct"/>
                  <w:vMerge w:val="continue"/>
                  <w:tcBorders>
                    <w:tl2br w:val="nil"/>
                    <w:tr2bl w:val="nil"/>
                  </w:tcBorders>
                  <w:vAlign w:val="center"/>
                </w:tcPr>
                <w:p w14:paraId="416CFAB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712" w:type="pct"/>
                  <w:vMerge w:val="continue"/>
                  <w:tcBorders>
                    <w:tl2br w:val="nil"/>
                    <w:tr2bl w:val="nil"/>
                  </w:tcBorders>
                  <w:vAlign w:val="center"/>
                </w:tcPr>
                <w:p w14:paraId="3729C14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2BEA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70EAF7A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废活性炭</w:t>
                  </w:r>
                </w:p>
              </w:tc>
              <w:tc>
                <w:tcPr>
                  <w:tcW w:w="531" w:type="pct"/>
                  <w:tcBorders>
                    <w:tl2br w:val="nil"/>
                    <w:tr2bl w:val="nil"/>
                  </w:tcBorders>
                  <w:vAlign w:val="center"/>
                </w:tcPr>
                <w:p w14:paraId="0D4943B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772" w:type="pct"/>
                  <w:tcBorders>
                    <w:tl2br w:val="nil"/>
                    <w:tr2bl w:val="nil"/>
                  </w:tcBorders>
                  <w:vAlign w:val="center"/>
                </w:tcPr>
                <w:p w14:paraId="5E0BE3E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900-041-49</w:t>
                  </w:r>
                </w:p>
              </w:tc>
              <w:tc>
                <w:tcPr>
                  <w:tcW w:w="537" w:type="pct"/>
                  <w:tcBorders>
                    <w:tl2br w:val="nil"/>
                    <w:tr2bl w:val="nil"/>
                  </w:tcBorders>
                  <w:vAlign w:val="center"/>
                </w:tcPr>
                <w:p w14:paraId="4376C65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2</w:t>
                  </w:r>
                </w:p>
              </w:tc>
              <w:tc>
                <w:tcPr>
                  <w:tcW w:w="422" w:type="pct"/>
                  <w:tcBorders>
                    <w:tl2br w:val="nil"/>
                    <w:tr2bl w:val="nil"/>
                  </w:tcBorders>
                  <w:vAlign w:val="center"/>
                </w:tcPr>
                <w:p w14:paraId="2BD88D1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废气治理</w:t>
                  </w:r>
                </w:p>
              </w:tc>
              <w:tc>
                <w:tcPr>
                  <w:tcW w:w="331" w:type="pct"/>
                  <w:tcBorders>
                    <w:tl2br w:val="nil"/>
                    <w:tr2bl w:val="nil"/>
                  </w:tcBorders>
                  <w:vAlign w:val="center"/>
                </w:tcPr>
                <w:p w14:paraId="6362C5E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固态</w:t>
                  </w:r>
                </w:p>
              </w:tc>
              <w:tc>
                <w:tcPr>
                  <w:tcW w:w="518" w:type="pct"/>
                  <w:tcBorders>
                    <w:tl2br w:val="nil"/>
                    <w:tr2bl w:val="nil"/>
                  </w:tcBorders>
                  <w:vAlign w:val="center"/>
                </w:tcPr>
                <w:p w14:paraId="100B132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T/In</w:t>
                  </w:r>
                </w:p>
              </w:tc>
              <w:tc>
                <w:tcPr>
                  <w:tcW w:w="379" w:type="pct"/>
                  <w:tcBorders>
                    <w:tl2br w:val="nil"/>
                    <w:tr2bl w:val="nil"/>
                  </w:tcBorders>
                  <w:vAlign w:val="center"/>
                </w:tcPr>
                <w:p w14:paraId="09907AA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有毒有害气体</w:t>
                  </w:r>
                </w:p>
              </w:tc>
              <w:tc>
                <w:tcPr>
                  <w:tcW w:w="276" w:type="pct"/>
                  <w:tcBorders>
                    <w:tl2br w:val="nil"/>
                    <w:tr2bl w:val="nil"/>
                  </w:tcBorders>
                  <w:vAlign w:val="center"/>
                </w:tcPr>
                <w:p w14:paraId="3ED1699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一年</w:t>
                  </w:r>
                </w:p>
              </w:tc>
              <w:tc>
                <w:tcPr>
                  <w:tcW w:w="712" w:type="pct"/>
                  <w:tcBorders>
                    <w:tl2br w:val="nil"/>
                    <w:tr2bl w:val="nil"/>
                  </w:tcBorders>
                  <w:vAlign w:val="center"/>
                </w:tcPr>
                <w:p w14:paraId="4F1CFDE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暂存于危废间内，定期交有资质单位统一处理</w:t>
                  </w:r>
                </w:p>
              </w:tc>
            </w:tr>
            <w:tr w14:paraId="61C5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20A805A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污泥</w:t>
                  </w:r>
                </w:p>
              </w:tc>
              <w:tc>
                <w:tcPr>
                  <w:tcW w:w="531" w:type="pct"/>
                  <w:tcBorders>
                    <w:tl2br w:val="nil"/>
                    <w:tr2bl w:val="nil"/>
                  </w:tcBorders>
                  <w:vAlign w:val="center"/>
                </w:tcPr>
                <w:p w14:paraId="151CA59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772" w:type="pct"/>
                  <w:tcBorders>
                    <w:tl2br w:val="nil"/>
                    <w:tr2bl w:val="nil"/>
                  </w:tcBorders>
                  <w:vAlign w:val="center"/>
                </w:tcPr>
                <w:p w14:paraId="2B95BFC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772-006-49</w:t>
                  </w:r>
                </w:p>
              </w:tc>
              <w:tc>
                <w:tcPr>
                  <w:tcW w:w="537" w:type="pct"/>
                  <w:tcBorders>
                    <w:tl2br w:val="nil"/>
                    <w:tr2bl w:val="nil"/>
                  </w:tcBorders>
                  <w:vAlign w:val="center"/>
                </w:tcPr>
                <w:p w14:paraId="41103C8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2</w:t>
                  </w:r>
                </w:p>
              </w:tc>
              <w:tc>
                <w:tcPr>
                  <w:tcW w:w="422" w:type="pct"/>
                  <w:vMerge w:val="restart"/>
                  <w:tcBorders>
                    <w:tl2br w:val="nil"/>
                    <w:tr2bl w:val="nil"/>
                  </w:tcBorders>
                  <w:vAlign w:val="center"/>
                </w:tcPr>
                <w:p w14:paraId="210014F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废水治理</w:t>
                  </w:r>
                </w:p>
              </w:tc>
              <w:tc>
                <w:tcPr>
                  <w:tcW w:w="331" w:type="pct"/>
                  <w:tcBorders>
                    <w:tl2br w:val="nil"/>
                    <w:tr2bl w:val="nil"/>
                  </w:tcBorders>
                  <w:vAlign w:val="center"/>
                </w:tcPr>
                <w:p w14:paraId="189A62C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固态</w:t>
                  </w:r>
                </w:p>
              </w:tc>
              <w:tc>
                <w:tcPr>
                  <w:tcW w:w="518" w:type="pct"/>
                  <w:tcBorders>
                    <w:tl2br w:val="nil"/>
                    <w:tr2bl w:val="nil"/>
                  </w:tcBorders>
                  <w:vAlign w:val="center"/>
                </w:tcPr>
                <w:p w14:paraId="4AFB5E3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T/In</w:t>
                  </w:r>
                </w:p>
              </w:tc>
              <w:tc>
                <w:tcPr>
                  <w:tcW w:w="379" w:type="pct"/>
                  <w:tcBorders>
                    <w:tl2br w:val="nil"/>
                    <w:tr2bl w:val="nil"/>
                  </w:tcBorders>
                  <w:vAlign w:val="center"/>
                </w:tcPr>
                <w:p w14:paraId="1311F3E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重金属</w:t>
                  </w:r>
                </w:p>
              </w:tc>
              <w:tc>
                <w:tcPr>
                  <w:tcW w:w="276" w:type="pct"/>
                  <w:tcBorders>
                    <w:tl2br w:val="nil"/>
                    <w:tr2bl w:val="nil"/>
                  </w:tcBorders>
                  <w:vAlign w:val="center"/>
                </w:tcPr>
                <w:p w14:paraId="0C6F2C3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一年</w:t>
                  </w:r>
                </w:p>
              </w:tc>
              <w:tc>
                <w:tcPr>
                  <w:tcW w:w="712" w:type="pct"/>
                  <w:vMerge w:val="restart"/>
                  <w:tcBorders>
                    <w:tl2br w:val="nil"/>
                    <w:tr2bl w:val="nil"/>
                  </w:tcBorders>
                  <w:vAlign w:val="center"/>
                </w:tcPr>
                <w:p w14:paraId="06B314D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暂存于危废间内，定期交有资质单位统一处理</w:t>
                  </w:r>
                </w:p>
              </w:tc>
            </w:tr>
            <w:tr w14:paraId="77FE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60B2D2E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废过滤膜</w:t>
                  </w:r>
                </w:p>
              </w:tc>
              <w:tc>
                <w:tcPr>
                  <w:tcW w:w="531" w:type="pct"/>
                  <w:tcBorders>
                    <w:tl2br w:val="nil"/>
                    <w:tr2bl w:val="nil"/>
                  </w:tcBorders>
                  <w:vAlign w:val="center"/>
                </w:tcPr>
                <w:p w14:paraId="12AC330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772" w:type="pct"/>
                  <w:tcBorders>
                    <w:tl2br w:val="nil"/>
                    <w:tr2bl w:val="nil"/>
                  </w:tcBorders>
                  <w:vAlign w:val="center"/>
                </w:tcPr>
                <w:p w14:paraId="756FC66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900-041-49</w:t>
                  </w:r>
                </w:p>
              </w:tc>
              <w:tc>
                <w:tcPr>
                  <w:tcW w:w="537" w:type="pct"/>
                  <w:tcBorders>
                    <w:tl2br w:val="nil"/>
                    <w:tr2bl w:val="nil"/>
                  </w:tcBorders>
                  <w:vAlign w:val="center"/>
                </w:tcPr>
                <w:p w14:paraId="79183C8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0.01</w:t>
                  </w:r>
                </w:p>
              </w:tc>
              <w:tc>
                <w:tcPr>
                  <w:tcW w:w="422" w:type="pct"/>
                  <w:vMerge w:val="continue"/>
                  <w:tcBorders>
                    <w:tl2br w:val="nil"/>
                    <w:tr2bl w:val="nil"/>
                  </w:tcBorders>
                  <w:vAlign w:val="center"/>
                </w:tcPr>
                <w:p w14:paraId="619968F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331" w:type="pct"/>
                  <w:tcBorders>
                    <w:tl2br w:val="nil"/>
                    <w:tr2bl w:val="nil"/>
                  </w:tcBorders>
                  <w:vAlign w:val="center"/>
                </w:tcPr>
                <w:p w14:paraId="41FBFD6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固态</w:t>
                  </w:r>
                </w:p>
              </w:tc>
              <w:tc>
                <w:tcPr>
                  <w:tcW w:w="518" w:type="pct"/>
                  <w:tcBorders>
                    <w:tl2br w:val="nil"/>
                    <w:tr2bl w:val="nil"/>
                  </w:tcBorders>
                  <w:vAlign w:val="center"/>
                </w:tcPr>
                <w:p w14:paraId="085E863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T/In</w:t>
                  </w:r>
                </w:p>
              </w:tc>
              <w:tc>
                <w:tcPr>
                  <w:tcW w:w="379" w:type="pct"/>
                  <w:tcBorders>
                    <w:tl2br w:val="nil"/>
                    <w:tr2bl w:val="nil"/>
                  </w:tcBorders>
                  <w:vAlign w:val="center"/>
                </w:tcPr>
                <w:p w14:paraId="108EACE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重金属</w:t>
                  </w:r>
                </w:p>
              </w:tc>
              <w:tc>
                <w:tcPr>
                  <w:tcW w:w="276" w:type="pct"/>
                  <w:tcBorders>
                    <w:tl2br w:val="nil"/>
                    <w:tr2bl w:val="nil"/>
                  </w:tcBorders>
                  <w:vAlign w:val="center"/>
                </w:tcPr>
                <w:p w14:paraId="5A63B87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一年</w:t>
                  </w:r>
                </w:p>
              </w:tc>
              <w:tc>
                <w:tcPr>
                  <w:tcW w:w="712" w:type="pct"/>
                  <w:vMerge w:val="continue"/>
                  <w:tcBorders>
                    <w:tl2br w:val="nil"/>
                    <w:tr2bl w:val="nil"/>
                  </w:tcBorders>
                  <w:vAlign w:val="center"/>
                </w:tcPr>
                <w:p w14:paraId="0696849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2FB1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79C2FE8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废试剂</w:t>
                  </w:r>
                </w:p>
              </w:tc>
              <w:tc>
                <w:tcPr>
                  <w:tcW w:w="531" w:type="pct"/>
                  <w:tcBorders>
                    <w:tl2br w:val="nil"/>
                    <w:tr2bl w:val="nil"/>
                  </w:tcBorders>
                  <w:vAlign w:val="center"/>
                </w:tcPr>
                <w:p w14:paraId="60E8F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772" w:type="pct"/>
                  <w:tcBorders>
                    <w:tl2br w:val="nil"/>
                    <w:tr2bl w:val="nil"/>
                  </w:tcBorders>
                  <w:vAlign w:val="center"/>
                </w:tcPr>
                <w:p w14:paraId="679DB23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900-047-49</w:t>
                  </w:r>
                </w:p>
              </w:tc>
              <w:tc>
                <w:tcPr>
                  <w:tcW w:w="537" w:type="pct"/>
                  <w:tcBorders>
                    <w:tl2br w:val="nil"/>
                    <w:tr2bl w:val="nil"/>
                  </w:tcBorders>
                  <w:vAlign w:val="center"/>
                </w:tcPr>
                <w:p w14:paraId="09ECDA0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0.5</w:t>
                  </w:r>
                </w:p>
              </w:tc>
              <w:tc>
                <w:tcPr>
                  <w:tcW w:w="422" w:type="pct"/>
                  <w:vMerge w:val="restart"/>
                  <w:tcBorders>
                    <w:tl2br w:val="nil"/>
                    <w:tr2bl w:val="nil"/>
                  </w:tcBorders>
                  <w:vAlign w:val="center"/>
                </w:tcPr>
                <w:p w14:paraId="25DBD05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实验室</w:t>
                  </w:r>
                </w:p>
              </w:tc>
              <w:tc>
                <w:tcPr>
                  <w:tcW w:w="331" w:type="pct"/>
                  <w:tcBorders>
                    <w:tl2br w:val="nil"/>
                    <w:tr2bl w:val="nil"/>
                  </w:tcBorders>
                  <w:vAlign w:val="center"/>
                </w:tcPr>
                <w:p w14:paraId="13973F9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液态</w:t>
                  </w:r>
                </w:p>
              </w:tc>
              <w:tc>
                <w:tcPr>
                  <w:tcW w:w="518" w:type="pct"/>
                  <w:tcBorders>
                    <w:tl2br w:val="nil"/>
                    <w:tr2bl w:val="nil"/>
                  </w:tcBorders>
                  <w:vAlign w:val="center"/>
                </w:tcPr>
                <w:p w14:paraId="5C0104B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T/C/I/R</w:t>
                  </w:r>
                </w:p>
              </w:tc>
              <w:tc>
                <w:tcPr>
                  <w:tcW w:w="379" w:type="pct"/>
                  <w:vMerge w:val="restart"/>
                  <w:tcBorders>
                    <w:tl2br w:val="nil"/>
                    <w:tr2bl w:val="nil"/>
                  </w:tcBorders>
                  <w:vAlign w:val="center"/>
                </w:tcPr>
                <w:p w14:paraId="3A2EAB8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废酸、废碱</w:t>
                  </w:r>
                </w:p>
              </w:tc>
              <w:tc>
                <w:tcPr>
                  <w:tcW w:w="276" w:type="pct"/>
                  <w:tcBorders>
                    <w:tl2br w:val="nil"/>
                    <w:tr2bl w:val="nil"/>
                  </w:tcBorders>
                  <w:shd w:val="clear" w:color="auto" w:fill="auto"/>
                  <w:vAlign w:val="center"/>
                </w:tcPr>
                <w:p w14:paraId="789D160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一年</w:t>
                  </w:r>
                </w:p>
              </w:tc>
              <w:tc>
                <w:tcPr>
                  <w:tcW w:w="712" w:type="pct"/>
                  <w:vMerge w:val="continue"/>
                  <w:tcBorders>
                    <w:tl2br w:val="nil"/>
                    <w:tr2bl w:val="nil"/>
                  </w:tcBorders>
                  <w:vAlign w:val="center"/>
                </w:tcPr>
                <w:p w14:paraId="4E6D305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69A6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3A69C12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废试剂瓶</w:t>
                  </w:r>
                </w:p>
              </w:tc>
              <w:tc>
                <w:tcPr>
                  <w:tcW w:w="531" w:type="pct"/>
                  <w:tcBorders>
                    <w:tl2br w:val="nil"/>
                    <w:tr2bl w:val="nil"/>
                  </w:tcBorders>
                  <w:vAlign w:val="center"/>
                </w:tcPr>
                <w:p w14:paraId="707B10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772" w:type="pct"/>
                  <w:tcBorders>
                    <w:tl2br w:val="nil"/>
                    <w:tr2bl w:val="nil"/>
                  </w:tcBorders>
                  <w:vAlign w:val="center"/>
                </w:tcPr>
                <w:p w14:paraId="35E5D0D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900-047-49</w:t>
                  </w:r>
                </w:p>
              </w:tc>
              <w:tc>
                <w:tcPr>
                  <w:tcW w:w="537" w:type="pct"/>
                  <w:tcBorders>
                    <w:tl2br w:val="nil"/>
                    <w:tr2bl w:val="nil"/>
                  </w:tcBorders>
                  <w:vAlign w:val="center"/>
                </w:tcPr>
                <w:p w14:paraId="4A38FBC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0.01</w:t>
                  </w:r>
                </w:p>
              </w:tc>
              <w:tc>
                <w:tcPr>
                  <w:tcW w:w="422" w:type="pct"/>
                  <w:vMerge w:val="continue"/>
                  <w:tcBorders>
                    <w:tl2br w:val="nil"/>
                    <w:tr2bl w:val="nil"/>
                  </w:tcBorders>
                  <w:vAlign w:val="center"/>
                </w:tcPr>
                <w:p w14:paraId="0D5FBFE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331" w:type="pct"/>
                  <w:tcBorders>
                    <w:tl2br w:val="nil"/>
                    <w:tr2bl w:val="nil"/>
                  </w:tcBorders>
                  <w:vAlign w:val="center"/>
                </w:tcPr>
                <w:p w14:paraId="36C247F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固态</w:t>
                  </w:r>
                </w:p>
              </w:tc>
              <w:tc>
                <w:tcPr>
                  <w:tcW w:w="518" w:type="pct"/>
                  <w:tcBorders>
                    <w:tl2br w:val="nil"/>
                    <w:tr2bl w:val="nil"/>
                  </w:tcBorders>
                  <w:vAlign w:val="center"/>
                </w:tcPr>
                <w:p w14:paraId="21E3FD4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T/C/I/R</w:t>
                  </w:r>
                </w:p>
              </w:tc>
              <w:tc>
                <w:tcPr>
                  <w:tcW w:w="379" w:type="pct"/>
                  <w:vMerge w:val="continue"/>
                  <w:tcBorders>
                    <w:tl2br w:val="nil"/>
                    <w:tr2bl w:val="nil"/>
                  </w:tcBorders>
                  <w:vAlign w:val="center"/>
                </w:tcPr>
                <w:p w14:paraId="56D76C2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c>
                <w:tcPr>
                  <w:tcW w:w="276" w:type="pct"/>
                  <w:tcBorders>
                    <w:tl2br w:val="nil"/>
                    <w:tr2bl w:val="nil"/>
                  </w:tcBorders>
                  <w:shd w:val="clear" w:color="auto" w:fill="auto"/>
                  <w:vAlign w:val="center"/>
                </w:tcPr>
                <w:p w14:paraId="1B5AD97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一年</w:t>
                  </w:r>
                </w:p>
              </w:tc>
              <w:tc>
                <w:tcPr>
                  <w:tcW w:w="712" w:type="pct"/>
                  <w:vMerge w:val="continue"/>
                  <w:tcBorders>
                    <w:tl2br w:val="nil"/>
                    <w:tr2bl w:val="nil"/>
                  </w:tcBorders>
                  <w:vAlign w:val="center"/>
                </w:tcPr>
                <w:p w14:paraId="31E76C0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r w14:paraId="644A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18" w:type="pct"/>
                  <w:tcBorders>
                    <w:tl2br w:val="nil"/>
                    <w:tr2bl w:val="nil"/>
                  </w:tcBorders>
                  <w:vAlign w:val="center"/>
                </w:tcPr>
                <w:p w14:paraId="7539C59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废催化剂</w:t>
                  </w:r>
                </w:p>
              </w:tc>
              <w:tc>
                <w:tcPr>
                  <w:tcW w:w="531" w:type="pct"/>
                  <w:tcBorders>
                    <w:tl2br w:val="nil"/>
                    <w:tr2bl w:val="nil"/>
                  </w:tcBorders>
                  <w:vAlign w:val="center"/>
                </w:tcPr>
                <w:p w14:paraId="43DDB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HW50</w:t>
                  </w:r>
                </w:p>
              </w:tc>
              <w:tc>
                <w:tcPr>
                  <w:tcW w:w="772" w:type="pct"/>
                  <w:tcBorders>
                    <w:tl2br w:val="nil"/>
                    <w:tr2bl w:val="nil"/>
                  </w:tcBorders>
                  <w:vAlign w:val="center"/>
                </w:tcPr>
                <w:p w14:paraId="6130E68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772-007-50</w:t>
                  </w:r>
                </w:p>
              </w:tc>
              <w:tc>
                <w:tcPr>
                  <w:tcW w:w="537" w:type="pct"/>
                  <w:tcBorders>
                    <w:tl2br w:val="nil"/>
                    <w:tr2bl w:val="nil"/>
                  </w:tcBorders>
                  <w:vAlign w:val="center"/>
                </w:tcPr>
                <w:p w14:paraId="1394E4C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0.1</w:t>
                  </w:r>
                </w:p>
              </w:tc>
              <w:tc>
                <w:tcPr>
                  <w:tcW w:w="422" w:type="pct"/>
                  <w:tcBorders>
                    <w:tl2br w:val="nil"/>
                    <w:tr2bl w:val="nil"/>
                  </w:tcBorders>
                  <w:vAlign w:val="center"/>
                </w:tcPr>
                <w:p w14:paraId="1864215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废气治理</w:t>
                  </w:r>
                </w:p>
              </w:tc>
              <w:tc>
                <w:tcPr>
                  <w:tcW w:w="331" w:type="pct"/>
                  <w:tcBorders>
                    <w:tl2br w:val="nil"/>
                    <w:tr2bl w:val="nil"/>
                  </w:tcBorders>
                  <w:vAlign w:val="center"/>
                </w:tcPr>
                <w:p w14:paraId="63EFD33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固态</w:t>
                  </w:r>
                </w:p>
              </w:tc>
              <w:tc>
                <w:tcPr>
                  <w:tcW w:w="518" w:type="pct"/>
                  <w:tcBorders>
                    <w:tl2br w:val="nil"/>
                    <w:tr2bl w:val="nil"/>
                  </w:tcBorders>
                  <w:vAlign w:val="center"/>
                </w:tcPr>
                <w:p w14:paraId="664CD75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T</w:t>
                  </w:r>
                </w:p>
              </w:tc>
              <w:tc>
                <w:tcPr>
                  <w:tcW w:w="379" w:type="pct"/>
                  <w:tcBorders>
                    <w:tl2br w:val="nil"/>
                    <w:tr2bl w:val="nil"/>
                  </w:tcBorders>
                  <w:vAlign w:val="center"/>
                </w:tcPr>
                <w:p w14:paraId="0CA8F35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z w:val="18"/>
                      <w:szCs w:val="18"/>
                      <w:highlight w:val="none"/>
                      <w:vertAlign w:val="baseline"/>
                      <w:lang w:val="en-US" w:eastAsia="zh-CN"/>
                    </w:rPr>
                  </w:pPr>
                  <w:r>
                    <w:rPr>
                      <w:rFonts w:hint="default" w:ascii="Times New Roman" w:hAnsi="Times New Roman" w:eastAsia="宋体" w:cs="Times New Roman"/>
                      <w:b w:val="0"/>
                      <w:color w:val="auto"/>
                      <w:sz w:val="18"/>
                      <w:szCs w:val="18"/>
                      <w:highlight w:val="none"/>
                    </w:rPr>
                    <w:t>V</w:t>
                  </w:r>
                  <w:r>
                    <w:rPr>
                      <w:rFonts w:hint="default" w:ascii="Times New Roman" w:hAnsi="Times New Roman" w:eastAsia="宋体" w:cs="Times New Roman"/>
                      <w:b w:val="0"/>
                      <w:color w:val="auto"/>
                      <w:sz w:val="18"/>
                      <w:szCs w:val="18"/>
                      <w:highlight w:val="none"/>
                      <w:vertAlign w:val="subscript"/>
                    </w:rPr>
                    <w:t>2</w:t>
                  </w:r>
                  <w:r>
                    <w:rPr>
                      <w:rFonts w:hint="default" w:ascii="Times New Roman" w:hAnsi="Times New Roman" w:eastAsia="宋体" w:cs="Times New Roman"/>
                      <w:b w:val="0"/>
                      <w:color w:val="auto"/>
                      <w:sz w:val="18"/>
                      <w:szCs w:val="18"/>
                      <w:highlight w:val="none"/>
                    </w:rPr>
                    <w:t>O</w:t>
                  </w:r>
                  <w:r>
                    <w:rPr>
                      <w:rFonts w:hint="default" w:ascii="Times New Roman" w:hAnsi="Times New Roman" w:eastAsia="宋体" w:cs="Times New Roman"/>
                      <w:b w:val="0"/>
                      <w:color w:val="auto"/>
                      <w:sz w:val="18"/>
                      <w:szCs w:val="18"/>
                      <w:highlight w:val="none"/>
                      <w:vertAlign w:val="subscript"/>
                    </w:rPr>
                    <w:t>5</w:t>
                  </w:r>
                </w:p>
              </w:tc>
              <w:tc>
                <w:tcPr>
                  <w:tcW w:w="276" w:type="pct"/>
                  <w:tcBorders>
                    <w:tl2br w:val="nil"/>
                    <w:tr2bl w:val="nil"/>
                  </w:tcBorders>
                  <w:shd w:val="clear" w:color="auto" w:fill="auto"/>
                  <w:vAlign w:val="center"/>
                </w:tcPr>
                <w:p w14:paraId="458A92A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一年</w:t>
                  </w:r>
                </w:p>
              </w:tc>
              <w:tc>
                <w:tcPr>
                  <w:tcW w:w="712" w:type="pct"/>
                  <w:vMerge w:val="continue"/>
                  <w:tcBorders>
                    <w:tl2br w:val="nil"/>
                    <w:tr2bl w:val="nil"/>
                  </w:tcBorders>
                  <w:vAlign w:val="center"/>
                </w:tcPr>
                <w:p w14:paraId="3993A70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p>
              </w:tc>
            </w:tr>
          </w:tbl>
          <w:p w14:paraId="4AE50EA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本项目危险废物</w:t>
            </w:r>
            <w:r>
              <w:rPr>
                <w:rFonts w:hint="default" w:ascii="Times New Roman" w:hAnsi="Times New Roman" w:cs="Times New Roman"/>
                <w:color w:val="000000"/>
                <w:sz w:val="24"/>
                <w:highlight w:val="none"/>
                <w:lang w:val="en-US" w:eastAsia="zh-CN"/>
              </w:rPr>
              <w:t>建议</w:t>
            </w:r>
            <w:r>
              <w:rPr>
                <w:rFonts w:hint="default" w:ascii="Times New Roman" w:hAnsi="Times New Roman" w:cs="Times New Roman"/>
                <w:color w:val="000000"/>
                <w:sz w:val="24"/>
                <w:highlight w:val="none"/>
              </w:rPr>
              <w:t>每年转移一次，且在实际运行过程中企业加强管理，并在危险废物转移管理过程中严格执行《危险废物转移管理办法》，可有效防止危险废物对外环境造成影响。</w:t>
            </w:r>
          </w:p>
          <w:p w14:paraId="007BB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cs="Times New Roman"/>
                <w:b w:val="0"/>
                <w:bCs w:val="0"/>
                <w:color w:val="000000"/>
                <w:sz w:val="24"/>
                <w:highlight w:val="none"/>
              </w:rPr>
              <w:t>4.</w:t>
            </w:r>
            <w:r>
              <w:rPr>
                <w:rFonts w:hint="default" w:ascii="Times New Roman" w:hAnsi="Times New Roman" w:cs="Times New Roman"/>
                <w:b w:val="0"/>
                <w:bCs w:val="0"/>
                <w:color w:val="000000"/>
                <w:sz w:val="24"/>
                <w:highlight w:val="none"/>
                <w:lang w:val="en-US" w:eastAsia="zh-CN"/>
              </w:rPr>
              <w:t>2固体废物管理措施</w:t>
            </w:r>
          </w:p>
          <w:p w14:paraId="6B55F8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bCs/>
                <w:color w:val="000000"/>
                <w:sz w:val="24"/>
                <w:highlight w:val="none"/>
                <w:lang w:val="en-US" w:eastAsia="zh-CN"/>
              </w:rPr>
            </w:pPr>
            <w:r>
              <w:rPr>
                <w:rFonts w:hint="default" w:ascii="Times New Roman" w:hAnsi="Times New Roman" w:cs="Times New Roman"/>
                <w:bCs/>
                <w:color w:val="000000"/>
                <w:sz w:val="24"/>
                <w:highlight w:val="none"/>
                <w:lang w:eastAsia="zh-CN"/>
              </w:rPr>
              <w:t>（</w:t>
            </w:r>
            <w:r>
              <w:rPr>
                <w:rFonts w:hint="default" w:ascii="Times New Roman" w:hAnsi="Times New Roman" w:cs="Times New Roman"/>
                <w:bCs/>
                <w:color w:val="000000"/>
                <w:sz w:val="24"/>
                <w:highlight w:val="none"/>
                <w:lang w:val="en-US" w:eastAsia="zh-CN"/>
              </w:rPr>
              <w:t>1</w:t>
            </w:r>
            <w:r>
              <w:rPr>
                <w:rFonts w:hint="default" w:ascii="Times New Roman" w:hAnsi="Times New Roman" w:cs="Times New Roman"/>
                <w:bCs/>
                <w:color w:val="000000"/>
                <w:sz w:val="24"/>
                <w:highlight w:val="none"/>
                <w:lang w:eastAsia="zh-CN"/>
              </w:rPr>
              <w:t>）</w:t>
            </w:r>
            <w:r>
              <w:rPr>
                <w:rFonts w:hint="default" w:ascii="Times New Roman" w:hAnsi="Times New Roman" w:cs="Times New Roman"/>
                <w:bCs/>
                <w:color w:val="000000"/>
                <w:sz w:val="24"/>
                <w:highlight w:val="none"/>
                <w:lang w:val="en-US" w:eastAsia="zh-CN"/>
              </w:rPr>
              <w:t>一般固体废物管理措施</w:t>
            </w:r>
          </w:p>
          <w:p w14:paraId="6D5344D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①贮存、处置场的建设类型，必须与将要堆放的一般工业固体废物的类别相一致。</w:t>
            </w:r>
          </w:p>
          <w:p w14:paraId="04CBC2B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②贮存、处置场应采取防止粉尘污染的措施。</w:t>
            </w:r>
          </w:p>
          <w:p w14:paraId="2AE462E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③为加强监督管理，贮存、处置场应设置环境保护图形标志。</w:t>
            </w:r>
          </w:p>
          <w:p w14:paraId="0B1C8F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baseline"/>
              <w:rPr>
                <w:rFonts w:hint="default" w:ascii="Times New Roman" w:hAnsi="Times New Roman" w:cs="Times New Roman"/>
                <w:bCs/>
                <w:color w:val="000000"/>
                <w:sz w:val="24"/>
                <w:highlight w:val="none"/>
              </w:rPr>
            </w:pPr>
            <w:r>
              <w:rPr>
                <w:rFonts w:hint="default" w:ascii="Times New Roman" w:hAnsi="Times New Roman" w:cs="Times New Roman"/>
                <w:color w:val="000000"/>
                <w:sz w:val="24"/>
                <w:highlight w:val="none"/>
              </w:rPr>
              <w:t>本项目一般固废暂存于车间内，集中收集，定期处置。</w:t>
            </w:r>
          </w:p>
          <w:p w14:paraId="1D6D392B">
            <w:pPr>
              <w:keepNext w:val="0"/>
              <w:keepLines w:val="0"/>
              <w:suppressLineNumbers w:val="0"/>
              <w:adjustRightInd w:val="0"/>
              <w:snapToGrid w:val="0"/>
              <w:spacing w:before="0" w:beforeAutospacing="0" w:after="0" w:afterAutospacing="0" w:line="360" w:lineRule="auto"/>
              <w:ind w:left="0" w:right="-28" w:firstLine="480" w:firstLineChars="200"/>
              <w:textAlignment w:val="baseline"/>
              <w:rPr>
                <w:rFonts w:hint="default" w:ascii="Times New Roman" w:hAnsi="Times New Roman" w:eastAsia="宋体" w:cs="Times New Roman"/>
                <w:bCs/>
                <w:color w:val="000000"/>
                <w:sz w:val="24"/>
                <w:highlight w:val="none"/>
                <w:lang w:val="en-US" w:eastAsia="zh-CN"/>
              </w:rPr>
            </w:pPr>
            <w:r>
              <w:rPr>
                <w:rFonts w:hint="default" w:ascii="Times New Roman" w:hAnsi="Times New Roman" w:cs="Times New Roman"/>
                <w:bCs/>
                <w:color w:val="000000"/>
                <w:sz w:val="24"/>
                <w:highlight w:val="none"/>
                <w:lang w:eastAsia="zh-CN"/>
              </w:rPr>
              <w:t>（</w:t>
            </w:r>
            <w:r>
              <w:rPr>
                <w:rFonts w:hint="default" w:ascii="Times New Roman" w:hAnsi="Times New Roman" w:cs="Times New Roman"/>
                <w:bCs/>
                <w:color w:val="000000"/>
                <w:sz w:val="24"/>
                <w:highlight w:val="none"/>
                <w:lang w:val="en-US" w:eastAsia="zh-CN"/>
              </w:rPr>
              <w:t>2</w:t>
            </w:r>
            <w:r>
              <w:rPr>
                <w:rFonts w:hint="default" w:ascii="Times New Roman" w:hAnsi="Times New Roman" w:cs="Times New Roman"/>
                <w:bCs/>
                <w:color w:val="000000"/>
                <w:sz w:val="24"/>
                <w:highlight w:val="none"/>
                <w:lang w:eastAsia="zh-CN"/>
              </w:rPr>
              <w:t>）</w:t>
            </w:r>
            <w:r>
              <w:rPr>
                <w:rFonts w:hint="default" w:ascii="Times New Roman" w:hAnsi="Times New Roman" w:cs="Times New Roman"/>
                <w:bCs/>
                <w:color w:val="000000"/>
                <w:sz w:val="24"/>
                <w:highlight w:val="none"/>
                <w:lang w:val="en-US" w:eastAsia="zh-CN"/>
              </w:rPr>
              <w:t>危险废物管理措施</w:t>
            </w:r>
          </w:p>
          <w:p w14:paraId="159555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000000"/>
                <w:sz w:val="24"/>
                <w:highlight w:val="none"/>
                <w:lang w:eastAsia="zh-CN"/>
              </w:rPr>
            </w:pPr>
            <w:r>
              <w:rPr>
                <w:rFonts w:hint="default" w:ascii="Times New Roman" w:hAnsi="Times New Roman" w:cs="Times New Roman"/>
                <w:color w:val="000000"/>
                <w:sz w:val="24"/>
                <w:highlight w:val="none"/>
                <w:lang w:val="en-US" w:eastAsia="zh-CN"/>
              </w:rPr>
              <w:t>危险废物</w:t>
            </w:r>
            <w:r>
              <w:rPr>
                <w:rFonts w:hint="default" w:ascii="Times New Roman" w:hAnsi="Times New Roman" w:eastAsia="宋体" w:cs="Times New Roman"/>
                <w:color w:val="000000"/>
                <w:sz w:val="24"/>
                <w:highlight w:val="none"/>
                <w:lang w:val="en-US" w:eastAsia="zh-CN"/>
              </w:rPr>
              <w:t>分类收集，加盖密封于密闭桶内，</w:t>
            </w:r>
            <w:r>
              <w:rPr>
                <w:rFonts w:hint="default" w:ascii="Times New Roman" w:hAnsi="Times New Roman" w:eastAsia="宋体" w:cs="Times New Roman"/>
                <w:color w:val="000000"/>
                <w:sz w:val="24"/>
                <w:highlight w:val="none"/>
              </w:rPr>
              <w:t>暂存于危废暂存间，委托有资质单位处理</w:t>
            </w:r>
            <w:r>
              <w:rPr>
                <w:rFonts w:hint="default" w:ascii="Times New Roman" w:hAnsi="Times New Roman" w:eastAsia="宋体" w:cs="Times New Roman"/>
                <w:color w:val="000000"/>
                <w:sz w:val="24"/>
                <w:highlight w:val="none"/>
                <w:lang w:eastAsia="zh-CN"/>
              </w:rPr>
              <w:t>。</w:t>
            </w:r>
          </w:p>
          <w:p w14:paraId="41FF75D4">
            <w:pPr>
              <w:keepNext w:val="0"/>
              <w:keepLines w:val="0"/>
              <w:suppressLineNumbers w:val="0"/>
              <w:adjustRightInd w:val="0"/>
              <w:snapToGrid w:val="0"/>
              <w:spacing w:before="0" w:beforeAutospacing="0" w:after="0" w:afterAutospacing="0" w:line="360" w:lineRule="auto"/>
              <w:ind w:left="0" w:right="-28" w:firstLine="480" w:firstLineChars="200"/>
              <w:textAlignment w:val="baseline"/>
              <w:rPr>
                <w:rFonts w:hint="default" w:ascii="Times New Roman" w:hAnsi="Times New Roman" w:cs="Times New Roman"/>
                <w:b/>
                <w:color w:val="000000"/>
                <w:sz w:val="24"/>
                <w:highlight w:val="none"/>
              </w:rPr>
            </w:pPr>
            <w:r>
              <w:rPr>
                <w:rFonts w:hint="default" w:ascii="Times New Roman" w:hAnsi="Times New Roman" w:cs="Times New Roman"/>
                <w:bCs/>
                <w:color w:val="000000"/>
                <w:sz w:val="24"/>
                <w:highlight w:val="none"/>
              </w:rPr>
              <w:t>根据</w:t>
            </w:r>
            <w:r>
              <w:rPr>
                <w:rFonts w:hint="default" w:ascii="Times New Roman" w:hAnsi="Times New Roman" w:cs="Times New Roman"/>
                <w:color w:val="000000"/>
                <w:sz w:val="24"/>
                <w:highlight w:val="none"/>
              </w:rPr>
              <w:t>《危险废物贮存污染控制标准》（GB18597-2023）对危险废物贮存场所提出以下要求：</w:t>
            </w:r>
          </w:p>
          <w:p w14:paraId="645065C7">
            <w:pPr>
              <w:keepNext w:val="0"/>
              <w:keepLines w:val="0"/>
              <w:suppressLineNumbers w:val="0"/>
              <w:adjustRightInd w:val="0"/>
              <w:snapToGrid w:val="0"/>
              <w:spacing w:before="0" w:beforeAutospacing="0" w:after="0" w:afterAutospacing="0" w:line="360" w:lineRule="auto"/>
              <w:ind w:left="0" w:right="-28" w:firstLine="482" w:firstLineChars="200"/>
              <w:textAlignment w:val="baseline"/>
              <w:rPr>
                <w:rFonts w:hint="default" w:ascii="Times New Roman" w:hAnsi="Times New Roman" w:cs="Times New Roman"/>
                <w:b/>
                <w:color w:val="000000"/>
                <w:sz w:val="24"/>
                <w:highlight w:val="none"/>
              </w:rPr>
            </w:pPr>
            <w:r>
              <w:rPr>
                <w:rFonts w:hint="default" w:ascii="Times New Roman" w:hAnsi="Times New Roman" w:cs="Times New Roman"/>
                <w:b/>
                <w:color w:val="000000"/>
                <w:sz w:val="24"/>
                <w:highlight w:val="none"/>
              </w:rPr>
              <w:t>危废暂存间一般规定：</w:t>
            </w:r>
          </w:p>
          <w:p w14:paraId="7C28FD8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本项目危废暂存间占地面积</w:t>
            </w:r>
            <w:r>
              <w:rPr>
                <w:rFonts w:hint="default" w:ascii="Times New Roman" w:hAnsi="Times New Roman" w:cs="Times New Roman"/>
                <w:color w:val="000000"/>
                <w:sz w:val="24"/>
                <w:highlight w:val="none"/>
                <w:lang w:val="en-US" w:eastAsia="zh-CN"/>
              </w:rPr>
              <w:t>20</w:t>
            </w:r>
            <w:r>
              <w:rPr>
                <w:rFonts w:hint="default" w:ascii="Times New Roman" w:hAnsi="Times New Roman" w:cs="Times New Roman"/>
                <w:color w:val="000000"/>
                <w:sz w:val="24"/>
                <w:highlight w:val="none"/>
              </w:rPr>
              <w:t>m</w:t>
            </w:r>
            <w:r>
              <w:rPr>
                <w:rFonts w:hint="default" w:ascii="Times New Roman" w:hAnsi="Times New Roman" w:cs="Times New Roman"/>
                <w:color w:val="000000"/>
                <w:sz w:val="24"/>
                <w:highlight w:val="none"/>
                <w:vertAlign w:val="superscript"/>
              </w:rPr>
              <w:t>2</w:t>
            </w:r>
            <w:r>
              <w:rPr>
                <w:rFonts w:hint="default" w:ascii="Times New Roman" w:hAnsi="Times New Roman" w:cs="Times New Roman"/>
                <w:color w:val="000000"/>
                <w:sz w:val="24"/>
                <w:highlight w:val="none"/>
              </w:rPr>
              <w:t>。危废暂存间满足如下要求：</w:t>
            </w:r>
          </w:p>
          <w:p w14:paraId="672258BC">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color w:val="000000"/>
                <w:sz w:val="24"/>
                <w:highlight w:val="none"/>
              </w:rPr>
            </w:pPr>
            <w:r>
              <w:rPr>
                <w:rFonts w:hint="default" w:ascii="Times New Roman" w:hAnsi="Times New Roman" w:cs="Times New Roman"/>
                <w:color w:val="000000"/>
                <w:sz w:val="24"/>
                <w:highlight w:val="none"/>
              </w:rPr>
              <w:t>①贮存设施应根据危险废物的形态、物理化学性质、包装形式和污染物迁移途径，采取必要的防风、防晒、防雨、防漏、防渗、防腐以及其他环境污染防治措施，不应露天堆放危险废物。②贮存设施应根据危险废物的类别、数量、形态、物理化学性质和污染防治等要求设置必要的贮存分区，避免不相容的危险废物接触、混合。③贮存设施或贮存分区内地面、墙面裙脚、堵截泄漏的围堰、接触危险废物的隔板和墙体等应采用坚固的材料建造，表面无裂缝。④</w:t>
            </w:r>
            <w:r>
              <w:rPr>
                <w:rFonts w:hint="default" w:ascii="Times New Roman" w:hAnsi="Times New Roman" w:cs="Times New Roman"/>
                <w:bCs/>
                <w:color w:val="000000"/>
                <w:sz w:val="24"/>
                <w:highlight w:val="none"/>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2 mm厚高密度聚乙烯膜等人工防渗材料（渗透系数不大于10</w:t>
            </w:r>
            <w:r>
              <w:rPr>
                <w:rFonts w:hint="default" w:ascii="Times New Roman" w:hAnsi="Times New Roman" w:cs="Times New Roman"/>
                <w:bCs/>
                <w:color w:val="000000"/>
                <w:sz w:val="24"/>
                <w:highlight w:val="none"/>
                <w:vertAlign w:val="superscript"/>
              </w:rPr>
              <w:t>-10</w:t>
            </w:r>
            <w:r>
              <w:rPr>
                <w:rFonts w:hint="default" w:ascii="Times New Roman" w:hAnsi="Times New Roman" w:cs="Times New Roman"/>
                <w:bCs/>
                <w:color w:val="000000"/>
                <w:sz w:val="24"/>
                <w:highlight w:val="none"/>
              </w:rPr>
              <w:t xml:space="preserve"> cm/s），或其他防渗性能等效的材料。⑤同一贮存设施宜采用相同的防渗、防腐工艺（包括防渗、防腐结构或材料），防渗、防腐材料应覆盖所有可能与废物及其渗滤液、渗漏液等接触的构筑物表面；采用不同防渗、防腐工艺应分别建设贮存分区。⑥贮存设施应采取技术和管理措施防止无关人员进入。</w:t>
            </w:r>
          </w:p>
          <w:p w14:paraId="1EB07C2C">
            <w:pPr>
              <w:keepNext w:val="0"/>
              <w:keepLines w:val="0"/>
              <w:suppressLineNumbers w:val="0"/>
              <w:adjustRightInd w:val="0"/>
              <w:spacing w:before="0" w:beforeAutospacing="0" w:after="0" w:afterAutospacing="0" w:line="360" w:lineRule="auto"/>
              <w:ind w:left="0" w:right="-28" w:firstLine="480" w:firstLineChars="200"/>
              <w:textAlignment w:val="baseline"/>
              <w:rPr>
                <w:rFonts w:hint="default" w:ascii="Times New Roman" w:hAnsi="Times New Roman" w:eastAsia="宋体" w:cs="Times New Roman"/>
                <w:b/>
                <w:bCs/>
                <w:color w:val="000000"/>
                <w:sz w:val="24"/>
                <w:highlight w:val="none"/>
                <w:lang w:eastAsia="zh-CN"/>
              </w:rPr>
            </w:pPr>
            <w:r>
              <w:rPr>
                <w:rFonts w:hint="default" w:ascii="Times New Roman" w:hAnsi="Times New Roman" w:cs="Times New Roman"/>
                <w:color w:val="000000"/>
                <w:sz w:val="24"/>
                <w:highlight w:val="none"/>
                <w:lang w:val="en-US" w:eastAsia="zh-CN"/>
              </w:rPr>
              <w:t>危废间的建设满足</w:t>
            </w:r>
            <w:r>
              <w:rPr>
                <w:rFonts w:hint="default" w:ascii="Times New Roman" w:hAnsi="Times New Roman" w:cs="Times New Roman"/>
                <w:color w:val="000000"/>
                <w:sz w:val="24"/>
                <w:highlight w:val="none"/>
              </w:rPr>
              <w:t>《危险废物贮存污染控制标准》（GB18597-2023）中的标准</w:t>
            </w:r>
            <w:r>
              <w:rPr>
                <w:rFonts w:hint="default" w:ascii="Times New Roman" w:hAnsi="Times New Roman" w:cs="Times New Roman"/>
                <w:color w:val="000000"/>
                <w:sz w:val="24"/>
                <w:highlight w:val="none"/>
                <w:lang w:eastAsia="zh-CN"/>
              </w:rPr>
              <w:t>。</w:t>
            </w:r>
          </w:p>
          <w:p w14:paraId="7180402D">
            <w:pPr>
              <w:keepNext w:val="0"/>
              <w:keepLines w:val="0"/>
              <w:suppressLineNumbers w:val="0"/>
              <w:adjustRightInd w:val="0"/>
              <w:spacing w:before="0" w:beforeAutospacing="0" w:after="0" w:afterAutospacing="0" w:line="360" w:lineRule="auto"/>
              <w:ind w:left="0" w:right="-28" w:firstLine="482" w:firstLineChars="200"/>
              <w:textAlignment w:val="baseline"/>
              <w:rPr>
                <w:rFonts w:hint="default" w:ascii="Times New Roman" w:hAnsi="Times New Roman" w:cs="Times New Roman"/>
                <w:b/>
                <w:bCs/>
                <w:color w:val="000000"/>
                <w:sz w:val="24"/>
                <w:highlight w:val="none"/>
              </w:rPr>
            </w:pPr>
            <w:r>
              <w:rPr>
                <w:rFonts w:hint="default" w:ascii="Times New Roman" w:hAnsi="Times New Roman" w:cs="Times New Roman"/>
                <w:b/>
                <w:bCs/>
                <w:color w:val="000000"/>
                <w:sz w:val="24"/>
                <w:highlight w:val="none"/>
              </w:rPr>
              <w:t>危险废物贮存管理要求：</w:t>
            </w:r>
          </w:p>
          <w:p w14:paraId="132D36D0">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a、本项目</w:t>
            </w:r>
            <w:r>
              <w:rPr>
                <w:rFonts w:hint="default" w:ascii="Times New Roman" w:hAnsi="Times New Roman" w:eastAsia="宋体" w:cs="Times New Roman"/>
                <w:bCs/>
                <w:color w:val="000000"/>
                <w:sz w:val="24"/>
                <w:highlight w:val="none"/>
                <w:lang w:val="en-US" w:eastAsia="zh-CN"/>
              </w:rPr>
              <w:t>新建</w:t>
            </w:r>
            <w:r>
              <w:rPr>
                <w:rFonts w:hint="default" w:ascii="Times New Roman" w:hAnsi="Times New Roman" w:eastAsia="宋体" w:cs="Times New Roman"/>
                <w:bCs/>
                <w:color w:val="000000"/>
                <w:sz w:val="24"/>
                <w:highlight w:val="none"/>
              </w:rPr>
              <w:t>危废间，危废间占地面积</w:t>
            </w:r>
            <w:r>
              <w:rPr>
                <w:rFonts w:hint="default" w:ascii="Times New Roman" w:hAnsi="Times New Roman" w:cs="Times New Roman"/>
                <w:bCs/>
                <w:color w:val="000000"/>
                <w:sz w:val="24"/>
                <w:highlight w:val="none"/>
                <w:lang w:val="en-US" w:eastAsia="zh-CN"/>
              </w:rPr>
              <w:t>20</w:t>
            </w:r>
            <w:r>
              <w:rPr>
                <w:rFonts w:hint="default" w:ascii="Times New Roman" w:hAnsi="Times New Roman" w:eastAsia="宋体" w:cs="Times New Roman"/>
                <w:bCs/>
                <w:color w:val="000000"/>
                <w:sz w:val="24"/>
                <w:highlight w:val="none"/>
              </w:rPr>
              <w:t>m</w:t>
            </w:r>
            <w:r>
              <w:rPr>
                <w:rFonts w:hint="default" w:ascii="Times New Roman" w:hAnsi="Times New Roman" w:eastAsia="宋体" w:cs="Times New Roman"/>
                <w:bCs/>
                <w:color w:val="000000"/>
                <w:sz w:val="24"/>
                <w:highlight w:val="none"/>
                <w:vertAlign w:val="superscript"/>
              </w:rPr>
              <w:t>2</w:t>
            </w:r>
            <w:r>
              <w:rPr>
                <w:rFonts w:hint="default" w:ascii="Times New Roman" w:hAnsi="Times New Roman" w:eastAsia="宋体" w:cs="Times New Roman"/>
                <w:bCs/>
                <w:color w:val="000000"/>
                <w:sz w:val="24"/>
                <w:highlight w:val="none"/>
              </w:rPr>
              <w:t>，危险废物产生点、包装容器和包装物上、</w:t>
            </w:r>
            <w:r>
              <w:rPr>
                <w:rFonts w:hint="default" w:ascii="Times New Roman" w:hAnsi="Times New Roman" w:eastAsia="宋体" w:cs="Times New Roman"/>
                <w:bCs/>
                <w:color w:val="000000"/>
                <w:sz w:val="24"/>
                <w:highlight w:val="none"/>
                <w:lang w:val="en-US" w:eastAsia="zh-CN"/>
              </w:rPr>
              <w:t>危废间</w:t>
            </w:r>
            <w:r>
              <w:rPr>
                <w:rFonts w:hint="default" w:ascii="Times New Roman" w:hAnsi="Times New Roman" w:eastAsia="宋体" w:cs="Times New Roman"/>
                <w:bCs/>
                <w:color w:val="000000"/>
                <w:sz w:val="24"/>
                <w:highlight w:val="none"/>
              </w:rPr>
              <w:t>均应设置危险废物警示标志。</w:t>
            </w:r>
          </w:p>
          <w:p w14:paraId="0AB5B3B0">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b、盛装危废的容器要符合标准要求，容器应根据危险废物的不同特性而设计，容器应不易破损、变形、老化，并能有效地防止渗透、扩散。装有危险废物的容器必须贴有符合《危险废物识别标志设置技术规范》（HJ 1276-2022）标准中所示的标签。</w:t>
            </w:r>
          </w:p>
          <w:p w14:paraId="32DF9290">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c、装载液体、半固体危险废物的容器内</w:t>
            </w:r>
            <w:r>
              <w:rPr>
                <w:rFonts w:hint="eastAsia" w:cs="Times New Roman"/>
                <w:bCs/>
                <w:color w:val="000000"/>
                <w:sz w:val="24"/>
                <w:highlight w:val="none"/>
                <w:lang w:eastAsia="zh-CN"/>
              </w:rPr>
              <w:t>须保留足够空间</w:t>
            </w:r>
            <w:r>
              <w:rPr>
                <w:rFonts w:hint="default" w:ascii="Times New Roman" w:hAnsi="Times New Roman" w:eastAsia="宋体" w:cs="Times New Roman"/>
                <w:bCs/>
                <w:color w:val="000000"/>
                <w:sz w:val="24"/>
                <w:highlight w:val="none"/>
              </w:rPr>
              <w:t>，容器顶部与液体表面之间保留100mm以上的空间。</w:t>
            </w:r>
          </w:p>
          <w:p w14:paraId="2B0CD2C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d、盛装危险废物的容器要带盖。</w:t>
            </w:r>
          </w:p>
          <w:p w14:paraId="60E1CB0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e、危废储存间地面与裙脚要用坚固、防渗的材料建造，建造材料必须与危废相容；地面要硬化、耐腐蚀，且表面无裂隙；储存间内要有安全照明设施和观察窗口。</w:t>
            </w:r>
          </w:p>
          <w:p w14:paraId="298E6E2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highlight w:val="none"/>
              </w:rPr>
            </w:pPr>
            <w:r>
              <w:rPr>
                <w:rFonts w:hint="default" w:ascii="Times New Roman" w:hAnsi="Times New Roman" w:eastAsia="宋体" w:cs="Times New Roman"/>
                <w:bCs/>
                <w:color w:val="000000"/>
                <w:sz w:val="24"/>
                <w:highlight w:val="none"/>
              </w:rPr>
              <w:t>f、危废储存间要防渗漏、防流失、防扬散。</w:t>
            </w:r>
          </w:p>
          <w:p w14:paraId="7A88EFD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highlight w:val="none"/>
                <w:lang w:val="en-US" w:eastAsia="zh-CN"/>
              </w:rPr>
            </w:pPr>
            <w:r>
              <w:rPr>
                <w:rFonts w:hint="default" w:ascii="Times New Roman" w:hAnsi="Times New Roman" w:eastAsia="宋体" w:cs="Times New Roman"/>
                <w:bCs/>
                <w:color w:val="000000"/>
                <w:sz w:val="24"/>
                <w:highlight w:val="none"/>
              </w:rPr>
              <w:t>g、危废储存间</w:t>
            </w:r>
            <w:r>
              <w:rPr>
                <w:rFonts w:hint="default" w:ascii="Times New Roman" w:hAnsi="Times New Roman" w:eastAsia="宋体" w:cs="Times New Roman"/>
                <w:bCs/>
                <w:color w:val="000000"/>
                <w:sz w:val="24"/>
                <w:highlight w:val="none"/>
                <w:lang w:val="en-US" w:eastAsia="zh-CN"/>
              </w:rPr>
              <w:t>设置分区，将不同种类的危废分别存储于各自分区内，各分区</w:t>
            </w:r>
            <w:r>
              <w:rPr>
                <w:rFonts w:hint="default" w:ascii="Times New Roman" w:hAnsi="Times New Roman" w:eastAsia="宋体" w:cs="Times New Roman"/>
                <w:bCs/>
                <w:color w:val="000000"/>
                <w:sz w:val="24"/>
                <w:highlight w:val="none"/>
              </w:rPr>
              <w:t>按照</w:t>
            </w:r>
            <w:r>
              <w:rPr>
                <w:rFonts w:hint="default" w:ascii="Times New Roman" w:hAnsi="Times New Roman" w:eastAsia="宋体" w:cs="Times New Roman"/>
                <w:bCs/>
                <w:color w:val="000000"/>
                <w:sz w:val="24"/>
                <w:highlight w:val="none"/>
              </w:rPr>
              <w:fldChar w:fldCharType="begin"/>
            </w:r>
            <w:r>
              <w:rPr>
                <w:rFonts w:hint="default" w:ascii="Times New Roman" w:hAnsi="Times New Roman" w:eastAsia="宋体" w:cs="Times New Roman"/>
                <w:bCs/>
                <w:color w:val="000000"/>
                <w:sz w:val="24"/>
                <w:highlight w:val="none"/>
              </w:rPr>
              <w:instrText xml:space="preserve"> HYPERLINK "http://www.mee.gov.cn/xxgk2018/xxgk/xxgk01/202302/t20230224_1017484.html" </w:instrText>
            </w:r>
            <w:r>
              <w:rPr>
                <w:rFonts w:hint="default" w:ascii="Times New Roman" w:hAnsi="Times New Roman" w:eastAsia="宋体" w:cs="Times New Roman"/>
                <w:bCs/>
                <w:color w:val="000000"/>
                <w:sz w:val="24"/>
                <w:highlight w:val="none"/>
              </w:rPr>
              <w:fldChar w:fldCharType="separate"/>
            </w:r>
            <w:r>
              <w:rPr>
                <w:rFonts w:hint="default" w:ascii="Times New Roman" w:hAnsi="Times New Roman" w:eastAsia="宋体" w:cs="Times New Roman"/>
                <w:bCs/>
                <w:color w:val="000000"/>
                <w:sz w:val="24"/>
                <w:highlight w:val="none"/>
              </w:rPr>
              <w:t>《危险废物识别标志设置技术规范》（HJ1276-2022）</w:t>
            </w:r>
            <w:r>
              <w:rPr>
                <w:rFonts w:hint="default" w:ascii="Times New Roman" w:hAnsi="Times New Roman" w:eastAsia="宋体" w:cs="Times New Roman"/>
                <w:bCs/>
                <w:color w:val="000000"/>
                <w:sz w:val="24"/>
                <w:highlight w:val="none"/>
              </w:rPr>
              <w:fldChar w:fldCharType="end"/>
            </w:r>
            <w:r>
              <w:rPr>
                <w:rFonts w:hint="default" w:ascii="Times New Roman" w:hAnsi="Times New Roman" w:eastAsia="宋体" w:cs="Times New Roman"/>
                <w:bCs/>
                <w:color w:val="000000"/>
                <w:sz w:val="24"/>
                <w:highlight w:val="none"/>
              </w:rPr>
              <w:t>规定设立危险废物警示标志。</w:t>
            </w:r>
          </w:p>
          <w:p w14:paraId="151067D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Cs/>
                <w:color w:val="000000"/>
                <w:sz w:val="24"/>
                <w:highlight w:val="none"/>
                <w:lang w:val="en-US" w:eastAsia="zh-CN"/>
              </w:rPr>
            </w:pPr>
            <w:r>
              <w:rPr>
                <w:rFonts w:hint="default" w:ascii="Times New Roman" w:hAnsi="Times New Roman" w:eastAsia="宋体" w:cs="Times New Roman"/>
                <w:bCs/>
                <w:color w:val="000000"/>
                <w:sz w:val="24"/>
                <w:highlight w:val="none"/>
              </w:rPr>
              <w:t>h、建立档案制度，对暂存的废物种类、数量、特性、包装容器类别、存放库位、存入日期、运出日期等详细记录在案并长期保存。建立定期巡查、维护制度。</w:t>
            </w:r>
          </w:p>
          <w:p w14:paraId="713C8CF6">
            <w:pPr>
              <w:pStyle w:val="129"/>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2"/>
              <w:jc w:val="center"/>
              <w:textAlignment w:val="auto"/>
              <w:rPr>
                <w:rFonts w:hint="default" w:ascii="Times New Roman" w:hAnsi="Times New Roman" w:cs="Times New Roman"/>
                <w:b/>
                <w:bCs/>
                <w:color w:val="000000"/>
                <w:sz w:val="24"/>
                <w:szCs w:val="24"/>
                <w:highlight w:val="none"/>
              </w:rPr>
            </w:pPr>
            <w:r>
              <w:rPr>
                <w:rFonts w:hint="default" w:ascii="Times New Roman" w:hAnsi="Times New Roman" w:cs="Times New Roman"/>
                <w:b/>
                <w:bCs/>
                <w:color w:val="000000"/>
                <w:sz w:val="24"/>
                <w:szCs w:val="24"/>
                <w:highlight w:val="none"/>
              </w:rPr>
              <w:t>表4-</w:t>
            </w:r>
            <w:r>
              <w:rPr>
                <w:rFonts w:hint="default" w:ascii="Times New Roman" w:hAnsi="Times New Roman" w:cs="Times New Roman"/>
                <w:b/>
                <w:bCs/>
                <w:color w:val="000000"/>
                <w:sz w:val="24"/>
                <w:szCs w:val="24"/>
                <w:highlight w:val="none"/>
                <w:lang w:val="en-US" w:eastAsia="zh-CN"/>
              </w:rPr>
              <w:t xml:space="preserve">18  </w:t>
            </w:r>
            <w:r>
              <w:rPr>
                <w:rFonts w:hint="default" w:ascii="Times New Roman" w:hAnsi="Times New Roman" w:cs="Times New Roman"/>
                <w:b/>
                <w:bCs/>
                <w:color w:val="000000"/>
                <w:sz w:val="24"/>
                <w:szCs w:val="24"/>
                <w:highlight w:val="none"/>
              </w:rPr>
              <w:t xml:space="preserve">  建设项目危险废物贮存场所（设施）基本情况表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072"/>
              <w:gridCol w:w="915"/>
              <w:gridCol w:w="1230"/>
              <w:gridCol w:w="600"/>
              <w:gridCol w:w="720"/>
              <w:gridCol w:w="1590"/>
              <w:gridCol w:w="675"/>
              <w:gridCol w:w="665"/>
            </w:tblGrid>
            <w:tr w14:paraId="71B8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005FB03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场所名称</w:t>
                  </w:r>
                </w:p>
              </w:tc>
              <w:tc>
                <w:tcPr>
                  <w:tcW w:w="1072" w:type="dxa"/>
                  <w:noWrap w:val="0"/>
                  <w:vAlign w:val="center"/>
                </w:tcPr>
                <w:p w14:paraId="1E702BD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危险废物名称</w:t>
                  </w:r>
                </w:p>
              </w:tc>
              <w:tc>
                <w:tcPr>
                  <w:tcW w:w="915" w:type="dxa"/>
                  <w:noWrap w:val="0"/>
                  <w:vAlign w:val="center"/>
                </w:tcPr>
                <w:p w14:paraId="68FF94C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危险废物类别</w:t>
                  </w:r>
                </w:p>
              </w:tc>
              <w:tc>
                <w:tcPr>
                  <w:tcW w:w="1230" w:type="dxa"/>
                  <w:noWrap w:val="0"/>
                  <w:vAlign w:val="center"/>
                </w:tcPr>
                <w:p w14:paraId="7E4C96A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危险废物代码</w:t>
                  </w:r>
                </w:p>
              </w:tc>
              <w:tc>
                <w:tcPr>
                  <w:tcW w:w="600" w:type="dxa"/>
                  <w:noWrap w:val="0"/>
                  <w:vAlign w:val="center"/>
                </w:tcPr>
                <w:p w14:paraId="1F4DCD1E">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位置</w:t>
                  </w:r>
                </w:p>
              </w:tc>
              <w:tc>
                <w:tcPr>
                  <w:tcW w:w="720" w:type="dxa"/>
                  <w:noWrap w:val="0"/>
                  <w:vAlign w:val="center"/>
                </w:tcPr>
                <w:p w14:paraId="50410AD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占地面积</w:t>
                  </w:r>
                </w:p>
              </w:tc>
              <w:tc>
                <w:tcPr>
                  <w:tcW w:w="1590" w:type="dxa"/>
                  <w:noWrap w:val="0"/>
                  <w:vAlign w:val="center"/>
                </w:tcPr>
                <w:p w14:paraId="20EE61D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贮存方式</w:t>
                  </w:r>
                </w:p>
              </w:tc>
              <w:tc>
                <w:tcPr>
                  <w:tcW w:w="675" w:type="dxa"/>
                  <w:noWrap w:val="0"/>
                  <w:vAlign w:val="center"/>
                </w:tcPr>
                <w:p w14:paraId="3330E79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贮存能力</w:t>
                  </w:r>
                </w:p>
              </w:tc>
              <w:tc>
                <w:tcPr>
                  <w:tcW w:w="665" w:type="dxa"/>
                  <w:noWrap w:val="0"/>
                  <w:vAlign w:val="center"/>
                </w:tcPr>
                <w:p w14:paraId="2142829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贮存周期</w:t>
                  </w:r>
                </w:p>
              </w:tc>
            </w:tr>
            <w:tr w14:paraId="778B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restart"/>
                  <w:noWrap w:val="0"/>
                  <w:vAlign w:val="center"/>
                </w:tcPr>
                <w:p w14:paraId="1AC5072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危废暂存间</w:t>
                  </w:r>
                </w:p>
              </w:tc>
              <w:tc>
                <w:tcPr>
                  <w:tcW w:w="1072" w:type="dxa"/>
                  <w:shd w:val="clear" w:color="auto" w:fill="auto"/>
                  <w:noWrap w:val="0"/>
                  <w:vAlign w:val="center"/>
                </w:tcPr>
                <w:p w14:paraId="599BCE5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废润滑油</w:t>
                  </w:r>
                </w:p>
              </w:tc>
              <w:tc>
                <w:tcPr>
                  <w:tcW w:w="915" w:type="dxa"/>
                  <w:shd w:val="clear" w:color="auto" w:fill="auto"/>
                  <w:noWrap w:val="0"/>
                  <w:vAlign w:val="center"/>
                </w:tcPr>
                <w:p w14:paraId="4E68E0E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HW08</w:t>
                  </w:r>
                </w:p>
              </w:tc>
              <w:tc>
                <w:tcPr>
                  <w:tcW w:w="1230" w:type="dxa"/>
                  <w:shd w:val="clear" w:color="auto" w:fill="auto"/>
                  <w:noWrap w:val="0"/>
                  <w:vAlign w:val="center"/>
                </w:tcPr>
                <w:p w14:paraId="0E186A5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900-217-08</w:t>
                  </w:r>
                </w:p>
              </w:tc>
              <w:tc>
                <w:tcPr>
                  <w:tcW w:w="600" w:type="dxa"/>
                  <w:vMerge w:val="restart"/>
                  <w:noWrap w:val="0"/>
                  <w:vAlign w:val="center"/>
                </w:tcPr>
                <w:p w14:paraId="52B22808">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厂区原料库内</w:t>
                  </w:r>
                </w:p>
              </w:tc>
              <w:tc>
                <w:tcPr>
                  <w:tcW w:w="720" w:type="dxa"/>
                  <w:noWrap w:val="0"/>
                  <w:vAlign w:val="center"/>
                </w:tcPr>
                <w:p w14:paraId="7C4D63A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restart"/>
                  <w:noWrap w:val="0"/>
                  <w:vAlign w:val="center"/>
                </w:tcPr>
                <w:p w14:paraId="458DE2E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lang w:val="en-US"/>
                    </w:rPr>
                  </w:pPr>
                  <w:r>
                    <w:rPr>
                      <w:rFonts w:hint="default" w:ascii="Times New Roman" w:hAnsi="Times New Roman" w:cs="Times New Roman"/>
                      <w:color w:val="000000"/>
                      <w:sz w:val="18"/>
                      <w:szCs w:val="18"/>
                      <w:highlight w:val="none"/>
                      <w:lang w:val="en-US" w:eastAsia="zh-CN"/>
                    </w:rPr>
                    <w:t>分类收集、</w:t>
                  </w:r>
                  <w:r>
                    <w:rPr>
                      <w:rFonts w:hint="default" w:ascii="Times New Roman" w:hAnsi="Times New Roman" w:eastAsia="宋体" w:cs="Times New Roman"/>
                      <w:color w:val="000000"/>
                      <w:sz w:val="18"/>
                      <w:szCs w:val="18"/>
                      <w:highlight w:val="none"/>
                      <w:lang w:val="en-US" w:eastAsia="zh-CN"/>
                    </w:rPr>
                    <w:t>加盖密封于密闭桶内，暂存于危废间，定期交有资质单位处理</w:t>
                  </w:r>
                </w:p>
              </w:tc>
              <w:tc>
                <w:tcPr>
                  <w:tcW w:w="675" w:type="dxa"/>
                  <w:noWrap w:val="0"/>
                  <w:vAlign w:val="center"/>
                </w:tcPr>
                <w:p w14:paraId="7A70D1C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lang w:val="en-US" w:eastAsia="zh-CN"/>
                    </w:rPr>
                    <w:t>0.5</w:t>
                  </w:r>
                  <w:r>
                    <w:rPr>
                      <w:rFonts w:hint="default" w:ascii="Times New Roman" w:hAnsi="Times New Roman" w:cs="Times New Roman"/>
                      <w:color w:val="000000"/>
                      <w:sz w:val="18"/>
                      <w:szCs w:val="18"/>
                      <w:highlight w:val="none"/>
                    </w:rPr>
                    <w:t>t</w:t>
                  </w:r>
                </w:p>
              </w:tc>
              <w:tc>
                <w:tcPr>
                  <w:tcW w:w="665" w:type="dxa"/>
                  <w:noWrap w:val="0"/>
                  <w:vAlign w:val="center"/>
                </w:tcPr>
                <w:p w14:paraId="340BDAF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lang w:val="en-US" w:eastAsia="zh-CN"/>
                    </w:rPr>
                    <w:t>一年</w:t>
                  </w:r>
                </w:p>
              </w:tc>
            </w:tr>
            <w:tr w14:paraId="00FE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714F557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16A890F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废液压油</w:t>
                  </w:r>
                </w:p>
              </w:tc>
              <w:tc>
                <w:tcPr>
                  <w:tcW w:w="915" w:type="dxa"/>
                  <w:shd w:val="clear" w:color="auto" w:fill="auto"/>
                  <w:noWrap w:val="0"/>
                  <w:vAlign w:val="center"/>
                </w:tcPr>
                <w:p w14:paraId="424D591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HW08</w:t>
                  </w:r>
                </w:p>
              </w:tc>
              <w:tc>
                <w:tcPr>
                  <w:tcW w:w="1230" w:type="dxa"/>
                  <w:shd w:val="clear" w:color="auto" w:fill="auto"/>
                  <w:noWrap w:val="0"/>
                  <w:vAlign w:val="center"/>
                </w:tcPr>
                <w:p w14:paraId="0D3C7C7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900-218-08</w:t>
                  </w:r>
                </w:p>
              </w:tc>
              <w:tc>
                <w:tcPr>
                  <w:tcW w:w="600" w:type="dxa"/>
                  <w:vMerge w:val="continue"/>
                  <w:noWrap w:val="0"/>
                  <w:vAlign w:val="center"/>
                </w:tcPr>
                <w:p w14:paraId="4056BCFF">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56336BB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10A73A5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139E00B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0.5t</w:t>
                  </w:r>
                </w:p>
              </w:tc>
              <w:tc>
                <w:tcPr>
                  <w:tcW w:w="665" w:type="dxa"/>
                  <w:noWrap w:val="0"/>
                  <w:vAlign w:val="center"/>
                </w:tcPr>
                <w:p w14:paraId="0C90285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lang w:val="en-US" w:eastAsia="zh-CN"/>
                    </w:rPr>
                    <w:t>一年</w:t>
                  </w:r>
                </w:p>
              </w:tc>
            </w:tr>
            <w:tr w14:paraId="54F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22CEFF3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03A3B25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废油桶</w:t>
                  </w:r>
                </w:p>
              </w:tc>
              <w:tc>
                <w:tcPr>
                  <w:tcW w:w="915" w:type="dxa"/>
                  <w:shd w:val="clear" w:color="auto" w:fill="auto"/>
                  <w:noWrap w:val="0"/>
                  <w:vAlign w:val="center"/>
                </w:tcPr>
                <w:p w14:paraId="236E9E1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HW08</w:t>
                  </w:r>
                </w:p>
              </w:tc>
              <w:tc>
                <w:tcPr>
                  <w:tcW w:w="1230" w:type="dxa"/>
                  <w:shd w:val="clear" w:color="auto" w:fill="auto"/>
                  <w:noWrap w:val="0"/>
                  <w:vAlign w:val="center"/>
                </w:tcPr>
                <w:p w14:paraId="430FCDB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900-249-08</w:t>
                  </w:r>
                </w:p>
              </w:tc>
              <w:tc>
                <w:tcPr>
                  <w:tcW w:w="600" w:type="dxa"/>
                  <w:vMerge w:val="continue"/>
                  <w:noWrap w:val="0"/>
                  <w:vAlign w:val="center"/>
                </w:tcPr>
                <w:p w14:paraId="182D6864">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4ABD772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kern w:val="2"/>
                      <w:sz w:val="18"/>
                      <w:szCs w:val="18"/>
                      <w:highlight w:val="none"/>
                      <w:lang w:val="en-US" w:eastAsia="zh-CN" w:bidi="ar-SA"/>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1644C3C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486E028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0.5t</w:t>
                  </w:r>
                </w:p>
              </w:tc>
              <w:tc>
                <w:tcPr>
                  <w:tcW w:w="665" w:type="dxa"/>
                  <w:noWrap w:val="0"/>
                  <w:vAlign w:val="center"/>
                </w:tcPr>
                <w:p w14:paraId="7CD3BD1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lang w:val="en-US" w:eastAsia="zh-CN"/>
                    </w:rPr>
                    <w:t>一年</w:t>
                  </w:r>
                </w:p>
              </w:tc>
            </w:tr>
            <w:tr w14:paraId="4DB4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6A0E506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7647112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废活性炭</w:t>
                  </w:r>
                </w:p>
              </w:tc>
              <w:tc>
                <w:tcPr>
                  <w:tcW w:w="915" w:type="dxa"/>
                  <w:shd w:val="clear" w:color="auto" w:fill="auto"/>
                  <w:noWrap w:val="0"/>
                  <w:vAlign w:val="center"/>
                </w:tcPr>
                <w:p w14:paraId="41EAFCD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1230" w:type="dxa"/>
                  <w:shd w:val="clear" w:color="auto" w:fill="auto"/>
                  <w:noWrap w:val="0"/>
                  <w:vAlign w:val="center"/>
                </w:tcPr>
                <w:p w14:paraId="2255929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900-041-49</w:t>
                  </w:r>
                </w:p>
              </w:tc>
              <w:tc>
                <w:tcPr>
                  <w:tcW w:w="600" w:type="dxa"/>
                  <w:vMerge w:val="continue"/>
                  <w:noWrap w:val="0"/>
                  <w:vAlign w:val="center"/>
                </w:tcPr>
                <w:p w14:paraId="0B0CC0E3">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7E25F69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4</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2A7C27D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7C5CBD0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2</w:t>
                  </w:r>
                  <w:r>
                    <w:rPr>
                      <w:rFonts w:hint="default" w:ascii="Times New Roman" w:hAnsi="Times New Roman" w:cs="Times New Roman"/>
                      <w:color w:val="000000"/>
                      <w:sz w:val="18"/>
                      <w:szCs w:val="18"/>
                      <w:highlight w:val="none"/>
                    </w:rPr>
                    <w:t>t</w:t>
                  </w:r>
                </w:p>
              </w:tc>
              <w:tc>
                <w:tcPr>
                  <w:tcW w:w="665" w:type="dxa"/>
                  <w:noWrap w:val="0"/>
                  <w:vAlign w:val="center"/>
                </w:tcPr>
                <w:p w14:paraId="334C97C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一年</w:t>
                  </w:r>
                </w:p>
              </w:tc>
            </w:tr>
            <w:tr w14:paraId="4C6A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00BE4E0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3E11811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污泥</w:t>
                  </w:r>
                </w:p>
              </w:tc>
              <w:tc>
                <w:tcPr>
                  <w:tcW w:w="915" w:type="dxa"/>
                  <w:shd w:val="clear" w:color="auto" w:fill="auto"/>
                  <w:noWrap w:val="0"/>
                  <w:vAlign w:val="center"/>
                </w:tcPr>
                <w:p w14:paraId="5FE7E6E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1230" w:type="dxa"/>
                  <w:shd w:val="clear" w:color="auto" w:fill="auto"/>
                  <w:noWrap w:val="0"/>
                  <w:vAlign w:val="center"/>
                </w:tcPr>
                <w:p w14:paraId="263024B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772-006-49</w:t>
                  </w:r>
                </w:p>
              </w:tc>
              <w:tc>
                <w:tcPr>
                  <w:tcW w:w="600" w:type="dxa"/>
                  <w:vMerge w:val="continue"/>
                  <w:noWrap w:val="0"/>
                  <w:vAlign w:val="center"/>
                </w:tcPr>
                <w:p w14:paraId="5A7698ED">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126A11B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4</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4DE555F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5725057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2t</w:t>
                  </w:r>
                </w:p>
              </w:tc>
              <w:tc>
                <w:tcPr>
                  <w:tcW w:w="665" w:type="dxa"/>
                  <w:noWrap w:val="0"/>
                  <w:vAlign w:val="center"/>
                </w:tcPr>
                <w:p w14:paraId="5F371D6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一年</w:t>
                  </w:r>
                </w:p>
              </w:tc>
            </w:tr>
            <w:tr w14:paraId="055B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5304043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27CD61A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废过滤膜</w:t>
                  </w:r>
                </w:p>
              </w:tc>
              <w:tc>
                <w:tcPr>
                  <w:tcW w:w="915" w:type="dxa"/>
                  <w:shd w:val="clear" w:color="auto" w:fill="auto"/>
                  <w:noWrap w:val="0"/>
                  <w:vAlign w:val="center"/>
                </w:tcPr>
                <w:p w14:paraId="432A30D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1230" w:type="dxa"/>
                  <w:shd w:val="clear" w:color="auto" w:fill="auto"/>
                  <w:noWrap w:val="0"/>
                  <w:vAlign w:val="center"/>
                </w:tcPr>
                <w:p w14:paraId="36875B1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900-041-49</w:t>
                  </w:r>
                </w:p>
              </w:tc>
              <w:tc>
                <w:tcPr>
                  <w:tcW w:w="600" w:type="dxa"/>
                  <w:vMerge w:val="continue"/>
                  <w:noWrap w:val="0"/>
                  <w:vAlign w:val="center"/>
                </w:tcPr>
                <w:p w14:paraId="0699692D">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0E6C23C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607CFAB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2E1EE86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0.5t</w:t>
                  </w:r>
                </w:p>
              </w:tc>
              <w:tc>
                <w:tcPr>
                  <w:tcW w:w="665" w:type="dxa"/>
                  <w:noWrap w:val="0"/>
                  <w:vAlign w:val="center"/>
                </w:tcPr>
                <w:p w14:paraId="3075611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一年</w:t>
                  </w:r>
                </w:p>
              </w:tc>
            </w:tr>
            <w:tr w14:paraId="1319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3841236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7DCC00E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sz w:val="18"/>
                      <w:szCs w:val="18"/>
                      <w:highlight w:val="none"/>
                      <w:vertAlign w:val="baseline"/>
                      <w:lang w:val="en-US" w:eastAsia="zh-CN"/>
                    </w:rPr>
                    <w:t>废试剂</w:t>
                  </w:r>
                </w:p>
              </w:tc>
              <w:tc>
                <w:tcPr>
                  <w:tcW w:w="915" w:type="dxa"/>
                  <w:shd w:val="clear" w:color="auto" w:fill="auto"/>
                  <w:noWrap w:val="0"/>
                  <w:vAlign w:val="center"/>
                </w:tcPr>
                <w:p w14:paraId="34F823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1230" w:type="dxa"/>
                  <w:shd w:val="clear" w:color="auto" w:fill="auto"/>
                  <w:noWrap w:val="0"/>
                  <w:vAlign w:val="center"/>
                </w:tcPr>
                <w:p w14:paraId="14893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900-047-49</w:t>
                  </w:r>
                </w:p>
              </w:tc>
              <w:tc>
                <w:tcPr>
                  <w:tcW w:w="600" w:type="dxa"/>
                  <w:vMerge w:val="continue"/>
                  <w:noWrap w:val="0"/>
                  <w:vAlign w:val="center"/>
                </w:tcPr>
                <w:p w14:paraId="675E3028">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46BE782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723771F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2453182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0.5</w:t>
                  </w:r>
                  <w:r>
                    <w:rPr>
                      <w:rFonts w:hint="default" w:ascii="Times New Roman" w:hAnsi="Times New Roman" w:cs="Times New Roman"/>
                      <w:color w:val="000000"/>
                      <w:sz w:val="18"/>
                      <w:szCs w:val="18"/>
                      <w:highlight w:val="none"/>
                    </w:rPr>
                    <w:t>t</w:t>
                  </w:r>
                </w:p>
              </w:tc>
              <w:tc>
                <w:tcPr>
                  <w:tcW w:w="665" w:type="dxa"/>
                  <w:noWrap w:val="0"/>
                  <w:vAlign w:val="center"/>
                </w:tcPr>
                <w:p w14:paraId="6477932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一年</w:t>
                  </w:r>
                </w:p>
              </w:tc>
            </w:tr>
            <w:tr w14:paraId="4DFB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2CA9DF5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070C446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sz w:val="18"/>
                      <w:szCs w:val="18"/>
                      <w:highlight w:val="none"/>
                      <w:vertAlign w:val="baseline"/>
                      <w:lang w:val="en-US" w:eastAsia="zh-CN"/>
                    </w:rPr>
                    <w:t>废试剂瓶</w:t>
                  </w:r>
                </w:p>
              </w:tc>
              <w:tc>
                <w:tcPr>
                  <w:tcW w:w="915" w:type="dxa"/>
                  <w:shd w:val="clear" w:color="auto" w:fill="auto"/>
                  <w:noWrap w:val="0"/>
                  <w:vAlign w:val="center"/>
                </w:tcPr>
                <w:p w14:paraId="57F56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HW49</w:t>
                  </w:r>
                </w:p>
              </w:tc>
              <w:tc>
                <w:tcPr>
                  <w:tcW w:w="1230" w:type="dxa"/>
                  <w:shd w:val="clear" w:color="auto" w:fill="auto"/>
                  <w:noWrap w:val="0"/>
                  <w:vAlign w:val="center"/>
                </w:tcPr>
                <w:p w14:paraId="50B8F7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sz w:val="18"/>
                      <w:szCs w:val="18"/>
                      <w:highlight w:val="none"/>
                      <w:vertAlign w:val="baseline"/>
                      <w:lang w:val="en-US" w:eastAsia="zh-CN"/>
                    </w:rPr>
                    <w:t>900-047-49</w:t>
                  </w:r>
                </w:p>
              </w:tc>
              <w:tc>
                <w:tcPr>
                  <w:tcW w:w="600" w:type="dxa"/>
                  <w:vMerge w:val="continue"/>
                  <w:noWrap w:val="0"/>
                  <w:vAlign w:val="center"/>
                </w:tcPr>
                <w:p w14:paraId="1275B900">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0159857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58876E2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noWrap w:val="0"/>
                  <w:vAlign w:val="center"/>
                </w:tcPr>
                <w:p w14:paraId="6AEE2B6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0.5t</w:t>
                  </w:r>
                </w:p>
              </w:tc>
              <w:tc>
                <w:tcPr>
                  <w:tcW w:w="665" w:type="dxa"/>
                  <w:noWrap w:val="0"/>
                  <w:vAlign w:val="center"/>
                </w:tcPr>
                <w:p w14:paraId="676E60C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一年</w:t>
                  </w:r>
                </w:p>
              </w:tc>
            </w:tr>
            <w:tr w14:paraId="69CD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Merge w:val="continue"/>
                  <w:noWrap w:val="0"/>
                  <w:vAlign w:val="center"/>
                </w:tcPr>
                <w:p w14:paraId="659A430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1072" w:type="dxa"/>
                  <w:shd w:val="clear" w:color="auto" w:fill="auto"/>
                  <w:noWrap w:val="0"/>
                  <w:vAlign w:val="center"/>
                </w:tcPr>
                <w:p w14:paraId="1F2CEAA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废催化剂</w:t>
                  </w:r>
                </w:p>
              </w:tc>
              <w:tc>
                <w:tcPr>
                  <w:tcW w:w="915" w:type="dxa"/>
                  <w:shd w:val="clear" w:color="auto" w:fill="auto"/>
                  <w:noWrap w:val="0"/>
                  <w:vAlign w:val="center"/>
                </w:tcPr>
                <w:p w14:paraId="0DC538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HW50</w:t>
                  </w:r>
                </w:p>
              </w:tc>
              <w:tc>
                <w:tcPr>
                  <w:tcW w:w="1230" w:type="dxa"/>
                  <w:shd w:val="clear" w:color="auto" w:fill="auto"/>
                  <w:noWrap w:val="0"/>
                  <w:vAlign w:val="center"/>
                </w:tcPr>
                <w:p w14:paraId="0EC2BF7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sz w:val="18"/>
                      <w:szCs w:val="18"/>
                      <w:highlight w:val="none"/>
                      <w:vertAlign w:val="baseline"/>
                      <w:lang w:val="en-US" w:eastAsia="zh-CN"/>
                    </w:rPr>
                    <w:t>772-007-50</w:t>
                  </w:r>
                </w:p>
              </w:tc>
              <w:tc>
                <w:tcPr>
                  <w:tcW w:w="600" w:type="dxa"/>
                  <w:vMerge w:val="continue"/>
                  <w:noWrap w:val="0"/>
                  <w:vAlign w:val="center"/>
                </w:tcPr>
                <w:p w14:paraId="475A2207">
                  <w:pPr>
                    <w:keepNext w:val="0"/>
                    <w:keepLines w:val="0"/>
                    <w:suppressLineNumbers w:val="0"/>
                    <w:adjustRightInd w:val="0"/>
                    <w:snapToGrid w:val="0"/>
                    <w:spacing w:before="0" w:beforeAutospacing="0" w:after="0" w:afterAutospacing="0" w:line="240" w:lineRule="auto"/>
                    <w:ind w:left="0" w:right="0" w:hanging="108"/>
                    <w:jc w:val="center"/>
                    <w:rPr>
                      <w:rFonts w:hint="default" w:ascii="Times New Roman" w:hAnsi="Times New Roman" w:cs="Times New Roman"/>
                      <w:color w:val="000000"/>
                      <w:sz w:val="18"/>
                      <w:szCs w:val="18"/>
                      <w:highlight w:val="none"/>
                      <w:lang w:val="en-US" w:eastAsia="zh-CN"/>
                    </w:rPr>
                  </w:pPr>
                </w:p>
              </w:tc>
              <w:tc>
                <w:tcPr>
                  <w:tcW w:w="720" w:type="dxa"/>
                  <w:noWrap w:val="0"/>
                  <w:vAlign w:val="center"/>
                </w:tcPr>
                <w:p w14:paraId="4134F5F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w:t>
                  </w:r>
                  <w:r>
                    <w:rPr>
                      <w:rFonts w:hint="default" w:ascii="Times New Roman" w:hAnsi="Times New Roman" w:cs="Times New Roman"/>
                      <w:color w:val="000000"/>
                      <w:sz w:val="18"/>
                      <w:szCs w:val="18"/>
                      <w:highlight w:val="none"/>
                    </w:rPr>
                    <w:t>m</w:t>
                  </w:r>
                  <w:r>
                    <w:rPr>
                      <w:rFonts w:hint="default" w:ascii="Times New Roman" w:hAnsi="Times New Roman" w:cs="Times New Roman"/>
                      <w:color w:val="000000"/>
                      <w:sz w:val="18"/>
                      <w:szCs w:val="18"/>
                      <w:highlight w:val="none"/>
                      <w:vertAlign w:val="superscript"/>
                    </w:rPr>
                    <w:t>2</w:t>
                  </w:r>
                </w:p>
              </w:tc>
              <w:tc>
                <w:tcPr>
                  <w:tcW w:w="1590" w:type="dxa"/>
                  <w:vMerge w:val="continue"/>
                  <w:noWrap w:val="0"/>
                  <w:vAlign w:val="center"/>
                </w:tcPr>
                <w:p w14:paraId="0E4FF36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000000"/>
                      <w:sz w:val="18"/>
                      <w:szCs w:val="18"/>
                      <w:highlight w:val="none"/>
                    </w:rPr>
                  </w:pPr>
                </w:p>
              </w:tc>
              <w:tc>
                <w:tcPr>
                  <w:tcW w:w="675" w:type="dxa"/>
                  <w:shd w:val="clear" w:color="auto" w:fill="auto"/>
                  <w:noWrap w:val="0"/>
                  <w:vAlign w:val="center"/>
                </w:tcPr>
                <w:p w14:paraId="5A714C6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cs="Times New Roman"/>
                      <w:color w:val="000000"/>
                      <w:sz w:val="18"/>
                      <w:szCs w:val="18"/>
                      <w:highlight w:val="none"/>
                      <w:lang w:val="en-US" w:eastAsia="zh-CN"/>
                    </w:rPr>
                    <w:t>0.5t</w:t>
                  </w:r>
                </w:p>
              </w:tc>
              <w:tc>
                <w:tcPr>
                  <w:tcW w:w="665" w:type="dxa"/>
                  <w:shd w:val="clear" w:color="auto" w:fill="auto"/>
                  <w:noWrap w:val="0"/>
                  <w:vAlign w:val="center"/>
                </w:tcPr>
                <w:p w14:paraId="7A20090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cs="Times New Roman"/>
                      <w:color w:val="000000"/>
                      <w:sz w:val="18"/>
                      <w:szCs w:val="18"/>
                      <w:highlight w:val="none"/>
                      <w:lang w:val="en-US" w:eastAsia="zh-CN"/>
                    </w:rPr>
                    <w:t>一年</w:t>
                  </w:r>
                </w:p>
              </w:tc>
            </w:tr>
          </w:tbl>
          <w:p w14:paraId="5CBE94D5">
            <w:pPr>
              <w:keepNext w:val="0"/>
              <w:keepLines w:val="0"/>
              <w:suppressLineNumbers w:val="0"/>
              <w:adjustRightInd w:val="0"/>
              <w:spacing w:before="0" w:beforeAutospacing="0" w:after="0" w:afterAutospacing="0" w:line="360" w:lineRule="auto"/>
              <w:ind w:left="0" w:right="-28" w:firstLine="482" w:firstLineChars="200"/>
              <w:textAlignment w:val="baseline"/>
              <w:rPr>
                <w:rFonts w:hint="default" w:ascii="Times New Roman" w:hAnsi="Times New Roman" w:cs="Times New Roman"/>
                <w:b/>
                <w:bCs/>
                <w:color w:val="000000"/>
                <w:sz w:val="24"/>
                <w:highlight w:val="none"/>
              </w:rPr>
            </w:pPr>
            <w:r>
              <w:rPr>
                <w:rFonts w:hint="default" w:ascii="Times New Roman" w:hAnsi="Times New Roman" w:cs="Times New Roman"/>
                <w:b/>
                <w:bCs/>
                <w:color w:val="000000"/>
                <w:sz w:val="24"/>
                <w:highlight w:val="none"/>
              </w:rPr>
              <w:t>危废暂存间标识要求：</w:t>
            </w:r>
          </w:p>
          <w:p w14:paraId="7D6BCC10">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
                <w:bCs/>
                <w:color w:val="000000"/>
                <w:sz w:val="24"/>
                <w:highlight w:val="none"/>
              </w:rPr>
            </w:pPr>
            <w:r>
              <w:rPr>
                <w:rFonts w:hint="default" w:ascii="Times New Roman" w:hAnsi="Times New Roman" w:cs="Times New Roman"/>
                <w:bCs/>
                <w:color w:val="000000"/>
                <w:sz w:val="24"/>
                <w:highlight w:val="none"/>
              </w:rPr>
              <w:t>按照</w:t>
            </w:r>
            <w:r>
              <w:rPr>
                <w:rFonts w:hint="default" w:ascii="Times New Roman" w:hAnsi="Times New Roman" w:eastAsia="宋体" w:cs="Times New Roman"/>
                <w:bCs/>
                <w:color w:val="000000"/>
                <w:sz w:val="24"/>
                <w:highlight w:val="none"/>
              </w:rPr>
              <w:fldChar w:fldCharType="begin"/>
            </w:r>
            <w:r>
              <w:rPr>
                <w:rFonts w:hint="default" w:ascii="Times New Roman" w:hAnsi="Times New Roman" w:eastAsia="宋体" w:cs="Times New Roman"/>
                <w:bCs/>
                <w:color w:val="000000"/>
                <w:sz w:val="24"/>
                <w:highlight w:val="none"/>
              </w:rPr>
              <w:instrText xml:space="preserve"> HYPERLINK "http://www.mee.gov.cn/xxgk2018/xxgk/xxgk01/202302/t20230224_1017484.html" </w:instrText>
            </w:r>
            <w:r>
              <w:rPr>
                <w:rFonts w:hint="default" w:ascii="Times New Roman" w:hAnsi="Times New Roman" w:eastAsia="宋体" w:cs="Times New Roman"/>
                <w:bCs/>
                <w:color w:val="000000"/>
                <w:sz w:val="24"/>
                <w:highlight w:val="none"/>
              </w:rPr>
              <w:fldChar w:fldCharType="separate"/>
            </w:r>
            <w:r>
              <w:rPr>
                <w:rFonts w:hint="default" w:ascii="Times New Roman" w:hAnsi="Times New Roman" w:eastAsia="宋体" w:cs="Times New Roman"/>
                <w:bCs/>
                <w:color w:val="000000"/>
                <w:sz w:val="24"/>
                <w:highlight w:val="none"/>
              </w:rPr>
              <w:t>《危险废物识别标志设置技术规范》（HJ1276-2022）</w:t>
            </w:r>
            <w:r>
              <w:rPr>
                <w:rFonts w:hint="default" w:ascii="Times New Roman" w:hAnsi="Times New Roman" w:eastAsia="宋体" w:cs="Times New Roman"/>
                <w:bCs/>
                <w:color w:val="000000"/>
                <w:sz w:val="24"/>
                <w:highlight w:val="none"/>
              </w:rPr>
              <w:fldChar w:fldCharType="end"/>
            </w:r>
            <w:r>
              <w:rPr>
                <w:rFonts w:hint="default" w:ascii="Times New Roman" w:hAnsi="Times New Roman" w:cs="Times New Roman"/>
                <w:bCs/>
                <w:color w:val="000000"/>
                <w:sz w:val="24"/>
                <w:highlight w:val="none"/>
              </w:rPr>
              <w:t>相关规定要求，危废间及危险废物储存容器上需要张贴标签，具体要求如下：</w:t>
            </w:r>
          </w:p>
          <w:p w14:paraId="76D23ADA">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3CA4E3A2">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56DB92AC">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32600C91">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52101A65">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392493A2">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10123557">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3150CE4B">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4112E0F4">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0CC5187F">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25E7CD36">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0467A8EA">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080CA502">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4A4069D0">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p>
          <w:p w14:paraId="75B5D6D8">
            <w:pPr>
              <w:pStyle w:val="129"/>
              <w:keepNext w:val="0"/>
              <w:keepLines w:val="0"/>
              <w:suppressLineNumbers w:val="0"/>
              <w:spacing w:before="0" w:beforeAutospacing="0" w:after="0" w:afterAutospacing="0" w:line="240" w:lineRule="auto"/>
              <w:ind w:left="0" w:right="0" w:firstLine="482"/>
              <w:jc w:val="center"/>
              <w:rPr>
                <w:rFonts w:hint="default" w:ascii="Times New Roman" w:hAnsi="Times New Roman" w:cs="Times New Roman"/>
                <w:b/>
                <w:bCs/>
                <w:color w:val="000000"/>
                <w:sz w:val="24"/>
                <w:szCs w:val="24"/>
                <w:highlight w:val="none"/>
              </w:rPr>
            </w:pPr>
            <w:r>
              <w:rPr>
                <w:rFonts w:hint="default" w:ascii="Times New Roman" w:hAnsi="Times New Roman" w:cs="Times New Roman"/>
                <w:b/>
                <w:bCs/>
                <w:color w:val="000000"/>
                <w:sz w:val="24"/>
                <w:szCs w:val="24"/>
                <w:highlight w:val="none"/>
              </w:rPr>
              <w:t>表4-</w:t>
            </w:r>
            <w:r>
              <w:rPr>
                <w:rFonts w:hint="default" w:ascii="Times New Roman" w:hAnsi="Times New Roman" w:cs="Times New Roman"/>
                <w:b/>
                <w:bCs/>
                <w:color w:val="000000"/>
                <w:sz w:val="24"/>
                <w:szCs w:val="24"/>
                <w:highlight w:val="none"/>
                <w:lang w:val="en-US" w:eastAsia="zh-CN"/>
              </w:rPr>
              <w:t>19</w:t>
            </w:r>
            <w:r>
              <w:rPr>
                <w:rFonts w:hint="default" w:ascii="Times New Roman" w:hAnsi="Times New Roman" w:cs="Times New Roman"/>
                <w:b/>
                <w:bCs/>
                <w:color w:val="000000"/>
                <w:sz w:val="24"/>
                <w:szCs w:val="24"/>
                <w:highlight w:val="none"/>
              </w:rPr>
              <w:t xml:space="preserve">  危废间及储存容器标签示例</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0" w:type="dxa"/>
              </w:tblCellMar>
            </w:tblPr>
            <w:tblGrid>
              <w:gridCol w:w="855"/>
              <w:gridCol w:w="2878"/>
              <w:gridCol w:w="4423"/>
            </w:tblGrid>
            <w:tr w14:paraId="7865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524" w:type="pct"/>
                  <w:noWrap w:val="0"/>
                  <w:vAlign w:val="center"/>
                </w:tcPr>
                <w:p w14:paraId="76A5AA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场合</w:t>
                  </w:r>
                </w:p>
              </w:tc>
              <w:tc>
                <w:tcPr>
                  <w:tcW w:w="1764" w:type="pct"/>
                  <w:noWrap w:val="0"/>
                  <w:vAlign w:val="center"/>
                </w:tcPr>
                <w:p w14:paraId="5588FEF8">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样式</w:t>
                  </w:r>
                </w:p>
              </w:tc>
              <w:tc>
                <w:tcPr>
                  <w:tcW w:w="2710" w:type="pct"/>
                  <w:noWrap w:val="0"/>
                  <w:vAlign w:val="center"/>
                </w:tcPr>
                <w:p w14:paraId="38C16BD8">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要求</w:t>
                  </w:r>
                </w:p>
              </w:tc>
            </w:tr>
            <w:tr w14:paraId="18C9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524" w:type="pct"/>
                  <w:noWrap w:val="0"/>
                  <w:vAlign w:val="center"/>
                </w:tcPr>
                <w:p w14:paraId="5C0783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露天/室外入口；室内</w:t>
                  </w:r>
                </w:p>
              </w:tc>
              <w:tc>
                <w:tcPr>
                  <w:tcW w:w="1764" w:type="pct"/>
                  <w:noWrap w:val="0"/>
                  <w:vAlign w:val="center"/>
                </w:tcPr>
                <w:p w14:paraId="264E26B2">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drawing>
                      <wp:inline distT="0" distB="0" distL="114300" distR="114300">
                        <wp:extent cx="1707515" cy="2687320"/>
                        <wp:effectExtent l="0" t="0" r="6985" b="17780"/>
                        <wp:docPr id="1" name="图片 5" descr="危险废物贮存设施标志-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危险废物贮存设施标志-竖版"/>
                                <pic:cNvPicPr>
                                  <a:picLocks noChangeAspect="1"/>
                                </pic:cNvPicPr>
                              </pic:nvPicPr>
                              <pic:blipFill>
                                <a:blip r:embed="rId27"/>
                                <a:stretch>
                                  <a:fillRect/>
                                </a:stretch>
                              </pic:blipFill>
                              <pic:spPr>
                                <a:xfrm>
                                  <a:off x="0" y="0"/>
                                  <a:ext cx="1707515" cy="2687320"/>
                                </a:xfrm>
                                <a:prstGeom prst="rect">
                                  <a:avLst/>
                                </a:prstGeom>
                                <a:noFill/>
                                <a:ln>
                                  <a:noFill/>
                                </a:ln>
                              </pic:spPr>
                            </pic:pic>
                          </a:graphicData>
                        </a:graphic>
                      </wp:inline>
                    </w:drawing>
                  </w:r>
                </w:p>
                <w:p w14:paraId="4235DB9B">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drawing>
                      <wp:inline distT="0" distB="0" distL="114300" distR="114300">
                        <wp:extent cx="1705610" cy="1082040"/>
                        <wp:effectExtent l="0" t="0" r="8890" b="3810"/>
                        <wp:docPr id="3" name="图片 6" descr="899c2812e1e3a187510ee5bcfe031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899c2812e1e3a187510ee5bcfe031df"/>
                                <pic:cNvPicPr>
                                  <a:picLocks noChangeAspect="1"/>
                                </pic:cNvPicPr>
                              </pic:nvPicPr>
                              <pic:blipFill>
                                <a:blip r:embed="rId28"/>
                                <a:stretch>
                                  <a:fillRect/>
                                </a:stretch>
                              </pic:blipFill>
                              <pic:spPr>
                                <a:xfrm>
                                  <a:off x="0" y="0"/>
                                  <a:ext cx="1705610" cy="1082040"/>
                                </a:xfrm>
                                <a:prstGeom prst="rect">
                                  <a:avLst/>
                                </a:prstGeom>
                                <a:noFill/>
                                <a:ln>
                                  <a:noFill/>
                                </a:ln>
                              </pic:spPr>
                            </pic:pic>
                          </a:graphicData>
                        </a:graphic>
                      </wp:inline>
                    </w:drawing>
                  </w:r>
                </w:p>
              </w:tc>
              <w:tc>
                <w:tcPr>
                  <w:tcW w:w="2710" w:type="pct"/>
                  <w:noWrap w:val="0"/>
                  <w:vAlign w:val="center"/>
                </w:tcPr>
                <w:p w14:paraId="2A7FC6EC">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1、标志颜色：危险废物设施标志背景颜色为黄色。标签边框和字体颜色为黑色。</w:t>
                  </w:r>
                </w:p>
                <w:p w14:paraId="4B6D23A2">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2、字体：危险废物设施标志字体应采用黑体字，其中危险废物设施类型的字样应加粗放大并居中显示。</w:t>
                  </w:r>
                </w:p>
                <w:p w14:paraId="69CCB529">
                  <w:pPr>
                    <w:keepNext w:val="0"/>
                    <w:keepLines w:val="0"/>
                    <w:suppressLineNumbers w:val="0"/>
                    <w:spacing w:before="0" w:beforeAutospacing="0" w:after="0" w:afterAutospacing="0"/>
                    <w:ind w:left="0" w:right="0"/>
                    <w:jc w:val="left"/>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sz w:val="18"/>
                      <w:szCs w:val="18"/>
                      <w:highlight w:val="none"/>
                    </w:rPr>
                    <w:t>3、尺寸：根据标志设置位置和对应的观察距离确定尺寸，尺寸分为900mm×558mm、600mm×372mm、300mm×186mm</w:t>
                  </w:r>
                  <w:r>
                    <w:rPr>
                      <w:rFonts w:hint="default" w:ascii="Times New Roman" w:hAnsi="Times New Roman" w:cs="Times New Roman"/>
                      <w:color w:val="000000"/>
                      <w:kern w:val="0"/>
                      <w:sz w:val="18"/>
                      <w:szCs w:val="18"/>
                      <w:highlight w:val="none"/>
                    </w:rPr>
                    <w:t>。</w:t>
                  </w:r>
                </w:p>
                <w:p w14:paraId="3AAB4D27">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kern w:val="0"/>
                      <w:sz w:val="18"/>
                      <w:szCs w:val="18"/>
                      <w:highlight w:val="none"/>
                    </w:rPr>
                    <w:t>4、材质：</w:t>
                  </w:r>
                  <w:r>
                    <w:rPr>
                      <w:rFonts w:hint="default" w:ascii="Times New Roman" w:hAnsi="Times New Roman" w:cs="Times New Roman"/>
                      <w:color w:val="000000"/>
                      <w:sz w:val="18"/>
                      <w:szCs w:val="18"/>
                      <w:highlight w:val="none"/>
                    </w:rPr>
                    <w:t>危险废物贮存、利用、处置设施标志宜采用坚固耐用的材料（如1.5mm～2mm冷轧钢板），并做搪瓷处理或贴膜处理。一般不宜使用遇水变形、变质或易燃的材料。柱式标志牌的立柱可采用38×4无缝钢管或其他坚固耐用的材料，并经过防腐处理。</w:t>
                  </w:r>
                </w:p>
                <w:p w14:paraId="103D63F0">
                  <w:pPr>
                    <w:keepNext w:val="0"/>
                    <w:keepLines w:val="0"/>
                    <w:suppressLineNumbers w:val="0"/>
                    <w:spacing w:before="0" w:beforeAutospacing="0" w:after="0" w:afterAutospacing="0"/>
                    <w:ind w:left="0" w:right="0"/>
                    <w:jc w:val="left"/>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5、印刷：危险废物贮存、利用、处置设施标志的图形和文字应清晰、完整，保证在足够的观察距离条件</w:t>
                  </w:r>
                  <w:r>
                    <w:rPr>
                      <w:rFonts w:hint="eastAsia" w:cs="Times New Roman"/>
                      <w:color w:val="000000"/>
                      <w:kern w:val="0"/>
                      <w:sz w:val="18"/>
                      <w:szCs w:val="18"/>
                      <w:highlight w:val="none"/>
                      <w:lang w:eastAsia="zh-CN"/>
                    </w:rPr>
                    <w:t>下</w:t>
                  </w:r>
                  <w:r>
                    <w:rPr>
                      <w:rFonts w:hint="default" w:ascii="Times New Roman" w:hAnsi="Times New Roman" w:cs="Times New Roman"/>
                      <w:color w:val="000000"/>
                      <w:kern w:val="0"/>
                      <w:sz w:val="18"/>
                      <w:szCs w:val="18"/>
                      <w:highlight w:val="none"/>
                    </w:rPr>
                    <w:t>不影响阅读。三角形警告性图形与其他信息间宜加黑色分界线区分，分界线的宽度宜不小于3mm。</w:t>
                  </w:r>
                </w:p>
                <w:p w14:paraId="231975F8">
                  <w:pPr>
                    <w:keepNext w:val="0"/>
                    <w:keepLines w:val="0"/>
                    <w:suppressLineNumbers w:val="0"/>
                    <w:spacing w:before="0" w:beforeAutospacing="0" w:after="0" w:afterAutospacing="0"/>
                    <w:ind w:left="0" w:right="0"/>
                    <w:jc w:val="left"/>
                    <w:rPr>
                      <w:rFonts w:hint="default" w:ascii="Times New Roman" w:hAnsi="Times New Roman" w:cs="Times New Roman"/>
                      <w:color w:val="000000"/>
                      <w:kern w:val="0"/>
                      <w:sz w:val="18"/>
                      <w:szCs w:val="18"/>
                      <w:highlight w:val="none"/>
                    </w:rPr>
                  </w:pPr>
                  <w:r>
                    <w:rPr>
                      <w:rFonts w:hint="default" w:ascii="Times New Roman" w:hAnsi="Times New Roman" w:cs="Times New Roman"/>
                      <w:color w:val="000000"/>
                      <w:kern w:val="0"/>
                      <w:sz w:val="18"/>
                      <w:szCs w:val="18"/>
                      <w:highlight w:val="none"/>
                    </w:rPr>
                    <w:t>6、外观质量要求：危险废物贮存、利用、处置设施的标志牌和立柱无明显变形。标志牌表面无气泡，膜或搪瓷无脱落。图案清晰，色泽一致，没有明显缺损。</w:t>
                  </w:r>
                </w:p>
                <w:p w14:paraId="1EE2CD25">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kern w:val="0"/>
                      <w:sz w:val="18"/>
                      <w:szCs w:val="18"/>
                      <w:highlight w:val="none"/>
                    </w:rPr>
                    <w:t>7、样式：危险废物贮存、利用、处置设施标志可采用横版或竖版的形式。</w:t>
                  </w:r>
                </w:p>
              </w:tc>
            </w:tr>
            <w:tr w14:paraId="3ACC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524" w:type="pct"/>
                  <w:noWrap w:val="0"/>
                  <w:vAlign w:val="center"/>
                </w:tcPr>
                <w:p w14:paraId="6D6B1A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粘贴于危险废物储存容器或包装物</w:t>
                  </w:r>
                </w:p>
              </w:tc>
              <w:tc>
                <w:tcPr>
                  <w:tcW w:w="1764" w:type="pct"/>
                  <w:noWrap w:val="0"/>
                  <w:vAlign w:val="center"/>
                </w:tcPr>
                <w:p w14:paraId="24894FFB">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drawing>
                      <wp:inline distT="0" distB="0" distL="114300" distR="114300">
                        <wp:extent cx="1705610" cy="1705610"/>
                        <wp:effectExtent l="0" t="0" r="8890" b="8890"/>
                        <wp:docPr id="6" name="图片 7" descr="3e84d240e2e9a5c5aeadefc30d74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3e84d240e2e9a5c5aeadefc30d74b11"/>
                                <pic:cNvPicPr>
                                  <a:picLocks noChangeAspect="1"/>
                                </pic:cNvPicPr>
                              </pic:nvPicPr>
                              <pic:blipFill>
                                <a:blip r:embed="rId29"/>
                                <a:stretch>
                                  <a:fillRect/>
                                </a:stretch>
                              </pic:blipFill>
                              <pic:spPr>
                                <a:xfrm>
                                  <a:off x="0" y="0"/>
                                  <a:ext cx="1705610" cy="1705610"/>
                                </a:xfrm>
                                <a:prstGeom prst="rect">
                                  <a:avLst/>
                                </a:prstGeom>
                                <a:noFill/>
                                <a:ln>
                                  <a:noFill/>
                                </a:ln>
                              </pic:spPr>
                            </pic:pic>
                          </a:graphicData>
                        </a:graphic>
                      </wp:inline>
                    </w:drawing>
                  </w:r>
                </w:p>
              </w:tc>
              <w:tc>
                <w:tcPr>
                  <w:tcW w:w="2710" w:type="pct"/>
                  <w:noWrap w:val="0"/>
                  <w:vAlign w:val="center"/>
                </w:tcPr>
                <w:p w14:paraId="32A40ADE">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1、危险废物标签尺寸颜色：危险废物标签背景色应采用醒目的橘黄色。标签边框和字体颜色为黑色。</w:t>
                  </w:r>
                </w:p>
                <w:p w14:paraId="5CCCE75E">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2、尺寸：宜根据容器或包装物的容积进行设置，尺寸分为100mm×100mm、150mm×150mm、200mm×200mm。</w:t>
                  </w:r>
                </w:p>
                <w:p w14:paraId="2CA0E598">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3、字体：危险废物标签字体宜采用黑体字，其中“危险废物”字样应加粗放大。</w:t>
                  </w:r>
                </w:p>
                <w:p w14:paraId="7DFFC457">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4、材质：危险废物标签所选用的材质宜具有一定的耐用性和防水性。标签可采用不干胶印刷品，或印刷品外加防水塑料袋或塑封等。</w:t>
                  </w:r>
                </w:p>
                <w:p w14:paraId="1F36FDC8">
                  <w:pPr>
                    <w:keepNext w:val="0"/>
                    <w:keepLines w:val="0"/>
                    <w:suppressLineNumbers w:val="0"/>
                    <w:spacing w:before="0" w:beforeAutospacing="0" w:after="0" w:afterAutospacing="0"/>
                    <w:ind w:left="0" w:right="0"/>
                    <w:jc w:val="left"/>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5、印刷：危险废物标签印刷的油墨应均匀，图案和文字应清晰、完整。危险废物标签的文字边缘宜加黑色边框，边框宽度不小于1mm，边框外宜留不小于3mm 的空白。</w:t>
                  </w:r>
                </w:p>
              </w:tc>
            </w:tr>
          </w:tbl>
          <w:p w14:paraId="7FCE4923">
            <w:pPr>
              <w:pStyle w:val="129"/>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1）危险废物贮存场所环境影响分析</w:t>
            </w:r>
          </w:p>
          <w:p w14:paraId="67C51A89">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fldChar w:fldCharType="begin"/>
            </w:r>
            <w:r>
              <w:rPr>
                <w:rFonts w:hint="default" w:ascii="Times New Roman" w:hAnsi="Times New Roman" w:cs="Times New Roman"/>
                <w:color w:val="000000"/>
                <w:sz w:val="24"/>
                <w:highlight w:val="none"/>
              </w:rPr>
              <w:instrText xml:space="preserve"> = 1 \* GB3 \* MERGEFORMAT </w:instrText>
            </w:r>
            <w:r>
              <w:rPr>
                <w:rFonts w:hint="default" w:ascii="Times New Roman" w:hAnsi="Times New Roman" w:cs="Times New Roman"/>
                <w:color w:val="000000"/>
                <w:sz w:val="24"/>
                <w:highlight w:val="none"/>
              </w:rPr>
              <w:fldChar w:fldCharType="separate"/>
            </w:r>
            <w:r>
              <w:rPr>
                <w:rFonts w:hint="default" w:ascii="Times New Roman" w:hAnsi="Times New Roman" w:cs="Times New Roman"/>
                <w:color w:val="000000"/>
                <w:highlight w:val="none"/>
              </w:rPr>
              <w:t>①</w:t>
            </w:r>
            <w:r>
              <w:rPr>
                <w:rFonts w:hint="default" w:ascii="Times New Roman" w:hAnsi="Times New Roman" w:cs="Times New Roman"/>
                <w:color w:val="000000"/>
                <w:sz w:val="24"/>
                <w:highlight w:val="none"/>
              </w:rPr>
              <w:fldChar w:fldCharType="end"/>
            </w:r>
            <w:r>
              <w:rPr>
                <w:rFonts w:hint="default" w:ascii="Times New Roman" w:hAnsi="Times New Roman" w:cs="Times New Roman"/>
                <w:color w:val="000000"/>
                <w:sz w:val="24"/>
                <w:highlight w:val="none"/>
              </w:rPr>
              <w:t>位置：本项目危废暂存间位于</w:t>
            </w:r>
            <w:r>
              <w:rPr>
                <w:rFonts w:hint="default" w:ascii="Times New Roman" w:hAnsi="Times New Roman" w:cs="Times New Roman"/>
                <w:color w:val="000000"/>
                <w:sz w:val="24"/>
                <w:highlight w:val="none"/>
                <w:lang w:val="en-US" w:eastAsia="zh-CN"/>
              </w:rPr>
              <w:t>厂区东南部</w:t>
            </w:r>
            <w:r>
              <w:rPr>
                <w:rFonts w:hint="default" w:ascii="Times New Roman" w:hAnsi="Times New Roman" w:cs="Times New Roman"/>
                <w:color w:val="000000"/>
                <w:sz w:val="24"/>
                <w:highlight w:val="none"/>
              </w:rPr>
              <w:t>，危废间地面和裙角需做防渗处理，四周壁与</w:t>
            </w:r>
            <w:r>
              <w:rPr>
                <w:rFonts w:hint="default" w:ascii="Times New Roman" w:hAnsi="Times New Roman" w:cs="Times New Roman"/>
                <w:color w:val="000000"/>
                <w:sz w:val="24"/>
                <w:highlight w:val="none"/>
                <w:lang w:eastAsia="zh-CN"/>
              </w:rPr>
              <w:t>地面</w:t>
            </w:r>
            <w:r>
              <w:rPr>
                <w:rFonts w:hint="default" w:ascii="Times New Roman" w:hAnsi="Times New Roman" w:cs="Times New Roman"/>
                <w:color w:val="000000"/>
                <w:sz w:val="24"/>
                <w:highlight w:val="none"/>
              </w:rPr>
              <w:t>隔离层连成整体，渗透系数不大于1×10</w:t>
            </w:r>
            <w:r>
              <w:rPr>
                <w:rFonts w:hint="default" w:ascii="Times New Roman" w:hAnsi="Times New Roman" w:cs="Times New Roman"/>
                <w:color w:val="000000"/>
                <w:sz w:val="24"/>
                <w:highlight w:val="none"/>
                <w:vertAlign w:val="superscript"/>
              </w:rPr>
              <w:t>-10</w:t>
            </w:r>
            <w:r>
              <w:rPr>
                <w:rFonts w:hint="default" w:ascii="Times New Roman" w:hAnsi="Times New Roman" w:cs="Times New Roman"/>
                <w:color w:val="000000"/>
                <w:sz w:val="24"/>
                <w:highlight w:val="none"/>
              </w:rPr>
              <w:t>cm/s。选址不位于《危险废物贮存污染控制标准》（GB18597-2023）中贮存设施选址不应选择的位置，因此项目选址合理。</w:t>
            </w:r>
          </w:p>
          <w:p w14:paraId="676F3A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②储存能力：</w:t>
            </w:r>
            <w:r>
              <w:rPr>
                <w:rFonts w:hint="default" w:ascii="Times New Roman" w:hAnsi="Times New Roman" w:cs="Times New Roman"/>
                <w:snapToGrid w:val="0"/>
                <w:color w:val="000000"/>
                <w:sz w:val="24"/>
                <w:highlight w:val="none"/>
              </w:rPr>
              <w:t>本项目危险固废储存</w:t>
            </w:r>
            <w:r>
              <w:rPr>
                <w:rFonts w:hint="default" w:ascii="Times New Roman" w:hAnsi="Times New Roman" w:cs="Times New Roman"/>
                <w:snapToGrid w:val="0"/>
                <w:color w:val="000000"/>
                <w:sz w:val="24"/>
                <w:highlight w:val="none"/>
                <w:lang w:val="en-US" w:eastAsia="zh-CN"/>
              </w:rPr>
              <w:t>约</w:t>
            </w:r>
            <w:r>
              <w:rPr>
                <w:rFonts w:hint="default" w:ascii="Times New Roman" w:hAnsi="Times New Roman" w:cs="Times New Roman"/>
                <w:snapToGrid w:val="0"/>
                <w:color w:val="000000"/>
                <w:sz w:val="24"/>
                <w:highlight w:val="none"/>
              </w:rPr>
              <w:t>占地面积</w:t>
            </w:r>
            <w:r>
              <w:rPr>
                <w:rFonts w:hint="default" w:ascii="Times New Roman" w:hAnsi="Times New Roman" w:cs="Times New Roman"/>
                <w:snapToGrid w:val="0"/>
                <w:color w:val="000000"/>
                <w:sz w:val="24"/>
                <w:highlight w:val="none"/>
                <w:lang w:val="en-US" w:eastAsia="zh-CN"/>
              </w:rPr>
              <w:t>20</w:t>
            </w:r>
            <w:r>
              <w:rPr>
                <w:rFonts w:hint="default" w:ascii="Times New Roman" w:hAnsi="Times New Roman" w:cs="Times New Roman"/>
                <w:snapToGrid w:val="0"/>
                <w:color w:val="000000"/>
                <w:sz w:val="24"/>
                <w:highlight w:val="none"/>
              </w:rPr>
              <w:t>m</w:t>
            </w:r>
            <w:r>
              <w:rPr>
                <w:rFonts w:hint="default" w:ascii="Times New Roman" w:hAnsi="Times New Roman" w:cs="Times New Roman"/>
                <w:snapToGrid w:val="0"/>
                <w:color w:val="000000"/>
                <w:sz w:val="24"/>
                <w:highlight w:val="none"/>
                <w:vertAlign w:val="superscript"/>
              </w:rPr>
              <w:t>2</w:t>
            </w:r>
            <w:r>
              <w:rPr>
                <w:rFonts w:hint="default" w:ascii="Times New Roman" w:hAnsi="Times New Roman" w:cs="Times New Roman"/>
                <w:snapToGrid w:val="0"/>
                <w:color w:val="000000"/>
                <w:sz w:val="24"/>
                <w:highlight w:val="none"/>
              </w:rPr>
              <w:t>，危废暂存间总建筑面积</w:t>
            </w:r>
            <w:r>
              <w:rPr>
                <w:rFonts w:hint="default" w:ascii="Times New Roman" w:hAnsi="Times New Roman" w:cs="Times New Roman"/>
                <w:snapToGrid w:val="0"/>
                <w:color w:val="000000"/>
                <w:sz w:val="24"/>
                <w:highlight w:val="none"/>
                <w:lang w:val="en-US" w:eastAsia="zh-CN"/>
              </w:rPr>
              <w:t>20</w:t>
            </w:r>
            <w:r>
              <w:rPr>
                <w:rFonts w:hint="default" w:ascii="Times New Roman" w:hAnsi="Times New Roman" w:cs="Times New Roman"/>
                <w:color w:val="000000"/>
                <w:sz w:val="24"/>
                <w:highlight w:val="none"/>
              </w:rPr>
              <w:t>m</w:t>
            </w:r>
            <w:r>
              <w:rPr>
                <w:rFonts w:hint="default" w:ascii="Times New Roman" w:hAnsi="Times New Roman" w:cs="Times New Roman"/>
                <w:color w:val="000000"/>
                <w:sz w:val="24"/>
                <w:highlight w:val="none"/>
                <w:vertAlign w:val="superscript"/>
              </w:rPr>
              <w:t>2</w:t>
            </w:r>
            <w:r>
              <w:rPr>
                <w:rFonts w:hint="default" w:ascii="Times New Roman" w:hAnsi="Times New Roman" w:cs="Times New Roman"/>
                <w:color w:val="000000"/>
                <w:sz w:val="24"/>
                <w:highlight w:val="none"/>
              </w:rPr>
              <w:t>，可满足要求。</w:t>
            </w:r>
          </w:p>
          <w:p w14:paraId="3FE3A989">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③对周围环境的影响：危废暂存间进行了防渗处理，危险废物委托有资质的单位处理；企业应按要求编制突发环境事件应急预案，一旦发生风险事故，应立即启动突发环境事件应急预案，不会对周围环境造成影响。</w:t>
            </w:r>
          </w:p>
          <w:p w14:paraId="24B04C7F">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2）运输过程的环境影响分析</w:t>
            </w:r>
          </w:p>
          <w:p w14:paraId="3A796A6F">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本项目</w:t>
            </w:r>
            <w:r>
              <w:rPr>
                <w:rFonts w:hint="default" w:ascii="Times New Roman" w:hAnsi="Times New Roman" w:cs="Times New Roman"/>
                <w:color w:val="000000"/>
                <w:sz w:val="24"/>
                <w:highlight w:val="none"/>
                <w:lang w:val="en-US" w:eastAsia="zh-CN"/>
              </w:rPr>
              <w:t>危废间进行分区，对不同种类的危险废物分类收集、分类存储区</w:t>
            </w:r>
            <w:r>
              <w:rPr>
                <w:rFonts w:hint="default" w:ascii="Times New Roman" w:hAnsi="Times New Roman" w:cs="Times New Roman"/>
                <w:color w:val="000000"/>
                <w:sz w:val="24"/>
                <w:highlight w:val="none"/>
              </w:rPr>
              <w:t>。厂区产生的危险废物均不易挥发，且危废暂存间满足防风、防雨、防晒、防渗漏等要求，并设置渗漏收集措施</w:t>
            </w:r>
            <w:r>
              <w:rPr>
                <w:rFonts w:hint="default"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rPr>
              <w:t>一旦发生泄漏事故，应立即启动突发环境事件应急预案，不会对周围环境造成影响。</w:t>
            </w:r>
          </w:p>
          <w:p w14:paraId="72773B91">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本项目产生的危险废物委托有资质单位</w:t>
            </w:r>
            <w:r>
              <w:rPr>
                <w:rFonts w:hint="default" w:ascii="Times New Roman" w:hAnsi="Times New Roman" w:cs="Times New Roman"/>
                <w:color w:val="000000"/>
                <w:sz w:val="24"/>
                <w:highlight w:val="none"/>
                <w:lang w:val="en-US" w:eastAsia="zh-CN"/>
              </w:rPr>
              <w:t>进行</w:t>
            </w:r>
            <w:r>
              <w:rPr>
                <w:rFonts w:hint="default" w:ascii="Times New Roman" w:hAnsi="Times New Roman" w:cs="Times New Roman"/>
                <w:color w:val="000000"/>
                <w:sz w:val="24"/>
                <w:highlight w:val="none"/>
              </w:rPr>
              <w:t>处理，危险废物厂外运输由</w:t>
            </w:r>
            <w:r>
              <w:rPr>
                <w:rFonts w:hint="default" w:ascii="Times New Roman" w:hAnsi="Times New Roman" w:cs="Times New Roman"/>
                <w:color w:val="000000"/>
                <w:sz w:val="24"/>
                <w:highlight w:val="none"/>
                <w:lang w:val="en-US" w:eastAsia="zh-CN"/>
              </w:rPr>
              <w:t>有资质单位进行运输</w:t>
            </w:r>
            <w:r>
              <w:rPr>
                <w:rFonts w:hint="default" w:ascii="Times New Roman" w:hAnsi="Times New Roman" w:cs="Times New Roman"/>
                <w:color w:val="000000"/>
                <w:sz w:val="24"/>
                <w:highlight w:val="none"/>
              </w:rPr>
              <w:t>。因此，危险废物的运输过程不会对周围环境造成影响。</w:t>
            </w:r>
          </w:p>
          <w:p w14:paraId="349D903E">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3）危废利用的环境影响分析</w:t>
            </w:r>
          </w:p>
          <w:p w14:paraId="7E2EBF2D">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本项目产生的危废不在厂区内利用，不会对环境造成影响。</w:t>
            </w:r>
          </w:p>
          <w:p w14:paraId="1AA581C0">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4）委托利用的环境影响分析</w:t>
            </w:r>
          </w:p>
          <w:p w14:paraId="5D892016">
            <w:pPr>
              <w:keepNext w:val="0"/>
              <w:keepLines w:val="0"/>
              <w:pageBreakBefore w:val="0"/>
              <w:widowControl w:val="0"/>
              <w:suppressLineNumbers w:val="0"/>
              <w:tabs>
                <w:tab w:val="left" w:pos="7380"/>
              </w:tabs>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sz w:val="24"/>
                <w:highlight w:val="none"/>
              </w:rPr>
            </w:pPr>
            <w:r>
              <w:rPr>
                <w:rFonts w:hint="default" w:ascii="Times New Roman" w:hAnsi="Times New Roman" w:cs="Times New Roman"/>
                <w:color w:val="000000"/>
                <w:sz w:val="24"/>
                <w:highlight w:val="none"/>
              </w:rPr>
              <w:t>建议企业从危废处置单位距离本项目的距离、危废的处置范围等角度考虑，将产生的危废交由有资质单位处置。因此危废处理措施可行，不会对周边环境产生明显影响。</w:t>
            </w:r>
          </w:p>
          <w:p w14:paraId="0AC690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color w:val="000000"/>
                <w:sz w:val="24"/>
                <w:highlight w:val="none"/>
              </w:rPr>
              <w:t>综上所述，本项目产生的固体废物均得到合理处置，不会对周围环境产生污染影响。</w:t>
            </w:r>
          </w:p>
          <w:p w14:paraId="23B13959">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rPr>
                <w:rFonts w:hint="default" w:ascii="Times New Roman" w:hAnsi="Times New Roman" w:cs="Times New Roman"/>
                <w:b/>
                <w:color w:val="auto"/>
                <w:highlight w:val="none"/>
              </w:rPr>
            </w:pPr>
            <w:r>
              <w:rPr>
                <w:rFonts w:hint="default" w:ascii="Times New Roman" w:hAnsi="Times New Roman" w:cs="Times New Roman"/>
                <w:b/>
                <w:color w:val="auto"/>
                <w:highlight w:val="none"/>
                <w:lang w:val="en-US" w:eastAsia="zh-CN"/>
              </w:rPr>
              <w:t>5</w:t>
            </w:r>
            <w:r>
              <w:rPr>
                <w:rFonts w:hint="default" w:ascii="Times New Roman" w:hAnsi="Times New Roman" w:cs="Times New Roman"/>
                <w:b/>
                <w:color w:val="auto"/>
                <w:highlight w:val="none"/>
              </w:rPr>
              <w:t>、土壤、地下水</w:t>
            </w:r>
          </w:p>
          <w:p w14:paraId="039169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（1）地下水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本项目</w:t>
            </w:r>
            <w:r>
              <w:rPr>
                <w:rFonts w:hint="default" w:ascii="Times New Roman" w:hAnsi="Times New Roman" w:cs="Times New Roman"/>
                <w:color w:val="auto"/>
                <w:sz w:val="24"/>
                <w:szCs w:val="24"/>
                <w:highlight w:val="none"/>
                <w:lang w:eastAsia="zh-CN"/>
              </w:rPr>
              <w:t>生活废水</w:t>
            </w:r>
            <w:r>
              <w:rPr>
                <w:rFonts w:hint="default" w:ascii="Times New Roman" w:hAnsi="Times New Roman" w:cs="Times New Roman"/>
                <w:color w:val="auto"/>
                <w:sz w:val="24"/>
                <w:szCs w:val="24"/>
                <w:highlight w:val="none"/>
                <w:lang w:val="en-US" w:eastAsia="zh-CN"/>
              </w:rPr>
              <w:t>排入园区污水管网</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生产废水经厂区内污水处理站处理后循环使用</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因此项目无废水</w:t>
            </w:r>
            <w:r>
              <w:rPr>
                <w:rFonts w:hint="default" w:ascii="Times New Roman" w:hAnsi="Times New Roman" w:cs="Times New Roman"/>
                <w:color w:val="auto"/>
                <w:sz w:val="24"/>
                <w:szCs w:val="24"/>
                <w:highlight w:val="none"/>
                <w:lang w:val="en-US" w:eastAsia="zh-CN"/>
              </w:rPr>
              <w:t>排入外环境</w:t>
            </w:r>
            <w:r>
              <w:rPr>
                <w:rFonts w:hint="default" w:ascii="Times New Roman" w:hAnsi="Times New Roman" w:cs="Times New Roman"/>
                <w:color w:val="auto"/>
                <w:sz w:val="24"/>
                <w:szCs w:val="24"/>
                <w:highlight w:val="none"/>
              </w:rPr>
              <w:t>。</w:t>
            </w:r>
          </w:p>
          <w:p w14:paraId="152040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96"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4"/>
                <w:sz w:val="24"/>
                <w:szCs w:val="24"/>
                <w:highlight w:val="none"/>
              </w:rPr>
              <w:t>（2）土壤</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z w:val="24"/>
                <w:szCs w:val="24"/>
                <w:highlight w:val="none"/>
              </w:rPr>
              <w:t>本项目废气</w:t>
            </w:r>
            <w:r>
              <w:rPr>
                <w:rFonts w:hint="default" w:ascii="Times New Roman" w:hAnsi="Times New Roman" w:cs="Times New Roman"/>
                <w:color w:val="auto"/>
                <w:sz w:val="24"/>
                <w:szCs w:val="24"/>
                <w:highlight w:val="none"/>
                <w:lang w:val="en-US" w:eastAsia="zh-CN"/>
              </w:rPr>
              <w:t>经废气处理措施后可以达标排放</w:t>
            </w:r>
            <w:r>
              <w:rPr>
                <w:rFonts w:hint="default" w:ascii="Times New Roman" w:hAnsi="Times New Roman" w:cs="Times New Roman"/>
                <w:color w:val="auto"/>
                <w:sz w:val="24"/>
                <w:szCs w:val="24"/>
                <w:highlight w:val="none"/>
              </w:rPr>
              <w:t>；本项目无废水</w:t>
            </w:r>
            <w:r>
              <w:rPr>
                <w:rFonts w:hint="default" w:ascii="Times New Roman" w:hAnsi="Times New Roman" w:cs="Times New Roman"/>
                <w:color w:val="auto"/>
                <w:sz w:val="24"/>
                <w:szCs w:val="24"/>
                <w:highlight w:val="none"/>
                <w:lang w:val="en-US" w:eastAsia="zh-CN"/>
              </w:rPr>
              <w:t>排入外环境</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生产车间、</w:t>
            </w:r>
            <w:r>
              <w:rPr>
                <w:rFonts w:hint="default" w:ascii="Times New Roman" w:hAnsi="Times New Roman" w:cs="Times New Roman"/>
                <w:color w:val="auto"/>
                <w:sz w:val="24"/>
                <w:szCs w:val="24"/>
                <w:highlight w:val="none"/>
                <w:lang w:val="en-US" w:eastAsia="zh-CN"/>
              </w:rPr>
              <w:t>污水处理站、危废暂存间</w:t>
            </w:r>
            <w:r>
              <w:rPr>
                <w:rFonts w:hint="default" w:ascii="Times New Roman" w:hAnsi="Times New Roman" w:cs="Times New Roman"/>
                <w:color w:val="auto"/>
                <w:sz w:val="24"/>
                <w:szCs w:val="24"/>
                <w:highlight w:val="none"/>
              </w:rPr>
              <w:t>采取</w:t>
            </w:r>
            <w:r>
              <w:rPr>
                <w:rFonts w:hint="default" w:ascii="Times New Roman" w:hAnsi="Times New Roman" w:cs="Times New Roman"/>
                <w:color w:val="auto"/>
                <w:sz w:val="24"/>
                <w:szCs w:val="24"/>
                <w:highlight w:val="none"/>
                <w:lang w:eastAsia="zh-CN"/>
              </w:rPr>
              <w:t>相应的</w:t>
            </w:r>
            <w:r>
              <w:rPr>
                <w:rFonts w:hint="default" w:ascii="Times New Roman" w:hAnsi="Times New Roman" w:cs="Times New Roman"/>
                <w:color w:val="auto"/>
                <w:sz w:val="24"/>
                <w:szCs w:val="24"/>
                <w:highlight w:val="none"/>
              </w:rPr>
              <w:t>防渗处理，本次评价不考虑污染物垂直下渗至土壤环境；生产设备均在密闭车间内，本次评价不考虑地面漫流；本项目土壤环境主要影响区仅限制于车间范围内，不涉及土壤环境敏感目标。因此本项目不会对土壤环境产生明显影响。</w:t>
            </w:r>
          </w:p>
          <w:p w14:paraId="702D8A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为防止本项目对地下水和土壤</w:t>
            </w:r>
            <w:r>
              <w:rPr>
                <w:rFonts w:hint="eastAsia" w:cs="Times New Roman"/>
                <w:color w:val="auto"/>
                <w:sz w:val="24"/>
                <w:szCs w:val="24"/>
                <w:highlight w:val="none"/>
                <w:lang w:eastAsia="zh-CN"/>
              </w:rPr>
              <w:t>造成</w:t>
            </w:r>
            <w:r>
              <w:rPr>
                <w:rFonts w:hint="default" w:ascii="Times New Roman" w:hAnsi="Times New Roman" w:cs="Times New Roman"/>
                <w:color w:val="auto"/>
                <w:sz w:val="24"/>
                <w:szCs w:val="24"/>
                <w:highlight w:val="none"/>
              </w:rPr>
              <w:t>影响，</w:t>
            </w:r>
            <w:r>
              <w:rPr>
                <w:rFonts w:hint="default" w:ascii="Times New Roman" w:hAnsi="Times New Roman" w:cs="Times New Roman"/>
                <w:color w:val="auto"/>
                <w:sz w:val="24"/>
                <w:szCs w:val="24"/>
                <w:highlight w:val="none"/>
                <w:lang w:val="en-US" w:eastAsia="zh-CN"/>
              </w:rPr>
              <w:t>已</w:t>
            </w:r>
            <w:r>
              <w:rPr>
                <w:rFonts w:hint="default" w:ascii="Times New Roman" w:hAnsi="Times New Roman" w:cs="Times New Roman"/>
                <w:color w:val="auto"/>
                <w:sz w:val="24"/>
                <w:szCs w:val="24"/>
                <w:highlight w:val="none"/>
              </w:rPr>
              <w:t>采取相应的防渗措施：</w:t>
            </w:r>
          </w:p>
          <w:p w14:paraId="65D69AC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（1）重点防渗区</w:t>
            </w:r>
          </w:p>
          <w:p w14:paraId="13F289C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sz w:val="24"/>
              </w:rPr>
              <w:t>危废间：按照《危险废物贮存污染控制标准》的相关要求</w:t>
            </w:r>
            <w:r>
              <w:rPr>
                <w:rFonts w:hint="eastAsia" w:cs="Times New Roman"/>
                <w:color w:val="auto"/>
                <w:sz w:val="24"/>
                <w:lang w:eastAsia="zh-CN"/>
              </w:rPr>
              <w:t>，对</w:t>
            </w:r>
            <w:r>
              <w:rPr>
                <w:rFonts w:hint="default" w:ascii="Times New Roman" w:hAnsi="Times New Roman" w:cs="Times New Roman"/>
                <w:color w:val="auto"/>
                <w:sz w:val="24"/>
              </w:rPr>
              <w:t>危废间地面和裙角进行防腐防渗处理，</w:t>
            </w:r>
            <w:r>
              <w:rPr>
                <w:rFonts w:hint="default" w:ascii="Times New Roman" w:hAnsi="Times New Roman" w:cs="Times New Roman"/>
                <w:color w:val="auto"/>
                <w:kern w:val="24"/>
                <w:sz w:val="24"/>
              </w:rPr>
              <w:t>渗透系数≤10</w:t>
            </w:r>
            <w:r>
              <w:rPr>
                <w:rFonts w:hint="default" w:ascii="Times New Roman" w:hAnsi="Times New Roman" w:cs="Times New Roman"/>
                <w:color w:val="auto"/>
                <w:kern w:val="24"/>
                <w:sz w:val="24"/>
                <w:vertAlign w:val="superscript"/>
              </w:rPr>
              <w:t>-10</w:t>
            </w:r>
            <w:r>
              <w:rPr>
                <w:rFonts w:hint="default" w:ascii="Times New Roman" w:hAnsi="Times New Roman" w:cs="Times New Roman"/>
                <w:color w:val="auto"/>
                <w:kern w:val="24"/>
                <w:sz w:val="24"/>
              </w:rPr>
              <w:t>cm/s。</w:t>
            </w:r>
            <w:r>
              <w:rPr>
                <w:rFonts w:hint="default" w:ascii="Times New Roman" w:hAnsi="Times New Roman" w:cs="Times New Roman"/>
                <w:color w:val="auto"/>
                <w:kern w:val="24"/>
                <w:sz w:val="24"/>
                <w:lang w:val="en-US" w:eastAsia="zh-CN"/>
              </w:rPr>
              <w:t>污水处理站、湿料库、发酵池地面</w:t>
            </w:r>
            <w:r>
              <w:rPr>
                <w:rFonts w:hint="default" w:ascii="Times New Roman" w:hAnsi="Times New Roman" w:cs="Times New Roman"/>
                <w:color w:val="auto"/>
                <w:sz w:val="24"/>
              </w:rPr>
              <w:t>防腐防渗处理，</w:t>
            </w:r>
            <w:r>
              <w:rPr>
                <w:rFonts w:hint="default" w:ascii="Times New Roman" w:hAnsi="Times New Roman" w:cs="Times New Roman"/>
                <w:color w:val="auto"/>
                <w:kern w:val="24"/>
                <w:sz w:val="24"/>
              </w:rPr>
              <w:t>渗透系数≤10</w:t>
            </w:r>
            <w:r>
              <w:rPr>
                <w:rFonts w:hint="default" w:ascii="Times New Roman" w:hAnsi="Times New Roman" w:cs="Times New Roman"/>
                <w:color w:val="auto"/>
                <w:kern w:val="24"/>
                <w:sz w:val="24"/>
                <w:vertAlign w:val="superscript"/>
              </w:rPr>
              <w:t>-</w:t>
            </w:r>
            <w:r>
              <w:rPr>
                <w:rFonts w:hint="default" w:ascii="Times New Roman" w:hAnsi="Times New Roman" w:cs="Times New Roman"/>
                <w:color w:val="auto"/>
                <w:kern w:val="24"/>
                <w:sz w:val="24"/>
                <w:vertAlign w:val="superscript"/>
                <w:lang w:val="en-US" w:eastAsia="zh-CN"/>
              </w:rPr>
              <w:t>7</w:t>
            </w:r>
            <w:r>
              <w:rPr>
                <w:rFonts w:hint="default" w:ascii="Times New Roman" w:hAnsi="Times New Roman" w:cs="Times New Roman"/>
                <w:color w:val="auto"/>
                <w:kern w:val="24"/>
                <w:sz w:val="24"/>
              </w:rPr>
              <w:t>cm/s。</w:t>
            </w:r>
          </w:p>
          <w:p w14:paraId="47B00C7F">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（2）一般防渗区</w:t>
            </w:r>
          </w:p>
          <w:p w14:paraId="1444324C">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生产车间除重点防渗区外均为一般防渗区，</w:t>
            </w:r>
            <w:r>
              <w:rPr>
                <w:rFonts w:hint="default" w:ascii="Times New Roman" w:hAnsi="Times New Roman" w:cs="Times New Roman"/>
                <w:color w:val="auto"/>
                <w:sz w:val="24"/>
                <w:lang w:val="en-US" w:eastAsia="zh-CN"/>
              </w:rPr>
              <w:t>项目为租赁车间，车间内</w:t>
            </w:r>
            <w:r>
              <w:rPr>
                <w:rFonts w:hint="default" w:ascii="Times New Roman" w:hAnsi="Times New Roman" w:eastAsia="宋体" w:cs="Times New Roman"/>
                <w:color w:val="auto"/>
                <w:sz w:val="24"/>
              </w:rPr>
              <w:t>地面采用</w:t>
            </w:r>
            <w:r>
              <w:rPr>
                <w:rFonts w:hint="default" w:ascii="Times New Roman" w:hAnsi="Times New Roman" w:cs="Times New Roman"/>
                <w:color w:val="auto"/>
                <w:sz w:val="24"/>
                <w:lang w:val="en-US" w:eastAsia="zh-CN"/>
              </w:rPr>
              <w:t>25cm厚</w:t>
            </w:r>
            <w:r>
              <w:rPr>
                <w:rFonts w:hint="default" w:ascii="Times New Roman" w:hAnsi="Times New Roman" w:eastAsia="宋体" w:cs="Times New Roman"/>
                <w:color w:val="auto"/>
                <w:sz w:val="24"/>
              </w:rPr>
              <w:t>抗渗混凝土进行硬化，渗透系数≤1×10</w:t>
            </w:r>
            <w:r>
              <w:rPr>
                <w:rFonts w:hint="default" w:ascii="Times New Roman" w:hAnsi="Times New Roman" w:eastAsia="宋体" w:cs="Times New Roman"/>
                <w:color w:val="auto"/>
                <w:sz w:val="24"/>
                <w:vertAlign w:val="superscript"/>
              </w:rPr>
              <w:t>-7</w:t>
            </w:r>
            <w:r>
              <w:rPr>
                <w:rFonts w:hint="default" w:ascii="Times New Roman" w:hAnsi="Times New Roman" w:eastAsia="宋体" w:cs="Times New Roman"/>
                <w:color w:val="auto"/>
                <w:sz w:val="24"/>
              </w:rPr>
              <w:t>cm/s。</w:t>
            </w:r>
          </w:p>
          <w:p w14:paraId="0BD00D31">
            <w:pPr>
              <w:pStyle w:val="4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cs="Times New Roman"/>
                <w:b/>
                <w:color w:val="auto"/>
                <w:highlight w:val="none"/>
                <w:lang w:val="en-US" w:eastAsia="zh-CN"/>
              </w:rPr>
            </w:pPr>
            <w:r>
              <w:rPr>
                <w:rFonts w:hint="default" w:ascii="Times New Roman" w:hAnsi="Times New Roman" w:eastAsia="宋体" w:cs="Times New Roman"/>
                <w:color w:val="auto"/>
                <w:sz w:val="24"/>
              </w:rPr>
              <w:t>本项目采取上述防控措施后，对区域地下水、土壤环境影响较小。</w:t>
            </w:r>
          </w:p>
          <w:p w14:paraId="3D892C4C">
            <w:pPr>
              <w:pStyle w:val="4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项目所在区域地下水流向为由北向南，因此在本项目厂区南侧设置地下水监测井，</w:t>
            </w:r>
            <w:r>
              <w:rPr>
                <w:rFonts w:hint="default" w:ascii="Times New Roman" w:hAnsi="Times New Roman" w:eastAsia="宋体" w:cs="Times New Roman"/>
                <w:color w:val="auto"/>
                <w:sz w:val="24"/>
              </w:rPr>
              <w:t>本项目地下水跟踪监测计划见下表。</w:t>
            </w:r>
          </w:p>
          <w:p w14:paraId="709ED07F">
            <w:pPr>
              <w:keepNext w:val="0"/>
              <w:keepLines w:val="0"/>
              <w:suppressLineNumbers w:val="0"/>
              <w:spacing w:before="0" w:beforeAutospacing="0" w:after="0" w:afterAutospacing="0" w:line="480" w:lineRule="exact"/>
              <w:ind w:left="0" w:right="0"/>
              <w:jc w:val="center"/>
              <w:outlineLvl w:val="2"/>
              <w:rPr>
                <w:rFonts w:hint="default" w:ascii="Times New Roman" w:hAnsi="Times New Roman" w:cs="Times New Roman"/>
                <w:b/>
                <w:bCs/>
                <w:color w:val="auto"/>
                <w:sz w:val="24"/>
                <w:lang w:bidi="ar"/>
              </w:rPr>
            </w:pPr>
            <w:r>
              <w:rPr>
                <w:rFonts w:hint="default" w:ascii="Times New Roman" w:hAnsi="Times New Roman" w:cs="Times New Roman"/>
                <w:b/>
                <w:bCs/>
                <w:color w:val="auto"/>
                <w:sz w:val="24"/>
                <w:lang w:bidi="ar"/>
              </w:rPr>
              <w:t>表4-</w:t>
            </w:r>
            <w:r>
              <w:rPr>
                <w:rFonts w:hint="default" w:ascii="Times New Roman" w:hAnsi="Times New Roman" w:cs="Times New Roman"/>
                <w:b/>
                <w:bCs/>
                <w:color w:val="auto"/>
                <w:sz w:val="24"/>
                <w:lang w:val="en-US" w:eastAsia="zh-CN" w:bidi="ar"/>
              </w:rPr>
              <w:t>20</w:t>
            </w:r>
            <w:r>
              <w:rPr>
                <w:rFonts w:hint="default" w:ascii="Times New Roman" w:hAnsi="Times New Roman" w:cs="Times New Roman"/>
                <w:b/>
                <w:bCs/>
                <w:color w:val="auto"/>
                <w:sz w:val="24"/>
                <w:lang w:bidi="ar"/>
              </w:rPr>
              <w:t xml:space="preserve">   地下水跟踪监测计划一览表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89"/>
              <w:gridCol w:w="1248"/>
              <w:gridCol w:w="1196"/>
              <w:gridCol w:w="1447"/>
              <w:gridCol w:w="2024"/>
              <w:gridCol w:w="1652"/>
            </w:tblGrid>
            <w:tr w14:paraId="5EF0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361" w:type="pct"/>
                  <w:vMerge w:val="restart"/>
                  <w:tcBorders>
                    <w:tl2br w:val="nil"/>
                    <w:tr2bl w:val="nil"/>
                  </w:tcBorders>
                  <w:vAlign w:val="center"/>
                </w:tcPr>
                <w:p w14:paraId="540E40D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类别</w:t>
                  </w:r>
                </w:p>
              </w:tc>
              <w:tc>
                <w:tcPr>
                  <w:tcW w:w="765" w:type="pct"/>
                  <w:vMerge w:val="restart"/>
                  <w:tcBorders>
                    <w:tl2br w:val="nil"/>
                    <w:tr2bl w:val="nil"/>
                  </w:tcBorders>
                  <w:vAlign w:val="center"/>
                </w:tcPr>
                <w:p w14:paraId="31D5A4D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w:t>
                  </w:r>
                </w:p>
                <w:p w14:paraId="3290138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点位</w:t>
                  </w:r>
                </w:p>
              </w:tc>
              <w:tc>
                <w:tcPr>
                  <w:tcW w:w="733" w:type="pct"/>
                  <w:vMerge w:val="restart"/>
                  <w:tcBorders>
                    <w:tl2br w:val="nil"/>
                    <w:tr2bl w:val="nil"/>
                  </w:tcBorders>
                  <w:vAlign w:val="center"/>
                </w:tcPr>
                <w:p w14:paraId="0B03BFD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监测指标</w:t>
                  </w:r>
                </w:p>
              </w:tc>
              <w:tc>
                <w:tcPr>
                  <w:tcW w:w="2127" w:type="pct"/>
                  <w:gridSpan w:val="2"/>
                  <w:tcBorders>
                    <w:tl2br w:val="nil"/>
                    <w:tr2bl w:val="nil"/>
                  </w:tcBorders>
                  <w:vAlign w:val="center"/>
                </w:tcPr>
                <w:p w14:paraId="6C531EA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执行标准及限值</w:t>
                  </w:r>
                </w:p>
              </w:tc>
              <w:tc>
                <w:tcPr>
                  <w:tcW w:w="1012" w:type="pct"/>
                  <w:vMerge w:val="restart"/>
                  <w:tcBorders>
                    <w:tl2br w:val="nil"/>
                    <w:tr2bl w:val="nil"/>
                  </w:tcBorders>
                  <w:vAlign w:val="center"/>
                </w:tcPr>
                <w:p w14:paraId="4104998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监测</w:t>
                  </w:r>
                </w:p>
                <w:p w14:paraId="7B6C7FA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频次</w:t>
                  </w:r>
                </w:p>
              </w:tc>
            </w:tr>
            <w:tr w14:paraId="2982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361" w:type="pct"/>
                  <w:vMerge w:val="continue"/>
                  <w:tcBorders>
                    <w:tl2br w:val="nil"/>
                    <w:tr2bl w:val="nil"/>
                  </w:tcBorders>
                  <w:vAlign w:val="center"/>
                </w:tcPr>
                <w:p w14:paraId="6310CCA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604C901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vMerge w:val="continue"/>
                  <w:tcBorders>
                    <w:tl2br w:val="nil"/>
                    <w:tr2bl w:val="nil"/>
                  </w:tcBorders>
                  <w:vAlign w:val="center"/>
                </w:tcPr>
                <w:p w14:paraId="7F280D0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887" w:type="pct"/>
                  <w:tcBorders>
                    <w:tl2br w:val="nil"/>
                    <w:tr2bl w:val="nil"/>
                  </w:tcBorders>
                  <w:vAlign w:val="center"/>
                </w:tcPr>
                <w:p w14:paraId="4AEC0EB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标准限值</w:t>
                  </w:r>
                </w:p>
              </w:tc>
              <w:tc>
                <w:tcPr>
                  <w:tcW w:w="1240" w:type="pct"/>
                  <w:tcBorders>
                    <w:tl2br w:val="nil"/>
                    <w:tr2bl w:val="nil"/>
                  </w:tcBorders>
                  <w:vAlign w:val="center"/>
                </w:tcPr>
                <w:p w14:paraId="5DA6B74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标准名称</w:t>
                  </w:r>
                </w:p>
              </w:tc>
              <w:tc>
                <w:tcPr>
                  <w:tcW w:w="1012" w:type="pct"/>
                  <w:vMerge w:val="continue"/>
                  <w:tcBorders>
                    <w:tl2br w:val="nil"/>
                    <w:tr2bl w:val="nil"/>
                  </w:tcBorders>
                  <w:vAlign w:val="center"/>
                </w:tcPr>
                <w:p w14:paraId="2A6671F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2CD6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361" w:type="pct"/>
                  <w:vMerge w:val="restart"/>
                  <w:tcBorders>
                    <w:tl2br w:val="nil"/>
                    <w:tr2bl w:val="nil"/>
                  </w:tcBorders>
                  <w:vAlign w:val="center"/>
                </w:tcPr>
                <w:p w14:paraId="2DC0F0E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地下水</w:t>
                  </w:r>
                </w:p>
              </w:tc>
              <w:tc>
                <w:tcPr>
                  <w:tcW w:w="765" w:type="pct"/>
                  <w:vMerge w:val="restart"/>
                  <w:tcBorders>
                    <w:tl2br w:val="nil"/>
                    <w:tr2bl w:val="nil"/>
                  </w:tcBorders>
                  <w:vAlign w:val="center"/>
                </w:tcPr>
                <w:p w14:paraId="6C233B3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厂区内南侧</w:t>
                  </w:r>
                </w:p>
              </w:tc>
              <w:tc>
                <w:tcPr>
                  <w:tcW w:w="733" w:type="pct"/>
                  <w:tcBorders>
                    <w:tl2br w:val="nil"/>
                    <w:tr2bl w:val="nil"/>
                  </w:tcBorders>
                  <w:vAlign w:val="center"/>
                </w:tcPr>
                <w:p w14:paraId="2E7CAE7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pH</w:t>
                  </w:r>
                </w:p>
              </w:tc>
              <w:tc>
                <w:tcPr>
                  <w:tcW w:w="887" w:type="pct"/>
                  <w:tcBorders>
                    <w:tl2br w:val="nil"/>
                    <w:tr2bl w:val="nil"/>
                  </w:tcBorders>
                  <w:vAlign w:val="center"/>
                </w:tcPr>
                <w:p w14:paraId="0D46FCB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6.5-8.5</w:t>
                  </w:r>
                </w:p>
              </w:tc>
              <w:tc>
                <w:tcPr>
                  <w:tcW w:w="1240" w:type="pct"/>
                  <w:vMerge w:val="restart"/>
                  <w:tcBorders>
                    <w:tl2br w:val="nil"/>
                    <w:tr2bl w:val="nil"/>
                  </w:tcBorders>
                  <w:vAlign w:val="center"/>
                </w:tcPr>
                <w:p w14:paraId="75E3E08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《地下水质量标准》（GB/T14848-2017）Ⅲ类</w:t>
                  </w:r>
                </w:p>
              </w:tc>
              <w:tc>
                <w:tcPr>
                  <w:tcW w:w="1012" w:type="pct"/>
                  <w:vMerge w:val="restart"/>
                  <w:tcBorders>
                    <w:tl2br w:val="nil"/>
                    <w:tr2bl w:val="nil"/>
                  </w:tcBorders>
                  <w:vAlign w:val="center"/>
                </w:tcPr>
                <w:p w14:paraId="06EBCF5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1次/年</w:t>
                  </w:r>
                </w:p>
              </w:tc>
            </w:tr>
            <w:tr w14:paraId="4DA9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0D3DF3F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67DA199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11F01A4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耗氧量</w:t>
                  </w:r>
                </w:p>
              </w:tc>
              <w:tc>
                <w:tcPr>
                  <w:tcW w:w="887" w:type="pct"/>
                  <w:tcBorders>
                    <w:tl2br w:val="nil"/>
                    <w:tr2bl w:val="nil"/>
                  </w:tcBorders>
                  <w:vAlign w:val="center"/>
                </w:tcPr>
                <w:p w14:paraId="43BF78D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3.0mg/L</w:t>
                  </w:r>
                </w:p>
              </w:tc>
              <w:tc>
                <w:tcPr>
                  <w:tcW w:w="1240" w:type="pct"/>
                  <w:vMerge w:val="continue"/>
                  <w:tcBorders>
                    <w:tl2br w:val="nil"/>
                    <w:tr2bl w:val="nil"/>
                  </w:tcBorders>
                  <w:vAlign w:val="center"/>
                </w:tcPr>
                <w:p w14:paraId="49FAF5C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21BC704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4269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5A0C834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7ABCBD5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601FC63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氨氮</w:t>
                  </w:r>
                </w:p>
              </w:tc>
              <w:tc>
                <w:tcPr>
                  <w:tcW w:w="887" w:type="pct"/>
                  <w:tcBorders>
                    <w:tl2br w:val="nil"/>
                    <w:tr2bl w:val="nil"/>
                  </w:tcBorders>
                  <w:vAlign w:val="center"/>
                </w:tcPr>
                <w:p w14:paraId="7E0D2D2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0.5mg/L</w:t>
                  </w:r>
                </w:p>
              </w:tc>
              <w:tc>
                <w:tcPr>
                  <w:tcW w:w="1240" w:type="pct"/>
                  <w:vMerge w:val="continue"/>
                  <w:tcBorders>
                    <w:tl2br w:val="nil"/>
                    <w:tr2bl w:val="nil"/>
                  </w:tcBorders>
                  <w:vAlign w:val="center"/>
                </w:tcPr>
                <w:p w14:paraId="0E9B727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223A4EF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02D5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0AC7E04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3B49394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2250D4F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铅</w:t>
                  </w:r>
                </w:p>
              </w:tc>
              <w:tc>
                <w:tcPr>
                  <w:tcW w:w="887" w:type="pct"/>
                  <w:tcBorders>
                    <w:tl2br w:val="nil"/>
                    <w:tr2bl w:val="nil"/>
                  </w:tcBorders>
                  <w:vAlign w:val="center"/>
                </w:tcPr>
                <w:p w14:paraId="4A95014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0.01mg/L</w:t>
                  </w:r>
                </w:p>
              </w:tc>
              <w:tc>
                <w:tcPr>
                  <w:tcW w:w="1240" w:type="pct"/>
                  <w:vMerge w:val="continue"/>
                  <w:tcBorders>
                    <w:tl2br w:val="nil"/>
                    <w:tr2bl w:val="nil"/>
                  </w:tcBorders>
                  <w:vAlign w:val="center"/>
                </w:tcPr>
                <w:p w14:paraId="0A3E360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4B66D33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6AD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0D24530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4A2897B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69D3FFA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汞</w:t>
                  </w:r>
                </w:p>
              </w:tc>
              <w:tc>
                <w:tcPr>
                  <w:tcW w:w="887" w:type="pct"/>
                  <w:tcBorders>
                    <w:tl2br w:val="nil"/>
                    <w:tr2bl w:val="nil"/>
                  </w:tcBorders>
                  <w:vAlign w:val="center"/>
                </w:tcPr>
                <w:p w14:paraId="74A7944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0.001mg/L</w:t>
                  </w:r>
                </w:p>
              </w:tc>
              <w:tc>
                <w:tcPr>
                  <w:tcW w:w="1240" w:type="pct"/>
                  <w:vMerge w:val="continue"/>
                  <w:tcBorders>
                    <w:tl2br w:val="nil"/>
                    <w:tr2bl w:val="nil"/>
                  </w:tcBorders>
                  <w:vAlign w:val="center"/>
                </w:tcPr>
                <w:p w14:paraId="6C8644D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57A6647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1C4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37A5512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3176570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56C0441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砷</w:t>
                  </w:r>
                </w:p>
              </w:tc>
              <w:tc>
                <w:tcPr>
                  <w:tcW w:w="887" w:type="pct"/>
                  <w:tcBorders>
                    <w:tl2br w:val="nil"/>
                    <w:tr2bl w:val="nil"/>
                  </w:tcBorders>
                  <w:vAlign w:val="center"/>
                </w:tcPr>
                <w:p w14:paraId="7004DF8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0.01mg/L</w:t>
                  </w:r>
                </w:p>
              </w:tc>
              <w:tc>
                <w:tcPr>
                  <w:tcW w:w="1240" w:type="pct"/>
                  <w:vMerge w:val="continue"/>
                  <w:tcBorders>
                    <w:tl2br w:val="nil"/>
                    <w:tr2bl w:val="nil"/>
                  </w:tcBorders>
                  <w:vAlign w:val="center"/>
                </w:tcPr>
                <w:p w14:paraId="72D386F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453797C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9E2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495ECEE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6EE97CA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7DEBC67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铬（六价）</w:t>
                  </w:r>
                </w:p>
              </w:tc>
              <w:tc>
                <w:tcPr>
                  <w:tcW w:w="887" w:type="pct"/>
                  <w:tcBorders>
                    <w:tl2br w:val="nil"/>
                    <w:tr2bl w:val="nil"/>
                  </w:tcBorders>
                  <w:vAlign w:val="center"/>
                </w:tcPr>
                <w:p w14:paraId="557CC02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0.05mg/L</w:t>
                  </w:r>
                </w:p>
              </w:tc>
              <w:tc>
                <w:tcPr>
                  <w:tcW w:w="1240" w:type="pct"/>
                  <w:vMerge w:val="continue"/>
                  <w:tcBorders>
                    <w:tl2br w:val="nil"/>
                    <w:tr2bl w:val="nil"/>
                  </w:tcBorders>
                  <w:vAlign w:val="center"/>
                </w:tcPr>
                <w:p w14:paraId="51E3D52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3B0DDCE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214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4CE6302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0A4AC02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3857322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镉</w:t>
                  </w:r>
                </w:p>
              </w:tc>
              <w:tc>
                <w:tcPr>
                  <w:tcW w:w="887" w:type="pct"/>
                  <w:tcBorders>
                    <w:tl2br w:val="nil"/>
                    <w:tr2bl w:val="nil"/>
                  </w:tcBorders>
                  <w:vAlign w:val="center"/>
                </w:tcPr>
                <w:p w14:paraId="2B1D2C9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0.005mg/L</w:t>
                  </w:r>
                </w:p>
              </w:tc>
              <w:tc>
                <w:tcPr>
                  <w:tcW w:w="1240" w:type="pct"/>
                  <w:vMerge w:val="continue"/>
                  <w:tcBorders>
                    <w:tl2br w:val="nil"/>
                    <w:tr2bl w:val="nil"/>
                  </w:tcBorders>
                  <w:vAlign w:val="center"/>
                </w:tcPr>
                <w:p w14:paraId="502DF26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63AE676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787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06D933E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540450B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7FE10C8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锌</w:t>
                  </w:r>
                </w:p>
              </w:tc>
              <w:tc>
                <w:tcPr>
                  <w:tcW w:w="887" w:type="pct"/>
                  <w:tcBorders>
                    <w:tl2br w:val="nil"/>
                    <w:tr2bl w:val="nil"/>
                  </w:tcBorders>
                  <w:vAlign w:val="center"/>
                </w:tcPr>
                <w:p w14:paraId="72A67A7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1.00mg/L</w:t>
                  </w:r>
                </w:p>
              </w:tc>
              <w:tc>
                <w:tcPr>
                  <w:tcW w:w="1240" w:type="pct"/>
                  <w:vMerge w:val="continue"/>
                  <w:tcBorders>
                    <w:tl2br w:val="nil"/>
                    <w:tr2bl w:val="nil"/>
                  </w:tcBorders>
                  <w:vAlign w:val="center"/>
                </w:tcPr>
                <w:p w14:paraId="70C3C87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4840E62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43B7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0BC0323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0FA5377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67184AC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钡</w:t>
                  </w:r>
                </w:p>
              </w:tc>
              <w:tc>
                <w:tcPr>
                  <w:tcW w:w="887" w:type="pct"/>
                  <w:tcBorders>
                    <w:tl2br w:val="nil"/>
                    <w:tr2bl w:val="nil"/>
                  </w:tcBorders>
                  <w:vAlign w:val="center"/>
                </w:tcPr>
                <w:p w14:paraId="7BF7009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0.70mg/L</w:t>
                  </w:r>
                </w:p>
              </w:tc>
              <w:tc>
                <w:tcPr>
                  <w:tcW w:w="1240" w:type="pct"/>
                  <w:vMerge w:val="continue"/>
                  <w:tcBorders>
                    <w:tl2br w:val="nil"/>
                    <w:tr2bl w:val="nil"/>
                  </w:tcBorders>
                  <w:vAlign w:val="center"/>
                </w:tcPr>
                <w:p w14:paraId="25E6A75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4154C85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70E8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5A6DDFF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5A88D02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1F127F5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镍</w:t>
                  </w:r>
                </w:p>
              </w:tc>
              <w:tc>
                <w:tcPr>
                  <w:tcW w:w="887" w:type="pct"/>
                  <w:tcBorders>
                    <w:tl2br w:val="nil"/>
                    <w:tr2bl w:val="nil"/>
                  </w:tcBorders>
                  <w:vAlign w:val="center"/>
                </w:tcPr>
                <w:p w14:paraId="0394428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0.02mg/L</w:t>
                  </w:r>
                </w:p>
              </w:tc>
              <w:tc>
                <w:tcPr>
                  <w:tcW w:w="1240" w:type="pct"/>
                  <w:vMerge w:val="continue"/>
                  <w:tcBorders>
                    <w:tl2br w:val="nil"/>
                    <w:tr2bl w:val="nil"/>
                  </w:tcBorders>
                  <w:vAlign w:val="center"/>
                </w:tcPr>
                <w:p w14:paraId="5A1027C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58E5B3F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07EC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2E8C73E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0FA4E36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51C326E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总大肠菌群</w:t>
                  </w:r>
                </w:p>
              </w:tc>
              <w:tc>
                <w:tcPr>
                  <w:tcW w:w="887" w:type="pct"/>
                  <w:tcBorders>
                    <w:tl2br w:val="nil"/>
                    <w:tr2bl w:val="nil"/>
                  </w:tcBorders>
                  <w:vAlign w:val="center"/>
                </w:tcPr>
                <w:p w14:paraId="4485A72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3.0</w:t>
                  </w:r>
                </w:p>
              </w:tc>
              <w:tc>
                <w:tcPr>
                  <w:tcW w:w="1240" w:type="pct"/>
                  <w:vMerge w:val="continue"/>
                  <w:tcBorders>
                    <w:tl2br w:val="nil"/>
                    <w:tr2bl w:val="nil"/>
                  </w:tcBorders>
                  <w:vAlign w:val="center"/>
                </w:tcPr>
                <w:p w14:paraId="0EB248A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14358F9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188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361" w:type="pct"/>
                  <w:vMerge w:val="continue"/>
                  <w:tcBorders>
                    <w:tl2br w:val="nil"/>
                    <w:tr2bl w:val="nil"/>
                  </w:tcBorders>
                  <w:vAlign w:val="center"/>
                </w:tcPr>
                <w:p w14:paraId="481AEC9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5E391D7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1342EFE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菌落总数</w:t>
                  </w:r>
                </w:p>
              </w:tc>
              <w:tc>
                <w:tcPr>
                  <w:tcW w:w="887" w:type="pct"/>
                  <w:tcBorders>
                    <w:tl2br w:val="nil"/>
                    <w:tr2bl w:val="nil"/>
                  </w:tcBorders>
                  <w:vAlign w:val="center"/>
                </w:tcPr>
                <w:p w14:paraId="5693902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100</w:t>
                  </w:r>
                  <w:r>
                    <w:rPr>
                      <w:rFonts w:hint="eastAsia" w:cs="Times New Roman"/>
                      <w:b w:val="0"/>
                      <w:bCs w:val="0"/>
                      <w:color w:val="auto"/>
                      <w:sz w:val="21"/>
                      <w:szCs w:val="21"/>
                      <w:vertAlign w:val="baseline"/>
                      <w:lang w:val="en-US" w:eastAsia="zh-CN"/>
                    </w:rPr>
                    <w:t>（</w:t>
                  </w:r>
                  <w:r>
                    <w:rPr>
                      <w:rFonts w:hint="default" w:ascii="Times New Roman" w:hAnsi="Times New Roman" w:eastAsia="宋体" w:cs="Times New Roman"/>
                      <w:b w:val="0"/>
                      <w:bCs w:val="0"/>
                      <w:color w:val="auto"/>
                      <w:sz w:val="21"/>
                      <w:szCs w:val="21"/>
                      <w:vertAlign w:val="baseline"/>
                      <w:lang w:val="en-US" w:eastAsia="zh-CN"/>
                    </w:rPr>
                    <w:t>MPN</w:t>
                  </w:r>
                  <w:r>
                    <w:rPr>
                      <w:rFonts w:hint="default" w:ascii="Times New Roman" w:hAnsi="Times New Roman" w:eastAsia="宋体" w:cs="Times New Roman"/>
                      <w:b w:val="0"/>
                      <w:bCs w:val="0"/>
                      <w:color w:val="auto"/>
                      <w:sz w:val="21"/>
                      <w:szCs w:val="21"/>
                      <w:vertAlign w:val="superscript"/>
                      <w:lang w:val="en-US" w:eastAsia="zh-CN"/>
                    </w:rPr>
                    <w:t>-b</w:t>
                  </w:r>
                  <w:r>
                    <w:rPr>
                      <w:rFonts w:hint="default" w:ascii="Times New Roman" w:hAnsi="Times New Roman" w:eastAsia="宋体" w:cs="Times New Roman"/>
                      <w:b w:val="0"/>
                      <w:bCs w:val="0"/>
                      <w:color w:val="auto"/>
                      <w:sz w:val="21"/>
                      <w:szCs w:val="21"/>
                      <w:vertAlign w:val="baseline"/>
                      <w:lang w:val="en-US" w:eastAsia="zh-CN"/>
                    </w:rPr>
                    <w:t>/100 mL或CFU/100 ml</w:t>
                  </w:r>
                  <w:r>
                    <w:rPr>
                      <w:rFonts w:hint="eastAsia" w:cs="Times New Roman"/>
                      <w:b w:val="0"/>
                      <w:bCs w:val="0"/>
                      <w:color w:val="auto"/>
                      <w:sz w:val="21"/>
                      <w:szCs w:val="21"/>
                      <w:vertAlign w:val="baseline"/>
                      <w:lang w:val="en-US" w:eastAsia="zh-CN"/>
                    </w:rPr>
                    <w:t>）</w:t>
                  </w:r>
                </w:p>
              </w:tc>
              <w:tc>
                <w:tcPr>
                  <w:tcW w:w="1240" w:type="pct"/>
                  <w:vMerge w:val="continue"/>
                  <w:tcBorders>
                    <w:tl2br w:val="nil"/>
                    <w:tr2bl w:val="nil"/>
                  </w:tcBorders>
                  <w:vAlign w:val="center"/>
                </w:tcPr>
                <w:p w14:paraId="09E880B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012" w:type="pct"/>
                  <w:vMerge w:val="continue"/>
                  <w:tcBorders>
                    <w:tl2br w:val="nil"/>
                    <w:tr2bl w:val="nil"/>
                  </w:tcBorders>
                  <w:vAlign w:val="center"/>
                </w:tcPr>
                <w:p w14:paraId="4753CA8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54B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jc w:val="center"/>
              </w:trPr>
              <w:tc>
                <w:tcPr>
                  <w:tcW w:w="361" w:type="pct"/>
                  <w:vMerge w:val="continue"/>
                  <w:tcBorders>
                    <w:tl2br w:val="nil"/>
                    <w:tr2bl w:val="nil"/>
                  </w:tcBorders>
                  <w:vAlign w:val="center"/>
                </w:tcPr>
                <w:p w14:paraId="595EDCB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65" w:type="pct"/>
                  <w:vMerge w:val="continue"/>
                  <w:tcBorders>
                    <w:tl2br w:val="nil"/>
                    <w:tr2bl w:val="nil"/>
                  </w:tcBorders>
                  <w:vAlign w:val="center"/>
                </w:tcPr>
                <w:p w14:paraId="19E174C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33" w:type="pct"/>
                  <w:tcBorders>
                    <w:tl2br w:val="nil"/>
                    <w:tr2bl w:val="nil"/>
                  </w:tcBorders>
                  <w:vAlign w:val="center"/>
                </w:tcPr>
                <w:p w14:paraId="7CED0E2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石油类</w:t>
                  </w:r>
                </w:p>
              </w:tc>
              <w:tc>
                <w:tcPr>
                  <w:tcW w:w="887" w:type="pct"/>
                  <w:tcBorders>
                    <w:tl2br w:val="nil"/>
                    <w:tr2bl w:val="nil"/>
                  </w:tcBorders>
                  <w:vAlign w:val="center"/>
                </w:tcPr>
                <w:p w14:paraId="65DAB61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0.05mg/L</w:t>
                  </w:r>
                </w:p>
              </w:tc>
              <w:tc>
                <w:tcPr>
                  <w:tcW w:w="1240" w:type="pct"/>
                  <w:tcBorders>
                    <w:tl2br w:val="nil"/>
                    <w:tr2bl w:val="nil"/>
                  </w:tcBorders>
                  <w:vAlign w:val="center"/>
                </w:tcPr>
                <w:p w14:paraId="3BF21E1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《地表水环境质量标准》（GB3838-2002）中Ⅲ类相关要求</w:t>
                  </w:r>
                </w:p>
              </w:tc>
              <w:tc>
                <w:tcPr>
                  <w:tcW w:w="1012" w:type="pct"/>
                  <w:vMerge w:val="continue"/>
                  <w:tcBorders>
                    <w:tl2br w:val="nil"/>
                    <w:tr2bl w:val="nil"/>
                  </w:tcBorders>
                  <w:vAlign w:val="center"/>
                </w:tcPr>
                <w:p w14:paraId="31C7FF6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bl>
          <w:p w14:paraId="7AB4676F">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rPr>
                <w:rFonts w:hint="default" w:ascii="Times New Roman" w:hAnsi="Times New Roman" w:cs="Times New Roman"/>
                <w:b/>
                <w:color w:val="auto"/>
                <w:highlight w:val="none"/>
                <w:lang w:val="en-US" w:eastAsia="zh-CN"/>
              </w:rPr>
            </w:pPr>
          </w:p>
          <w:p w14:paraId="10B82E4E">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rPr>
                <w:rFonts w:hint="default" w:ascii="Times New Roman" w:hAnsi="Times New Roman" w:cs="Times New Roman"/>
                <w:b/>
                <w:color w:val="auto"/>
                <w:highlight w:val="none"/>
                <w:lang w:val="en-US" w:eastAsia="zh-CN"/>
              </w:rPr>
            </w:pPr>
            <w:r>
              <w:rPr>
                <w:rFonts w:hint="default" w:ascii="Times New Roman" w:hAnsi="Times New Roman" w:cs="Times New Roman"/>
                <w:b/>
                <w:color w:val="auto"/>
                <w:highlight w:val="none"/>
                <w:lang w:val="en-US" w:eastAsia="zh-CN"/>
              </w:rPr>
              <w:t>6、生态影响分析</w:t>
            </w:r>
          </w:p>
          <w:p w14:paraId="644E3502">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本项目</w:t>
            </w:r>
            <w:r>
              <w:rPr>
                <w:rFonts w:hint="default" w:ascii="Times New Roman" w:hAnsi="Times New Roman" w:eastAsia="宋体" w:cs="Times New Roman"/>
                <w:color w:val="auto"/>
                <w:sz w:val="24"/>
                <w:highlight w:val="none"/>
              </w:rPr>
              <w:t>对生态的影响主要为建设</w:t>
            </w:r>
            <w:r>
              <w:rPr>
                <w:rFonts w:hint="default" w:ascii="Times New Roman" w:hAnsi="Times New Roman" w:cs="Times New Roman"/>
                <w:color w:val="auto"/>
                <w:sz w:val="24"/>
                <w:highlight w:val="none"/>
                <w:lang w:eastAsia="zh-CN"/>
              </w:rPr>
              <w:t>施工</w:t>
            </w:r>
            <w:r>
              <w:rPr>
                <w:rFonts w:hint="default" w:ascii="Times New Roman" w:hAnsi="Times New Roman" w:eastAsia="宋体" w:cs="Times New Roman"/>
                <w:color w:val="auto"/>
                <w:sz w:val="24"/>
                <w:highlight w:val="none"/>
                <w:lang w:val="en-US" w:eastAsia="zh-CN"/>
              </w:rPr>
              <w:t>过</w:t>
            </w:r>
            <w:r>
              <w:rPr>
                <w:rFonts w:hint="default" w:ascii="Times New Roman" w:hAnsi="Times New Roman" w:cs="Times New Roman"/>
                <w:color w:val="auto"/>
                <w:sz w:val="24"/>
                <w:highlight w:val="none"/>
                <w:lang w:val="en-US" w:eastAsia="zh-CN"/>
              </w:rPr>
              <w:t>程中</w:t>
            </w:r>
            <w:r>
              <w:rPr>
                <w:rFonts w:hint="default" w:ascii="Times New Roman" w:hAnsi="Times New Roman" w:eastAsia="宋体" w:cs="Times New Roman"/>
                <w:color w:val="auto"/>
                <w:sz w:val="24"/>
                <w:highlight w:val="none"/>
              </w:rPr>
              <w:t>引起土壤松动和水土流失，项目建成后采取地面硬化、绿化等措施，可有效减少水土流失，对生态环境具有一定的改善作用，对区域生态环境影响较小。</w:t>
            </w:r>
          </w:p>
          <w:p w14:paraId="1D9455DB">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rPr>
                <w:rFonts w:hint="default" w:ascii="Times New Roman" w:hAnsi="Times New Roman" w:cs="Times New Roman"/>
                <w:b/>
                <w:color w:val="auto"/>
                <w:highlight w:val="none"/>
              </w:rPr>
            </w:pPr>
            <w:bookmarkStart w:id="11" w:name="OLE_LINK31"/>
            <w:r>
              <w:rPr>
                <w:rFonts w:hint="default" w:ascii="Times New Roman" w:hAnsi="Times New Roman" w:cs="Times New Roman"/>
                <w:b/>
                <w:color w:val="auto"/>
                <w:highlight w:val="none"/>
                <w:lang w:val="en-US" w:eastAsia="zh-CN"/>
              </w:rPr>
              <w:t>7</w:t>
            </w:r>
            <w:r>
              <w:rPr>
                <w:rFonts w:hint="default" w:ascii="Times New Roman" w:hAnsi="Times New Roman" w:cs="Times New Roman"/>
                <w:b/>
                <w:color w:val="auto"/>
                <w:highlight w:val="none"/>
              </w:rPr>
              <w:t>、风险环境影响分析</w:t>
            </w:r>
          </w:p>
          <w:bookmarkEnd w:id="11"/>
          <w:p w14:paraId="5C3C64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（1）项目环境风险识别</w:t>
            </w:r>
          </w:p>
          <w:p w14:paraId="0661ED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rPr>
              <w:t>本项目</w:t>
            </w:r>
            <w:r>
              <w:rPr>
                <w:rFonts w:hint="default" w:ascii="Times New Roman" w:hAnsi="Times New Roman" w:cs="Times New Roman"/>
                <w:color w:val="auto"/>
                <w:sz w:val="24"/>
                <w:lang w:eastAsia="zh-CN"/>
              </w:rPr>
              <w:t>涉及</w:t>
            </w:r>
            <w:r>
              <w:rPr>
                <w:rFonts w:hint="default" w:ascii="Times New Roman" w:hAnsi="Times New Roman" w:eastAsia="宋体" w:cs="Times New Roman"/>
                <w:color w:val="auto"/>
                <w:sz w:val="24"/>
              </w:rPr>
              <w:t>的风险物质主要为润滑油、液压油、废润滑油、废液压油、</w:t>
            </w:r>
            <w:r>
              <w:rPr>
                <w:rFonts w:hint="default" w:ascii="Times New Roman" w:hAnsi="Times New Roman" w:eastAsia="宋体" w:cs="Times New Roman"/>
                <w:color w:val="auto"/>
                <w:sz w:val="24"/>
                <w:lang w:val="en-US" w:eastAsia="zh-CN"/>
              </w:rPr>
              <w:t>尿素</w:t>
            </w:r>
            <w:r>
              <w:rPr>
                <w:rFonts w:hint="default" w:ascii="Times New Roman" w:hAnsi="Times New Roman" w:eastAsia="宋体" w:cs="Times New Roman"/>
                <w:color w:val="auto"/>
                <w:sz w:val="24"/>
              </w:rPr>
              <w:t>。危险废物暂存于危废间，定期交由有资质单位处理。项目主要装置及涉及环境风险物质情况见下表</w:t>
            </w:r>
          </w:p>
          <w:p w14:paraId="4030D6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outlineLvl w:val="2"/>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项目涉及的风险物质最大存在总量与临界量比值情况分析如下：</w:t>
            </w:r>
          </w:p>
          <w:p w14:paraId="38BC55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表4-</w:t>
            </w:r>
            <w:r>
              <w:rPr>
                <w:rFonts w:hint="default" w:ascii="Times New Roman" w:hAnsi="Times New Roman" w:cs="Times New Roman"/>
                <w:b/>
                <w:bCs/>
                <w:color w:val="auto"/>
                <w:sz w:val="24"/>
                <w:szCs w:val="24"/>
                <w:highlight w:val="none"/>
                <w:lang w:val="en-US" w:eastAsia="zh-CN"/>
              </w:rPr>
              <w:t>21</w:t>
            </w:r>
            <w:r>
              <w:rPr>
                <w:rFonts w:hint="default" w:ascii="Times New Roman" w:hAnsi="Times New Roman"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环境风险物质数量与其临界量的比值计算一览表</w:t>
            </w:r>
          </w:p>
          <w:tbl>
            <w:tblPr>
              <w:tblStyle w:val="30"/>
              <w:tblW w:w="4995"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27"/>
              <w:gridCol w:w="1060"/>
              <w:gridCol w:w="1554"/>
              <w:gridCol w:w="1097"/>
              <w:gridCol w:w="962"/>
              <w:gridCol w:w="2151"/>
            </w:tblGrid>
            <w:tr w14:paraId="4D39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43539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bCs/>
                      <w:color w:val="000000"/>
                      <w:sz w:val="18"/>
                      <w:szCs w:val="18"/>
                      <w:highlight w:val="none"/>
                    </w:rPr>
                  </w:pPr>
                  <w:r>
                    <w:rPr>
                      <w:rFonts w:hint="default" w:ascii="Times New Roman" w:hAnsi="Times New Roman" w:cs="Times New Roman"/>
                      <w:b/>
                      <w:bCs/>
                      <w:color w:val="000000"/>
                      <w:sz w:val="18"/>
                      <w:szCs w:val="18"/>
                      <w:highlight w:val="none"/>
                    </w:rPr>
                    <w:t>风险物质名称</w:t>
                  </w:r>
                </w:p>
              </w:tc>
              <w:tc>
                <w:tcPr>
                  <w:tcW w:w="650" w:type="pct"/>
                  <w:tcBorders>
                    <w:tl2br w:val="nil"/>
                    <w:tr2bl w:val="nil"/>
                  </w:tcBorders>
                  <w:noWrap w:val="0"/>
                  <w:tcMar>
                    <w:top w:w="15" w:type="dxa"/>
                    <w:left w:w="15" w:type="dxa"/>
                    <w:right w:w="15" w:type="dxa"/>
                  </w:tcMar>
                  <w:vAlign w:val="center"/>
                </w:tcPr>
                <w:p w14:paraId="1EC5A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bCs/>
                      <w:color w:val="000000"/>
                      <w:sz w:val="18"/>
                      <w:szCs w:val="18"/>
                      <w:highlight w:val="none"/>
                    </w:rPr>
                  </w:pPr>
                  <w:r>
                    <w:rPr>
                      <w:rFonts w:hint="default" w:ascii="Times New Roman" w:hAnsi="Times New Roman" w:cs="Times New Roman"/>
                      <w:b/>
                      <w:bCs/>
                      <w:color w:val="000000"/>
                      <w:sz w:val="18"/>
                      <w:szCs w:val="18"/>
                      <w:highlight w:val="none"/>
                    </w:rPr>
                    <w:t>储存场所</w:t>
                  </w:r>
                </w:p>
              </w:tc>
              <w:tc>
                <w:tcPr>
                  <w:tcW w:w="953" w:type="pct"/>
                  <w:tcBorders>
                    <w:tl2br w:val="nil"/>
                    <w:tr2bl w:val="nil"/>
                  </w:tcBorders>
                  <w:noWrap w:val="0"/>
                  <w:tcMar>
                    <w:top w:w="15" w:type="dxa"/>
                    <w:left w:w="15" w:type="dxa"/>
                    <w:right w:w="15" w:type="dxa"/>
                  </w:tcMar>
                  <w:vAlign w:val="center"/>
                </w:tcPr>
                <w:p w14:paraId="3E93F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bCs/>
                      <w:color w:val="000000"/>
                      <w:sz w:val="18"/>
                      <w:szCs w:val="18"/>
                      <w:highlight w:val="none"/>
                    </w:rPr>
                  </w:pPr>
                  <w:r>
                    <w:rPr>
                      <w:rFonts w:hint="default" w:ascii="Times New Roman" w:hAnsi="Times New Roman" w:cs="Times New Roman"/>
                      <w:b/>
                      <w:bCs/>
                      <w:color w:val="000000"/>
                      <w:sz w:val="18"/>
                      <w:szCs w:val="18"/>
                      <w:highlight w:val="none"/>
                    </w:rPr>
                    <w:t>最大</w:t>
                  </w:r>
                  <w:r>
                    <w:rPr>
                      <w:rFonts w:hint="default" w:ascii="Times New Roman" w:hAnsi="Times New Roman" w:cs="Times New Roman"/>
                      <w:b/>
                      <w:bCs/>
                      <w:color w:val="000000"/>
                      <w:sz w:val="18"/>
                      <w:szCs w:val="18"/>
                      <w:highlight w:val="none"/>
                      <w:lang w:val="en-US" w:eastAsia="zh-CN"/>
                    </w:rPr>
                    <w:t>存在</w:t>
                  </w:r>
                  <w:r>
                    <w:rPr>
                      <w:rFonts w:hint="default" w:ascii="Times New Roman" w:hAnsi="Times New Roman" w:cs="Times New Roman"/>
                      <w:b/>
                      <w:bCs/>
                      <w:color w:val="000000"/>
                      <w:sz w:val="18"/>
                      <w:szCs w:val="18"/>
                      <w:highlight w:val="none"/>
                    </w:rPr>
                    <w:t xml:space="preserve">量（t） </w:t>
                  </w:r>
                </w:p>
              </w:tc>
              <w:tc>
                <w:tcPr>
                  <w:tcW w:w="672" w:type="pct"/>
                  <w:tcBorders>
                    <w:tl2br w:val="nil"/>
                    <w:tr2bl w:val="nil"/>
                  </w:tcBorders>
                  <w:noWrap w:val="0"/>
                  <w:tcMar>
                    <w:top w:w="15" w:type="dxa"/>
                    <w:left w:w="15" w:type="dxa"/>
                    <w:right w:w="15" w:type="dxa"/>
                  </w:tcMar>
                  <w:vAlign w:val="center"/>
                </w:tcPr>
                <w:p w14:paraId="4B774F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bCs/>
                      <w:color w:val="000000"/>
                      <w:sz w:val="18"/>
                      <w:szCs w:val="18"/>
                      <w:highlight w:val="none"/>
                    </w:rPr>
                  </w:pPr>
                  <w:r>
                    <w:rPr>
                      <w:rFonts w:hint="default" w:ascii="Times New Roman" w:hAnsi="Times New Roman" w:cs="Times New Roman"/>
                      <w:b/>
                      <w:bCs/>
                      <w:color w:val="000000"/>
                      <w:sz w:val="18"/>
                      <w:szCs w:val="18"/>
                      <w:highlight w:val="none"/>
                    </w:rPr>
                    <w:t>临界量（t）</w:t>
                  </w:r>
                </w:p>
              </w:tc>
              <w:tc>
                <w:tcPr>
                  <w:tcW w:w="590" w:type="pct"/>
                  <w:tcBorders>
                    <w:tl2br w:val="nil"/>
                    <w:tr2bl w:val="nil"/>
                  </w:tcBorders>
                  <w:noWrap w:val="0"/>
                  <w:tcMar>
                    <w:top w:w="15" w:type="dxa"/>
                    <w:left w:w="15" w:type="dxa"/>
                    <w:right w:w="15" w:type="dxa"/>
                  </w:tcMar>
                  <w:vAlign w:val="center"/>
                </w:tcPr>
                <w:p w14:paraId="67AB0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bCs/>
                      <w:color w:val="000000"/>
                      <w:sz w:val="18"/>
                      <w:szCs w:val="18"/>
                      <w:highlight w:val="none"/>
                    </w:rPr>
                  </w:pPr>
                  <w:r>
                    <w:rPr>
                      <w:rFonts w:hint="default" w:ascii="Times New Roman" w:hAnsi="Times New Roman" w:cs="Times New Roman"/>
                      <w:b/>
                      <w:bCs/>
                      <w:color w:val="000000"/>
                      <w:sz w:val="18"/>
                      <w:szCs w:val="18"/>
                      <w:highlight w:val="none"/>
                    </w:rPr>
                    <w:t>Q值</w:t>
                  </w:r>
                </w:p>
              </w:tc>
              <w:tc>
                <w:tcPr>
                  <w:tcW w:w="1319" w:type="pct"/>
                  <w:tcBorders>
                    <w:tl2br w:val="nil"/>
                    <w:tr2bl w:val="nil"/>
                  </w:tcBorders>
                  <w:noWrap w:val="0"/>
                  <w:tcMar>
                    <w:top w:w="15" w:type="dxa"/>
                    <w:left w:w="15" w:type="dxa"/>
                    <w:right w:w="15" w:type="dxa"/>
                  </w:tcMar>
                  <w:vAlign w:val="center"/>
                </w:tcPr>
                <w:p w14:paraId="3DFA5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b/>
                      <w:bCs/>
                      <w:color w:val="000000"/>
                      <w:sz w:val="18"/>
                      <w:szCs w:val="18"/>
                      <w:highlight w:val="none"/>
                      <w:lang w:val="en-US" w:eastAsia="zh-CN"/>
                    </w:rPr>
                  </w:pPr>
                  <w:r>
                    <w:rPr>
                      <w:rFonts w:hint="default" w:ascii="Times New Roman" w:hAnsi="Times New Roman" w:cs="Times New Roman"/>
                      <w:b/>
                      <w:bCs/>
                      <w:color w:val="000000"/>
                      <w:sz w:val="18"/>
                      <w:szCs w:val="18"/>
                      <w:highlight w:val="none"/>
                    </w:rPr>
                    <w:t>影响</w:t>
                  </w:r>
                  <w:r>
                    <w:rPr>
                      <w:rFonts w:hint="default" w:ascii="Times New Roman" w:hAnsi="Times New Roman" w:cs="Times New Roman"/>
                      <w:b/>
                      <w:bCs/>
                      <w:color w:val="000000"/>
                      <w:sz w:val="18"/>
                      <w:szCs w:val="18"/>
                      <w:highlight w:val="none"/>
                      <w:lang w:val="en-US" w:eastAsia="zh-CN"/>
                    </w:rPr>
                    <w:t>途径</w:t>
                  </w:r>
                </w:p>
              </w:tc>
            </w:tr>
            <w:tr w14:paraId="1E59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4298D0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废润滑油</w:t>
                  </w:r>
                </w:p>
              </w:tc>
              <w:tc>
                <w:tcPr>
                  <w:tcW w:w="650" w:type="pct"/>
                  <w:vMerge w:val="restart"/>
                  <w:tcBorders>
                    <w:tl2br w:val="nil"/>
                    <w:tr2bl w:val="nil"/>
                  </w:tcBorders>
                  <w:noWrap w:val="0"/>
                  <w:tcMar>
                    <w:top w:w="15" w:type="dxa"/>
                    <w:left w:w="15" w:type="dxa"/>
                    <w:right w:w="15" w:type="dxa"/>
                  </w:tcMar>
                  <w:vAlign w:val="center"/>
                </w:tcPr>
                <w:p w14:paraId="292AA0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危废间</w:t>
                  </w:r>
                </w:p>
              </w:tc>
              <w:tc>
                <w:tcPr>
                  <w:tcW w:w="953" w:type="pct"/>
                  <w:tcBorders>
                    <w:tl2br w:val="nil"/>
                    <w:tr2bl w:val="nil"/>
                  </w:tcBorders>
                  <w:noWrap w:val="0"/>
                  <w:tcMar>
                    <w:top w:w="15" w:type="dxa"/>
                    <w:left w:w="15" w:type="dxa"/>
                    <w:right w:w="15" w:type="dxa"/>
                  </w:tcMar>
                  <w:vAlign w:val="center"/>
                </w:tcPr>
                <w:p w14:paraId="25A3A2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0.03</w:t>
                  </w:r>
                </w:p>
              </w:tc>
              <w:tc>
                <w:tcPr>
                  <w:tcW w:w="672" w:type="pct"/>
                  <w:vMerge w:val="restart"/>
                  <w:tcBorders>
                    <w:tl2br w:val="nil"/>
                    <w:tr2bl w:val="nil"/>
                  </w:tcBorders>
                  <w:noWrap w:val="0"/>
                  <w:tcMar>
                    <w:top w:w="15" w:type="dxa"/>
                    <w:left w:w="15" w:type="dxa"/>
                    <w:right w:w="15" w:type="dxa"/>
                  </w:tcMar>
                  <w:vAlign w:val="center"/>
                </w:tcPr>
                <w:p w14:paraId="2690D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100</w:t>
                  </w:r>
                </w:p>
              </w:tc>
              <w:tc>
                <w:tcPr>
                  <w:tcW w:w="590" w:type="pct"/>
                  <w:tcBorders>
                    <w:tl2br w:val="nil"/>
                    <w:tr2bl w:val="nil"/>
                  </w:tcBorders>
                  <w:noWrap w:val="0"/>
                  <w:tcMar>
                    <w:top w:w="15" w:type="dxa"/>
                    <w:left w:w="15" w:type="dxa"/>
                    <w:right w:w="15" w:type="dxa"/>
                  </w:tcMar>
                  <w:vAlign w:val="center"/>
                </w:tcPr>
                <w:p w14:paraId="63FF3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lang w:val="en-US"/>
                    </w:rPr>
                  </w:pPr>
                  <w:r>
                    <w:rPr>
                      <w:rFonts w:hint="default" w:ascii="Times New Roman" w:hAnsi="Times New Roman" w:cs="Times New Roman"/>
                      <w:b w:val="0"/>
                      <w:bCs w:val="0"/>
                      <w:color w:val="000000"/>
                      <w:sz w:val="18"/>
                      <w:szCs w:val="18"/>
                      <w:highlight w:val="none"/>
                    </w:rPr>
                    <w:t>0.00</w:t>
                  </w:r>
                  <w:r>
                    <w:rPr>
                      <w:rFonts w:hint="default" w:ascii="Times New Roman" w:hAnsi="Times New Roman" w:cs="Times New Roman"/>
                      <w:b w:val="0"/>
                      <w:bCs w:val="0"/>
                      <w:color w:val="000000"/>
                      <w:sz w:val="18"/>
                      <w:szCs w:val="18"/>
                      <w:highlight w:val="none"/>
                      <w:lang w:val="en-US" w:eastAsia="zh-CN"/>
                    </w:rPr>
                    <w:t>03</w:t>
                  </w:r>
                </w:p>
              </w:tc>
              <w:tc>
                <w:tcPr>
                  <w:tcW w:w="1319" w:type="pct"/>
                  <w:vMerge w:val="restart"/>
                  <w:tcBorders>
                    <w:tl2br w:val="nil"/>
                    <w:tr2bl w:val="nil"/>
                  </w:tcBorders>
                  <w:noWrap w:val="0"/>
                  <w:tcMar>
                    <w:top w:w="15" w:type="dxa"/>
                    <w:left w:w="15" w:type="dxa"/>
                    <w:right w:w="15" w:type="dxa"/>
                  </w:tcMar>
                  <w:vAlign w:val="center"/>
                </w:tcPr>
                <w:p w14:paraId="775AC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液态危险物质泄漏渗入土壤后经过土壤包气带渗透至潜水含水层</w:t>
                  </w:r>
                </w:p>
              </w:tc>
            </w:tr>
            <w:tr w14:paraId="5CBD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680707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废液压油</w:t>
                  </w:r>
                </w:p>
              </w:tc>
              <w:tc>
                <w:tcPr>
                  <w:tcW w:w="650" w:type="pct"/>
                  <w:vMerge w:val="continue"/>
                  <w:tcBorders>
                    <w:tl2br w:val="nil"/>
                    <w:tr2bl w:val="nil"/>
                  </w:tcBorders>
                  <w:noWrap w:val="0"/>
                  <w:tcMar>
                    <w:top w:w="15" w:type="dxa"/>
                    <w:left w:w="15" w:type="dxa"/>
                    <w:right w:w="15" w:type="dxa"/>
                  </w:tcMar>
                  <w:vAlign w:val="center"/>
                </w:tcPr>
                <w:p w14:paraId="011256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p>
              </w:tc>
              <w:tc>
                <w:tcPr>
                  <w:tcW w:w="953" w:type="pct"/>
                  <w:tcBorders>
                    <w:tl2br w:val="nil"/>
                    <w:tr2bl w:val="nil"/>
                  </w:tcBorders>
                  <w:noWrap w:val="0"/>
                  <w:tcMar>
                    <w:top w:w="15" w:type="dxa"/>
                    <w:left w:w="15" w:type="dxa"/>
                    <w:right w:w="15" w:type="dxa"/>
                  </w:tcMar>
                  <w:vAlign w:val="center"/>
                </w:tcPr>
                <w:p w14:paraId="2A00B6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0.06</w:t>
                  </w:r>
                </w:p>
              </w:tc>
              <w:tc>
                <w:tcPr>
                  <w:tcW w:w="672" w:type="pct"/>
                  <w:vMerge w:val="continue"/>
                  <w:tcBorders>
                    <w:tl2br w:val="nil"/>
                    <w:tr2bl w:val="nil"/>
                  </w:tcBorders>
                  <w:noWrap w:val="0"/>
                  <w:tcMar>
                    <w:top w:w="15" w:type="dxa"/>
                    <w:left w:w="15" w:type="dxa"/>
                    <w:right w:w="15" w:type="dxa"/>
                  </w:tcMar>
                  <w:vAlign w:val="center"/>
                </w:tcPr>
                <w:p w14:paraId="7681E8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lang w:val="en-US" w:eastAsia="zh-CN"/>
                    </w:rPr>
                  </w:pPr>
                </w:p>
              </w:tc>
              <w:tc>
                <w:tcPr>
                  <w:tcW w:w="590" w:type="pct"/>
                  <w:tcBorders>
                    <w:tl2br w:val="nil"/>
                    <w:tr2bl w:val="nil"/>
                  </w:tcBorders>
                  <w:noWrap w:val="0"/>
                  <w:tcMar>
                    <w:top w:w="15" w:type="dxa"/>
                    <w:left w:w="15" w:type="dxa"/>
                    <w:right w:w="15" w:type="dxa"/>
                  </w:tcMar>
                  <w:vAlign w:val="center"/>
                </w:tcPr>
                <w:p w14:paraId="60D64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default" w:ascii="Times New Roman" w:hAnsi="Times New Roman" w:cs="Times New Roman"/>
                      <w:b w:val="0"/>
                      <w:bCs w:val="0"/>
                      <w:color w:val="000000"/>
                      <w:sz w:val="18"/>
                      <w:szCs w:val="18"/>
                      <w:highlight w:val="none"/>
                      <w:lang w:val="en-US" w:eastAsia="zh-CN"/>
                    </w:rPr>
                    <w:t>0.0006</w:t>
                  </w:r>
                </w:p>
              </w:tc>
              <w:tc>
                <w:tcPr>
                  <w:tcW w:w="1319" w:type="pct"/>
                  <w:vMerge w:val="continue"/>
                  <w:tcBorders>
                    <w:tl2br w:val="nil"/>
                    <w:tr2bl w:val="nil"/>
                  </w:tcBorders>
                  <w:noWrap w:val="0"/>
                  <w:tcMar>
                    <w:top w:w="15" w:type="dxa"/>
                    <w:left w:w="15" w:type="dxa"/>
                    <w:right w:w="15" w:type="dxa"/>
                  </w:tcMar>
                  <w:vAlign w:val="center"/>
                </w:tcPr>
                <w:p w14:paraId="2CA16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p>
              </w:tc>
            </w:tr>
            <w:tr w14:paraId="45FE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0E8FAE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废试剂</w:t>
                  </w:r>
                </w:p>
              </w:tc>
              <w:tc>
                <w:tcPr>
                  <w:tcW w:w="650" w:type="pct"/>
                  <w:vMerge w:val="continue"/>
                  <w:tcBorders>
                    <w:tl2br w:val="nil"/>
                    <w:tr2bl w:val="nil"/>
                  </w:tcBorders>
                  <w:noWrap w:val="0"/>
                  <w:tcMar>
                    <w:top w:w="15" w:type="dxa"/>
                    <w:left w:w="15" w:type="dxa"/>
                    <w:right w:w="15" w:type="dxa"/>
                  </w:tcMar>
                  <w:vAlign w:val="center"/>
                </w:tcPr>
                <w:p w14:paraId="014CB4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p>
              </w:tc>
              <w:tc>
                <w:tcPr>
                  <w:tcW w:w="953" w:type="pct"/>
                  <w:tcBorders>
                    <w:tl2br w:val="nil"/>
                    <w:tr2bl w:val="nil"/>
                  </w:tcBorders>
                  <w:noWrap w:val="0"/>
                  <w:tcMar>
                    <w:top w:w="15" w:type="dxa"/>
                    <w:left w:w="15" w:type="dxa"/>
                    <w:right w:w="15" w:type="dxa"/>
                  </w:tcMar>
                  <w:vAlign w:val="center"/>
                </w:tcPr>
                <w:p w14:paraId="2B3FFA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0.5</w:t>
                  </w:r>
                </w:p>
              </w:tc>
              <w:tc>
                <w:tcPr>
                  <w:tcW w:w="672" w:type="pct"/>
                  <w:vMerge w:val="continue"/>
                  <w:tcBorders>
                    <w:tl2br w:val="nil"/>
                    <w:tr2bl w:val="nil"/>
                  </w:tcBorders>
                  <w:noWrap w:val="0"/>
                  <w:tcMar>
                    <w:top w:w="15" w:type="dxa"/>
                    <w:left w:w="15" w:type="dxa"/>
                    <w:right w:w="15" w:type="dxa"/>
                  </w:tcMar>
                  <w:vAlign w:val="center"/>
                </w:tcPr>
                <w:p w14:paraId="16E08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lang w:val="en-US" w:eastAsia="zh-CN"/>
                    </w:rPr>
                  </w:pPr>
                </w:p>
              </w:tc>
              <w:tc>
                <w:tcPr>
                  <w:tcW w:w="590" w:type="pct"/>
                  <w:tcBorders>
                    <w:tl2br w:val="nil"/>
                    <w:tr2bl w:val="nil"/>
                  </w:tcBorders>
                  <w:noWrap w:val="0"/>
                  <w:tcMar>
                    <w:top w:w="15" w:type="dxa"/>
                    <w:left w:w="15" w:type="dxa"/>
                    <w:right w:w="15" w:type="dxa"/>
                  </w:tcMar>
                  <w:vAlign w:val="center"/>
                </w:tcPr>
                <w:p w14:paraId="42753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val="0"/>
                      <w:bCs w:val="0"/>
                      <w:color w:val="000000"/>
                      <w:sz w:val="18"/>
                      <w:szCs w:val="18"/>
                      <w:highlight w:val="none"/>
                      <w:lang w:val="en-US" w:eastAsia="zh-CN"/>
                    </w:rPr>
                  </w:pPr>
                  <w:r>
                    <w:rPr>
                      <w:rFonts w:hint="default" w:ascii="Times New Roman" w:hAnsi="Times New Roman" w:cs="Times New Roman"/>
                      <w:b w:val="0"/>
                      <w:bCs w:val="0"/>
                      <w:color w:val="000000"/>
                      <w:sz w:val="18"/>
                      <w:szCs w:val="18"/>
                      <w:highlight w:val="none"/>
                      <w:lang w:val="en-US" w:eastAsia="zh-CN"/>
                    </w:rPr>
                    <w:t>0.005</w:t>
                  </w:r>
                </w:p>
              </w:tc>
              <w:tc>
                <w:tcPr>
                  <w:tcW w:w="1319" w:type="pct"/>
                  <w:vMerge w:val="continue"/>
                  <w:tcBorders>
                    <w:tl2br w:val="nil"/>
                    <w:tr2bl w:val="nil"/>
                  </w:tcBorders>
                  <w:noWrap w:val="0"/>
                  <w:tcMar>
                    <w:top w:w="15" w:type="dxa"/>
                    <w:left w:w="15" w:type="dxa"/>
                    <w:right w:w="15" w:type="dxa"/>
                  </w:tcMar>
                  <w:vAlign w:val="center"/>
                </w:tcPr>
                <w:p w14:paraId="6074C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p>
              </w:tc>
            </w:tr>
            <w:tr w14:paraId="6E2B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130210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润滑油</w:t>
                  </w:r>
                </w:p>
              </w:tc>
              <w:tc>
                <w:tcPr>
                  <w:tcW w:w="650" w:type="pct"/>
                  <w:vMerge w:val="restart"/>
                  <w:tcBorders>
                    <w:tl2br w:val="nil"/>
                    <w:tr2bl w:val="nil"/>
                  </w:tcBorders>
                  <w:noWrap w:val="0"/>
                  <w:tcMar>
                    <w:top w:w="15" w:type="dxa"/>
                    <w:left w:w="15" w:type="dxa"/>
                    <w:right w:w="15" w:type="dxa"/>
                  </w:tcMar>
                  <w:vAlign w:val="center"/>
                </w:tcPr>
                <w:p w14:paraId="2A5E5C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原料库</w:t>
                  </w:r>
                </w:p>
              </w:tc>
              <w:tc>
                <w:tcPr>
                  <w:tcW w:w="953" w:type="pct"/>
                  <w:tcBorders>
                    <w:tl2br w:val="nil"/>
                    <w:tr2bl w:val="nil"/>
                  </w:tcBorders>
                  <w:noWrap w:val="0"/>
                  <w:tcMar>
                    <w:top w:w="15" w:type="dxa"/>
                    <w:left w:w="15" w:type="dxa"/>
                    <w:right w:w="15" w:type="dxa"/>
                  </w:tcMar>
                  <w:vAlign w:val="center"/>
                </w:tcPr>
                <w:p w14:paraId="45FC6D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0.03</w:t>
                  </w:r>
                </w:p>
              </w:tc>
              <w:tc>
                <w:tcPr>
                  <w:tcW w:w="672" w:type="pct"/>
                  <w:vMerge w:val="restart"/>
                  <w:tcBorders>
                    <w:tl2br w:val="nil"/>
                    <w:tr2bl w:val="nil"/>
                  </w:tcBorders>
                  <w:noWrap w:val="0"/>
                  <w:tcMar>
                    <w:top w:w="15" w:type="dxa"/>
                    <w:left w:w="15" w:type="dxa"/>
                    <w:right w:w="15" w:type="dxa"/>
                  </w:tcMar>
                  <w:vAlign w:val="center"/>
                </w:tcPr>
                <w:p w14:paraId="2ECDD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2500</w:t>
                  </w:r>
                </w:p>
              </w:tc>
              <w:tc>
                <w:tcPr>
                  <w:tcW w:w="590" w:type="pct"/>
                  <w:tcBorders>
                    <w:tl2br w:val="nil"/>
                    <w:tr2bl w:val="nil"/>
                  </w:tcBorders>
                  <w:noWrap w:val="0"/>
                  <w:tcMar>
                    <w:top w:w="15" w:type="dxa"/>
                    <w:left w:w="15" w:type="dxa"/>
                    <w:right w:w="15" w:type="dxa"/>
                  </w:tcMar>
                  <w:vAlign w:val="center"/>
                </w:tcPr>
                <w:p w14:paraId="6AFD9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val="0"/>
                      <w:bCs w:val="0"/>
                      <w:color w:val="000000"/>
                      <w:sz w:val="18"/>
                      <w:szCs w:val="18"/>
                      <w:highlight w:val="none"/>
                      <w:lang w:val="en-US" w:eastAsia="zh-CN"/>
                    </w:rPr>
                  </w:pPr>
                  <w:r>
                    <w:rPr>
                      <w:rFonts w:hint="default" w:ascii="Times New Roman" w:hAnsi="Times New Roman" w:cs="Times New Roman"/>
                      <w:b w:val="0"/>
                      <w:bCs w:val="0"/>
                      <w:color w:val="000000"/>
                      <w:sz w:val="18"/>
                      <w:szCs w:val="18"/>
                      <w:highlight w:val="none"/>
                      <w:lang w:val="en-US" w:eastAsia="zh-CN"/>
                    </w:rPr>
                    <w:t>0.000012</w:t>
                  </w:r>
                </w:p>
              </w:tc>
              <w:tc>
                <w:tcPr>
                  <w:tcW w:w="1319" w:type="pct"/>
                  <w:vMerge w:val="continue"/>
                  <w:tcBorders>
                    <w:tl2br w:val="nil"/>
                    <w:tr2bl w:val="nil"/>
                  </w:tcBorders>
                  <w:noWrap w:val="0"/>
                  <w:tcMar>
                    <w:top w:w="15" w:type="dxa"/>
                    <w:left w:w="15" w:type="dxa"/>
                    <w:right w:w="15" w:type="dxa"/>
                  </w:tcMar>
                  <w:vAlign w:val="center"/>
                </w:tcPr>
                <w:p w14:paraId="0C035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p>
              </w:tc>
            </w:tr>
            <w:tr w14:paraId="0F63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782416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液压油</w:t>
                  </w:r>
                </w:p>
              </w:tc>
              <w:tc>
                <w:tcPr>
                  <w:tcW w:w="650" w:type="pct"/>
                  <w:vMerge w:val="continue"/>
                  <w:tcBorders>
                    <w:tl2br w:val="nil"/>
                    <w:tr2bl w:val="nil"/>
                  </w:tcBorders>
                  <w:noWrap w:val="0"/>
                  <w:tcMar>
                    <w:top w:w="15" w:type="dxa"/>
                    <w:left w:w="15" w:type="dxa"/>
                    <w:right w:w="15" w:type="dxa"/>
                  </w:tcMar>
                  <w:vAlign w:val="center"/>
                </w:tcPr>
                <w:p w14:paraId="0E1939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p>
              </w:tc>
              <w:tc>
                <w:tcPr>
                  <w:tcW w:w="953" w:type="pct"/>
                  <w:tcBorders>
                    <w:tl2br w:val="nil"/>
                    <w:tr2bl w:val="nil"/>
                  </w:tcBorders>
                  <w:noWrap w:val="0"/>
                  <w:tcMar>
                    <w:top w:w="15" w:type="dxa"/>
                    <w:left w:w="15" w:type="dxa"/>
                    <w:right w:w="15" w:type="dxa"/>
                  </w:tcMar>
                  <w:vAlign w:val="center"/>
                </w:tcPr>
                <w:p w14:paraId="023983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0.06</w:t>
                  </w:r>
                </w:p>
              </w:tc>
              <w:tc>
                <w:tcPr>
                  <w:tcW w:w="672" w:type="pct"/>
                  <w:vMerge w:val="continue"/>
                  <w:tcBorders>
                    <w:tl2br w:val="nil"/>
                    <w:tr2bl w:val="nil"/>
                  </w:tcBorders>
                  <w:noWrap w:val="0"/>
                  <w:tcMar>
                    <w:top w:w="15" w:type="dxa"/>
                    <w:left w:w="15" w:type="dxa"/>
                    <w:right w:w="15" w:type="dxa"/>
                  </w:tcMar>
                  <w:vAlign w:val="center"/>
                </w:tcPr>
                <w:p w14:paraId="1F98E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lang w:val="en-US" w:eastAsia="zh-CN"/>
                    </w:rPr>
                  </w:pPr>
                </w:p>
              </w:tc>
              <w:tc>
                <w:tcPr>
                  <w:tcW w:w="590" w:type="pct"/>
                  <w:tcBorders>
                    <w:tl2br w:val="nil"/>
                    <w:tr2bl w:val="nil"/>
                  </w:tcBorders>
                  <w:noWrap w:val="0"/>
                  <w:tcMar>
                    <w:top w:w="15" w:type="dxa"/>
                    <w:left w:w="15" w:type="dxa"/>
                    <w:right w:w="15" w:type="dxa"/>
                  </w:tcMar>
                  <w:vAlign w:val="center"/>
                </w:tcPr>
                <w:p w14:paraId="2D666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val="0"/>
                      <w:bCs w:val="0"/>
                      <w:color w:val="000000"/>
                      <w:sz w:val="18"/>
                      <w:szCs w:val="18"/>
                      <w:highlight w:val="none"/>
                      <w:lang w:val="en-US" w:eastAsia="zh-CN"/>
                    </w:rPr>
                  </w:pPr>
                  <w:r>
                    <w:rPr>
                      <w:rFonts w:hint="default" w:ascii="Times New Roman" w:hAnsi="Times New Roman" w:cs="Times New Roman"/>
                      <w:b w:val="0"/>
                      <w:bCs w:val="0"/>
                      <w:color w:val="000000"/>
                      <w:sz w:val="18"/>
                      <w:szCs w:val="18"/>
                      <w:highlight w:val="none"/>
                      <w:lang w:val="en-US" w:eastAsia="zh-CN"/>
                    </w:rPr>
                    <w:t>0.000024</w:t>
                  </w:r>
                </w:p>
              </w:tc>
              <w:tc>
                <w:tcPr>
                  <w:tcW w:w="1319" w:type="pct"/>
                  <w:vMerge w:val="continue"/>
                  <w:tcBorders>
                    <w:tl2br w:val="nil"/>
                    <w:tr2bl w:val="nil"/>
                  </w:tcBorders>
                  <w:noWrap w:val="0"/>
                  <w:tcMar>
                    <w:top w:w="15" w:type="dxa"/>
                    <w:left w:w="15" w:type="dxa"/>
                    <w:right w:w="15" w:type="dxa"/>
                  </w:tcMar>
                  <w:vAlign w:val="center"/>
                </w:tcPr>
                <w:p w14:paraId="27E36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p>
              </w:tc>
            </w:tr>
            <w:tr w14:paraId="25F7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14" w:type="pct"/>
                  <w:tcBorders>
                    <w:tl2br w:val="nil"/>
                    <w:tr2bl w:val="nil"/>
                  </w:tcBorders>
                  <w:noWrap w:val="0"/>
                  <w:tcMar>
                    <w:top w:w="15" w:type="dxa"/>
                    <w:left w:w="15" w:type="dxa"/>
                    <w:right w:w="15" w:type="dxa"/>
                  </w:tcMar>
                  <w:vAlign w:val="center"/>
                </w:tcPr>
                <w:p w14:paraId="60427B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尿素</w:t>
                  </w:r>
                </w:p>
              </w:tc>
              <w:tc>
                <w:tcPr>
                  <w:tcW w:w="650" w:type="pct"/>
                  <w:vMerge w:val="continue"/>
                  <w:tcBorders>
                    <w:tl2br w:val="nil"/>
                    <w:tr2bl w:val="nil"/>
                  </w:tcBorders>
                  <w:noWrap w:val="0"/>
                  <w:tcMar>
                    <w:top w:w="15" w:type="dxa"/>
                    <w:left w:w="15" w:type="dxa"/>
                    <w:right w:w="15" w:type="dxa"/>
                  </w:tcMar>
                  <w:vAlign w:val="center"/>
                </w:tcPr>
                <w:p w14:paraId="11692B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p>
              </w:tc>
              <w:tc>
                <w:tcPr>
                  <w:tcW w:w="953" w:type="pct"/>
                  <w:tcBorders>
                    <w:tl2br w:val="nil"/>
                    <w:tr2bl w:val="nil"/>
                  </w:tcBorders>
                  <w:noWrap w:val="0"/>
                  <w:tcMar>
                    <w:top w:w="15" w:type="dxa"/>
                    <w:left w:w="15" w:type="dxa"/>
                    <w:right w:w="15" w:type="dxa"/>
                  </w:tcMar>
                  <w:vAlign w:val="center"/>
                </w:tcPr>
                <w:p w14:paraId="5F110A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7</w:t>
                  </w:r>
                </w:p>
              </w:tc>
              <w:tc>
                <w:tcPr>
                  <w:tcW w:w="672" w:type="pct"/>
                  <w:tcBorders>
                    <w:tl2br w:val="nil"/>
                    <w:tr2bl w:val="nil"/>
                  </w:tcBorders>
                  <w:noWrap w:val="0"/>
                  <w:tcMar>
                    <w:top w:w="15" w:type="dxa"/>
                    <w:left w:w="15" w:type="dxa"/>
                    <w:right w:w="15" w:type="dxa"/>
                  </w:tcMar>
                  <w:vAlign w:val="center"/>
                </w:tcPr>
                <w:p w14:paraId="558729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w:t>
                  </w:r>
                </w:p>
              </w:tc>
              <w:tc>
                <w:tcPr>
                  <w:tcW w:w="590" w:type="pct"/>
                  <w:tcBorders>
                    <w:tl2br w:val="nil"/>
                    <w:tr2bl w:val="nil"/>
                  </w:tcBorders>
                  <w:noWrap w:val="0"/>
                  <w:tcMar>
                    <w:top w:w="15" w:type="dxa"/>
                    <w:left w:w="15" w:type="dxa"/>
                    <w:right w:w="15" w:type="dxa"/>
                  </w:tcMar>
                  <w:vAlign w:val="center"/>
                </w:tcPr>
                <w:p w14:paraId="501DE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b w:val="0"/>
                      <w:bCs w:val="0"/>
                      <w:color w:val="000000"/>
                      <w:sz w:val="18"/>
                      <w:szCs w:val="18"/>
                      <w:highlight w:val="none"/>
                      <w:lang w:val="en-US" w:eastAsia="zh-CN"/>
                    </w:rPr>
                  </w:pPr>
                  <w:r>
                    <w:rPr>
                      <w:rFonts w:hint="default" w:ascii="Times New Roman" w:hAnsi="Times New Roman" w:cs="Times New Roman"/>
                      <w:b w:val="0"/>
                      <w:bCs w:val="0"/>
                      <w:color w:val="000000"/>
                      <w:sz w:val="18"/>
                      <w:szCs w:val="18"/>
                      <w:highlight w:val="none"/>
                      <w:lang w:val="en-US" w:eastAsia="zh-CN"/>
                    </w:rPr>
                    <w:t>/</w:t>
                  </w:r>
                </w:p>
              </w:tc>
              <w:tc>
                <w:tcPr>
                  <w:tcW w:w="1319" w:type="pct"/>
                  <w:vMerge w:val="continue"/>
                  <w:tcBorders>
                    <w:tl2br w:val="nil"/>
                    <w:tr2bl w:val="nil"/>
                  </w:tcBorders>
                  <w:noWrap w:val="0"/>
                  <w:tcMar>
                    <w:top w:w="15" w:type="dxa"/>
                    <w:left w:w="15" w:type="dxa"/>
                    <w:right w:w="15" w:type="dxa"/>
                  </w:tcMar>
                  <w:vAlign w:val="center"/>
                </w:tcPr>
                <w:p w14:paraId="03B82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p>
              </w:tc>
            </w:tr>
            <w:tr w14:paraId="17EA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90" w:type="pct"/>
                  <w:gridSpan w:val="4"/>
                  <w:tcBorders>
                    <w:tl2br w:val="nil"/>
                    <w:tr2bl w:val="nil"/>
                  </w:tcBorders>
                  <w:noWrap w:val="0"/>
                  <w:tcMar>
                    <w:top w:w="15" w:type="dxa"/>
                    <w:left w:w="15" w:type="dxa"/>
                    <w:right w:w="15" w:type="dxa"/>
                  </w:tcMar>
                  <w:vAlign w:val="center"/>
                </w:tcPr>
                <w:p w14:paraId="51A8F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r>
                    <w:rPr>
                      <w:rFonts w:hint="default" w:ascii="Times New Roman" w:hAnsi="Times New Roman" w:cs="Times New Roman"/>
                      <w:bCs/>
                      <w:color w:val="000000"/>
                      <w:kern w:val="0"/>
                      <w:sz w:val="18"/>
                      <w:szCs w:val="18"/>
                      <w:highlight w:val="none"/>
                    </w:rPr>
                    <w:t>项目Q值∑</w:t>
                  </w:r>
                </w:p>
              </w:tc>
              <w:tc>
                <w:tcPr>
                  <w:tcW w:w="590" w:type="pct"/>
                  <w:tcBorders>
                    <w:tl2br w:val="nil"/>
                    <w:tr2bl w:val="nil"/>
                  </w:tcBorders>
                  <w:noWrap w:val="0"/>
                  <w:tcMar>
                    <w:top w:w="15" w:type="dxa"/>
                    <w:left w:w="15" w:type="dxa"/>
                    <w:right w:w="15" w:type="dxa"/>
                  </w:tcMar>
                  <w:vAlign w:val="center"/>
                </w:tcPr>
                <w:p w14:paraId="74B12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sz w:val="18"/>
                      <w:szCs w:val="18"/>
                      <w:highlight w:val="none"/>
                      <w:lang w:val="en-US" w:eastAsia="zh-CN"/>
                    </w:rPr>
                    <w:t>0.005936</w:t>
                  </w:r>
                </w:p>
              </w:tc>
              <w:tc>
                <w:tcPr>
                  <w:tcW w:w="1319" w:type="pct"/>
                  <w:vMerge w:val="continue"/>
                  <w:tcBorders>
                    <w:tl2br w:val="nil"/>
                    <w:tr2bl w:val="nil"/>
                  </w:tcBorders>
                  <w:noWrap w:val="0"/>
                  <w:tcMar>
                    <w:top w:w="15" w:type="dxa"/>
                    <w:left w:w="15" w:type="dxa"/>
                    <w:right w:w="15" w:type="dxa"/>
                  </w:tcMar>
                  <w:vAlign w:val="center"/>
                </w:tcPr>
                <w:p w14:paraId="456AC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cs="Times New Roman"/>
                      <w:color w:val="000000"/>
                      <w:sz w:val="18"/>
                      <w:szCs w:val="18"/>
                      <w:highlight w:val="none"/>
                    </w:rPr>
                  </w:pPr>
                </w:p>
              </w:tc>
            </w:tr>
          </w:tbl>
          <w:p w14:paraId="5B80E742">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由此可见，本项目</w:t>
            </w:r>
            <w:r>
              <w:rPr>
                <w:rFonts w:hint="default" w:ascii="Times New Roman" w:hAnsi="Times New Roman" w:cs="Times New Roman"/>
                <w:bCs/>
                <w:color w:val="auto"/>
                <w:kern w:val="0"/>
                <w:sz w:val="24"/>
                <w:szCs w:val="24"/>
                <w:highlight w:val="none"/>
                <w:lang w:eastAsia="zh-CN"/>
              </w:rPr>
              <w:t>建成后</w:t>
            </w:r>
            <w:r>
              <w:rPr>
                <w:rFonts w:hint="default" w:ascii="Times New Roman" w:hAnsi="Times New Roman" w:cs="Times New Roman"/>
                <w:bCs/>
                <w:color w:val="auto"/>
                <w:kern w:val="0"/>
                <w:sz w:val="24"/>
                <w:szCs w:val="24"/>
                <w:highlight w:val="none"/>
              </w:rPr>
              <w:t>风险物质储量与临界量的比值Q小于1，根据</w:t>
            </w:r>
            <w:r>
              <w:rPr>
                <w:rFonts w:hint="default" w:ascii="Times New Roman" w:hAnsi="Times New Roman" w:cs="Times New Roman"/>
                <w:bCs/>
                <w:color w:val="auto"/>
                <w:sz w:val="24"/>
                <w:szCs w:val="24"/>
                <w:highlight w:val="none"/>
              </w:rPr>
              <w:t>《建设项目环境风险评价技术导则》（HJ169-2018）判定，本项目环境风险潜势为I</w:t>
            </w:r>
            <w:r>
              <w:rPr>
                <w:rFonts w:hint="default" w:ascii="Times New Roman" w:hAnsi="Times New Roman" w:cs="Times New Roman"/>
                <w:color w:val="auto"/>
                <w:sz w:val="24"/>
                <w:szCs w:val="24"/>
                <w:highlight w:val="none"/>
              </w:rPr>
              <w:t>，本项目仅对环境风险进行简单分析。</w:t>
            </w:r>
          </w:p>
          <w:p w14:paraId="21242752">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（2）环境风险分析</w:t>
            </w:r>
          </w:p>
          <w:p w14:paraId="051279C1">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大气环境影响：油桶或者盛装危险废物的容器等损坏裂口，引起易燃、易爆、有毒有害物质的释放，将会</w:t>
            </w:r>
            <w:r>
              <w:rPr>
                <w:rFonts w:hint="default" w:ascii="Times New Roman" w:hAnsi="Times New Roman" w:eastAsia="宋体" w:cs="Times New Roman"/>
                <w:color w:val="auto"/>
                <w:sz w:val="24"/>
                <w:highlight w:val="none"/>
              </w:rPr>
              <w:t>导致泄漏、火灾等事故。项目油品若</w:t>
            </w:r>
            <w:r>
              <w:rPr>
                <w:rFonts w:hint="default" w:ascii="Times New Roman" w:hAnsi="Times New Roman" w:cs="Times New Roman"/>
                <w:color w:val="auto"/>
                <w:sz w:val="24"/>
                <w:highlight w:val="none"/>
                <w:lang w:eastAsia="zh-CN"/>
              </w:rPr>
              <w:t>泄漏</w:t>
            </w:r>
            <w:r>
              <w:rPr>
                <w:rFonts w:hint="default" w:ascii="Times New Roman" w:hAnsi="Times New Roman" w:eastAsia="宋体" w:cs="Times New Roman"/>
                <w:color w:val="auto"/>
                <w:sz w:val="24"/>
                <w:highlight w:val="none"/>
              </w:rPr>
              <w:t>，其物料以液态形式</w:t>
            </w:r>
            <w:r>
              <w:rPr>
                <w:rFonts w:hint="default" w:ascii="Times New Roman" w:hAnsi="Times New Roman" w:cs="Times New Roman"/>
                <w:color w:val="auto"/>
                <w:sz w:val="24"/>
                <w:highlight w:val="none"/>
                <w:lang w:eastAsia="zh-CN"/>
              </w:rPr>
              <w:t>泄漏</w:t>
            </w:r>
            <w:r>
              <w:rPr>
                <w:rFonts w:hint="default" w:ascii="Times New Roman" w:hAnsi="Times New Roman" w:eastAsia="宋体" w:cs="Times New Roman"/>
                <w:color w:val="auto"/>
                <w:sz w:val="24"/>
                <w:highlight w:val="none"/>
              </w:rPr>
              <w:t>到地面形成液池，并在液池表面气流运动作用下部分蒸发进入大气，进而危害周边人群健康；当发生燃烧事故时，燃烧次生的CO等气体将通过大气扩散危害周边人群健康。润滑油的火灾危险类别从严执行，若泄漏发生火灾事故，在应急救援中，会在事故现场喷射大量的消防水以及冷却水等进行灭火或降低有害物质对大气的污染。</w:t>
            </w:r>
          </w:p>
          <w:p w14:paraId="2831D6C0">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水环境和土壤环境影响：油品渗漏进入土壤层后，使土壤层中吸附大量的油品，在土壤团粒中形成膜网结构，环境中的空气难以进入土壤颗粒中，从而造成植物生物的死亡。灭火及冲洗泄漏物过程中会产生大量的洗消废水，若收集不及时，漫流至厂区，可能会对周边地表水体、地下水以及土壤产生影响。</w:t>
            </w:r>
          </w:p>
          <w:p w14:paraId="104F3BAC">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环境风险防范措施</w:t>
            </w:r>
          </w:p>
          <w:p w14:paraId="710B3DBC">
            <w:pPr>
              <w:pStyle w:val="6"/>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bookmarkStart w:id="12" w:name="OLE_LINK90"/>
            <w:r>
              <w:rPr>
                <w:rFonts w:hint="default" w:ascii="Times New Roman" w:hAnsi="Times New Roman" w:cs="Times New Roman"/>
                <w:color w:val="auto"/>
                <w:sz w:val="24"/>
                <w:szCs w:val="24"/>
                <w:highlight w:val="none"/>
              </w:rPr>
              <w:t>①凡禁火区均设置明显标志牌；各种易燃易爆物料均储存在阴凉、通风处，远离火源。采用防爆型照明、通风设施。禁止使用易产生火花的机械设备和工具。储区应备有泄漏应急处理设备。</w:t>
            </w:r>
          </w:p>
          <w:p w14:paraId="4049CDBC">
            <w:pPr>
              <w:pStyle w:val="6"/>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w:t>
            </w:r>
            <w:r>
              <w:rPr>
                <w:rFonts w:hint="default" w:ascii="Times New Roman" w:hAnsi="Times New Roman" w:cs="Times New Roman"/>
                <w:color w:val="auto"/>
                <w:sz w:val="24"/>
                <w:szCs w:val="24"/>
                <w:highlight w:val="none"/>
                <w:lang w:val="en-US" w:eastAsia="zh-CN"/>
              </w:rPr>
              <w:t>润滑油</w:t>
            </w:r>
            <w:r>
              <w:rPr>
                <w:rFonts w:hint="default" w:ascii="Times New Roman" w:hAnsi="Times New Roman" w:cs="Times New Roman"/>
                <w:color w:val="auto"/>
                <w:sz w:val="24"/>
                <w:szCs w:val="24"/>
                <w:highlight w:val="none"/>
              </w:rPr>
              <w:t>的贮运委托具有危险品运输资质的单位采用专用车辆负责运输进厂。在总图布置上，建设单位应执行《建筑设计防火规范》</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GB50016-2014</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和</w:t>
            </w:r>
            <w:r>
              <w:rPr>
                <w:rFonts w:hint="eastAsia" w:cs="Times New Roman"/>
                <w:color w:val="auto"/>
                <w:sz w:val="24"/>
                <w:szCs w:val="24"/>
                <w:highlight w:val="none"/>
                <w:lang w:eastAsia="zh-CN"/>
              </w:rPr>
              <w:t>其他</w:t>
            </w:r>
            <w:r>
              <w:rPr>
                <w:rFonts w:hint="default" w:ascii="Times New Roman" w:hAnsi="Times New Roman" w:cs="Times New Roman"/>
                <w:color w:val="auto"/>
                <w:sz w:val="24"/>
                <w:szCs w:val="24"/>
                <w:highlight w:val="none"/>
              </w:rPr>
              <w:t>安全卫生规范的要求。</w:t>
            </w:r>
          </w:p>
          <w:p w14:paraId="1CFE94B9">
            <w:pPr>
              <w:pStyle w:val="6"/>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③建立健全安全规程与值勤制度，设置通讯、报警装置，定期开展储存容器检查。加强储存仓库的消防管理，配备消防器材，应按规定设置灭火器，并设置排风扇，保持库内通风畅通。</w:t>
            </w:r>
          </w:p>
          <w:p w14:paraId="7CB073D6">
            <w:pPr>
              <w:pStyle w:val="6"/>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④</w:t>
            </w:r>
            <w:r>
              <w:rPr>
                <w:rFonts w:hint="default" w:ascii="Times New Roman" w:hAnsi="Times New Roman" w:cs="Times New Roman"/>
                <w:color w:val="auto"/>
                <w:sz w:val="24"/>
                <w:szCs w:val="24"/>
                <w:highlight w:val="none"/>
              </w:rPr>
              <w:t>火灾事故及处置措施采取先控制，后消灭的灭火战术：选择最适合的灭火剂和灭火方法。协助公安消防监督部门调查火灾原因核定火灾损失，查明火灾责任，未经公安监督部门和上级监督管理部门的同意，不得擅自清理火灾现场。</w:t>
            </w:r>
          </w:p>
          <w:p w14:paraId="215DE90F">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⑤按照要求制定《突发环境事件应急预案》，一旦发生突发事故，应及时发出警报，立即启动《突发环境事件应急预案》，并在救援小组的领导下，紧急隔离危险物品，并对危险物品进行收集，防止继续对土壤和地下水的污染，并提出治理方案</w:t>
            </w:r>
            <w:r>
              <w:rPr>
                <w:rFonts w:hint="default" w:ascii="Times New Roman" w:hAnsi="Times New Roman" w:cs="Times New Roman"/>
                <w:color w:val="auto"/>
                <w:sz w:val="24"/>
                <w:szCs w:val="24"/>
                <w:highlight w:val="none"/>
                <w:lang w:eastAsia="zh-CN"/>
              </w:rPr>
              <w:t>。</w:t>
            </w:r>
            <w:bookmarkEnd w:id="12"/>
          </w:p>
          <w:p w14:paraId="16F5D402">
            <w:pPr>
              <w:pStyle w:val="6"/>
              <w:keepNext w:val="0"/>
              <w:keepLines w:val="0"/>
              <w:pageBreakBefore w:val="0"/>
              <w:widowControl w:val="0"/>
              <w:numPr>
                <w:ilvl w:val="0"/>
                <w:numId w:val="14"/>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电磁辐射环境影响分析</w:t>
            </w:r>
          </w:p>
          <w:p w14:paraId="59253E07">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FF"/>
                <w:sz w:val="24"/>
                <w:highlight w:val="none"/>
                <w:lang w:val="en-US" w:eastAsia="zh-CN"/>
              </w:rPr>
            </w:pPr>
            <w:r>
              <w:rPr>
                <w:rFonts w:hint="default" w:ascii="Times New Roman" w:hAnsi="Times New Roman" w:cs="Times New Roman"/>
                <w:color w:val="auto"/>
                <w:sz w:val="24"/>
                <w:szCs w:val="24"/>
                <w:highlight w:val="none"/>
              </w:rPr>
              <w:t>本项目不涉及电磁辐射，无需进行电磁辐射分析。</w:t>
            </w:r>
          </w:p>
          <w:p w14:paraId="4DBAFB59">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FF"/>
                <w:sz w:val="24"/>
                <w:highlight w:val="none"/>
                <w:lang w:val="en-US" w:eastAsia="zh-CN"/>
              </w:rPr>
            </w:pPr>
          </w:p>
          <w:p w14:paraId="57E4CFF6">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FF"/>
                <w:sz w:val="24"/>
                <w:highlight w:val="none"/>
                <w:lang w:val="en-US" w:eastAsia="zh-CN"/>
              </w:rPr>
            </w:pPr>
          </w:p>
          <w:p w14:paraId="0F6BD16E">
            <w:pPr>
              <w:pStyle w:val="3"/>
              <w:suppressLineNumbers w:val="0"/>
              <w:spacing w:before="0" w:beforeAutospacing="0" w:after="0" w:afterAutospacing="0"/>
              <w:ind w:left="0" w:right="0"/>
              <w:rPr>
                <w:rFonts w:hint="default" w:ascii="Times New Roman" w:hAnsi="Times New Roman" w:eastAsia="宋体" w:cs="Times New Roman"/>
                <w:color w:val="0000FF"/>
                <w:sz w:val="24"/>
                <w:highlight w:val="none"/>
                <w:lang w:val="en-US" w:eastAsia="zh-CN"/>
              </w:rPr>
            </w:pPr>
          </w:p>
          <w:p w14:paraId="3BA3F3DD">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bCs/>
                <w:color w:val="0000FF"/>
                <w:spacing w:val="-10"/>
                <w:szCs w:val="21"/>
                <w:highlight w:val="none"/>
                <w:lang w:val="en-US" w:eastAsia="zh-CN"/>
              </w:rPr>
            </w:pPr>
          </w:p>
        </w:tc>
      </w:tr>
    </w:tbl>
    <w:p w14:paraId="300D5CAE">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8"/>
          <w:szCs w:val="28"/>
          <w:highlight w:val="gree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2355D18">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4"/>
          <w:szCs w:val="24"/>
          <w:highlight w:val="none"/>
          <w14:textFill>
            <w14:solidFill>
              <w14:schemeClr w14:val="tx1"/>
            </w14:solidFill>
          </w14:textFill>
        </w:rPr>
      </w:pPr>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五、</w:t>
      </w:r>
      <w:bookmarkStart w:id="13" w:name="_Hlk54167917"/>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环境保护措施监督检查清单</w:t>
      </w:r>
      <w:bookmarkEnd w:id="13"/>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16"/>
        <w:gridCol w:w="1644"/>
        <w:gridCol w:w="1138"/>
        <w:gridCol w:w="2447"/>
        <w:gridCol w:w="2455"/>
      </w:tblGrid>
      <w:tr w14:paraId="73986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16" w:type="dxa"/>
            <w:tcBorders>
              <w:tl2br w:val="single" w:color="auto" w:sz="4" w:space="0"/>
            </w:tcBorders>
            <w:shd w:val="clear" w:color="auto" w:fill="auto"/>
            <w:noWrap w:val="0"/>
            <w:vAlign w:val="top"/>
          </w:tcPr>
          <w:p w14:paraId="071F9F42">
            <w:pPr>
              <w:keepNext w:val="0"/>
              <w:keepLines w:val="0"/>
              <w:pageBreakBefore w:val="0"/>
              <w:suppressLineNumbers w:val="0"/>
              <w:wordWrap/>
              <w:bidi w:val="0"/>
              <w:adjustRightInd w:val="0"/>
              <w:snapToGrid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内容</w:t>
            </w:r>
          </w:p>
          <w:p w14:paraId="14C3B30A">
            <w:pPr>
              <w:keepNext w:val="0"/>
              <w:keepLines w:val="0"/>
              <w:pageBreakBefore w:val="0"/>
              <w:suppressLineNumbers w:val="0"/>
              <w:wordWrap/>
              <w:bidi w:val="0"/>
              <w:adjustRightInd w:val="0"/>
              <w:snapToGrid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要素</w:t>
            </w:r>
          </w:p>
        </w:tc>
        <w:tc>
          <w:tcPr>
            <w:tcW w:w="1644" w:type="dxa"/>
            <w:shd w:val="clear" w:color="auto" w:fill="auto"/>
            <w:noWrap w:val="0"/>
            <w:vAlign w:val="center"/>
          </w:tcPr>
          <w:p w14:paraId="7BEBA4C1">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排放口</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编号、名称</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/污染源</w:t>
            </w:r>
          </w:p>
        </w:tc>
        <w:tc>
          <w:tcPr>
            <w:tcW w:w="1138" w:type="dxa"/>
            <w:shd w:val="clear" w:color="auto" w:fill="auto"/>
            <w:noWrap w:val="0"/>
            <w:vAlign w:val="center"/>
          </w:tcPr>
          <w:p w14:paraId="150A0C44">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污染物项目</w:t>
            </w:r>
          </w:p>
        </w:tc>
        <w:tc>
          <w:tcPr>
            <w:tcW w:w="2447" w:type="dxa"/>
            <w:shd w:val="clear" w:color="auto" w:fill="auto"/>
            <w:noWrap w:val="0"/>
            <w:vAlign w:val="center"/>
          </w:tcPr>
          <w:p w14:paraId="3DBE157D">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环境保护措施</w:t>
            </w:r>
          </w:p>
        </w:tc>
        <w:tc>
          <w:tcPr>
            <w:tcW w:w="2455" w:type="dxa"/>
            <w:shd w:val="clear" w:color="auto" w:fill="auto"/>
            <w:noWrap w:val="0"/>
            <w:vAlign w:val="center"/>
          </w:tcPr>
          <w:p w14:paraId="447DF6C0">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执行标准</w:t>
            </w:r>
          </w:p>
        </w:tc>
      </w:tr>
      <w:tr w14:paraId="7D3D5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89" w:hRule="atLeast"/>
          <w:jc w:val="center"/>
        </w:trPr>
        <w:tc>
          <w:tcPr>
            <w:tcW w:w="1116" w:type="dxa"/>
            <w:vMerge w:val="restart"/>
            <w:shd w:val="clear" w:color="auto" w:fill="auto"/>
            <w:noWrap w:val="0"/>
            <w:vAlign w:val="center"/>
          </w:tcPr>
          <w:p w14:paraId="63A4D1B2">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大气环境</w:t>
            </w:r>
          </w:p>
        </w:tc>
        <w:tc>
          <w:tcPr>
            <w:tcW w:w="1644" w:type="dxa"/>
            <w:shd w:val="clear" w:color="auto" w:fill="auto"/>
            <w:noWrap w:val="0"/>
            <w:vAlign w:val="center"/>
          </w:tcPr>
          <w:p w14:paraId="78B41B00">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auto"/>
                <w:sz w:val="21"/>
                <w:szCs w:val="21"/>
                <w:highlight w:val="none"/>
                <w:lang w:val="en-US" w:eastAsia="zh-CN"/>
              </w:rPr>
              <w:t>物料存储、发酵、污水处理站废气排气筒DA001</w:t>
            </w:r>
          </w:p>
        </w:tc>
        <w:tc>
          <w:tcPr>
            <w:tcW w:w="1138" w:type="dxa"/>
            <w:shd w:val="clear" w:color="auto" w:fill="auto"/>
            <w:noWrap w:val="0"/>
            <w:vAlign w:val="center"/>
          </w:tcPr>
          <w:p w14:paraId="1F3C8777">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t>氨、硫化氢、臭气浓度</w:t>
            </w:r>
          </w:p>
        </w:tc>
        <w:tc>
          <w:tcPr>
            <w:tcW w:w="2447" w:type="dxa"/>
            <w:shd w:val="clear" w:color="auto" w:fill="auto"/>
            <w:noWrap w:val="0"/>
            <w:vAlign w:val="center"/>
          </w:tcPr>
          <w:p w14:paraId="7649BF62">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kern w:val="0"/>
                <w:sz w:val="21"/>
                <w:szCs w:val="21"/>
                <w:highlight w:val="none"/>
                <w:lang w:val="en-US" w:eastAsia="zh-CN" w:bidi="ar"/>
              </w:rPr>
              <w:t>“生物除臭塔+活性炭吸附”装置进行处理，处理后废气经15m高排气筒DA001排放，处理能力40000m</w:t>
            </w:r>
            <w:r>
              <w:rPr>
                <w:rFonts w:hint="default" w:ascii="Times New Roman" w:hAnsi="Times New Roman" w:eastAsia="宋体" w:cs="Times New Roman"/>
                <w:color w:val="000000"/>
                <w:kern w:val="0"/>
                <w:sz w:val="21"/>
                <w:szCs w:val="21"/>
                <w:highlight w:val="none"/>
                <w:vertAlign w:val="superscript"/>
                <w:lang w:val="en-US" w:eastAsia="zh-CN" w:bidi="ar"/>
              </w:rPr>
              <w:t>3</w:t>
            </w:r>
            <w:r>
              <w:rPr>
                <w:rFonts w:hint="default" w:ascii="Times New Roman" w:hAnsi="Times New Roman" w:eastAsia="宋体" w:cs="Times New Roman"/>
                <w:color w:val="000000"/>
                <w:kern w:val="0"/>
                <w:sz w:val="21"/>
                <w:szCs w:val="21"/>
                <w:highlight w:val="none"/>
                <w:lang w:val="en-US" w:eastAsia="zh-CN" w:bidi="ar"/>
              </w:rPr>
              <w:t>/h</w:t>
            </w:r>
          </w:p>
        </w:tc>
        <w:tc>
          <w:tcPr>
            <w:tcW w:w="2455" w:type="dxa"/>
            <w:shd w:val="clear" w:color="auto" w:fill="auto"/>
            <w:noWrap w:val="0"/>
            <w:vAlign w:val="center"/>
          </w:tcPr>
          <w:p w14:paraId="54AD5708">
            <w:pPr>
              <w:keepNext w:val="0"/>
              <w:keepLines w:val="0"/>
              <w:pageBreakBefore w:val="0"/>
              <w:widowControl/>
              <w:suppressLineNumbers w:val="0"/>
              <w:wordWrap/>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000000" w:themeColor="text1"/>
                <w:kern w:val="2"/>
                <w:sz w:val="21"/>
                <w:szCs w:val="21"/>
                <w:highlight w:val="none"/>
                <w:shd w:val="clear" w:color="auto" w:fill="FFFFFF"/>
                <w:lang w:val="en-US" w:eastAsia="zh-CN" w:bidi="ar-SA"/>
                <w14:textFill>
                  <w14:solidFill>
                    <w14:schemeClr w14:val="tx1"/>
                  </w14:solidFill>
                </w14:textFill>
              </w:rPr>
            </w:pPr>
            <w:r>
              <w:rPr>
                <w:rFonts w:hint="default" w:ascii="Times New Roman" w:hAnsi="Times New Roman" w:eastAsia="宋体" w:cs="Times New Roman"/>
                <w:b w:val="0"/>
                <w:bCs w:val="0"/>
                <w:color w:val="auto"/>
                <w:sz w:val="21"/>
                <w:szCs w:val="21"/>
                <w:highlight w:val="none"/>
              </w:rPr>
              <w:t>《恶臭污染物排放标准</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GB14554-1993</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表2二级标准限值</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即</w:t>
            </w:r>
            <w:r>
              <w:rPr>
                <w:rFonts w:hint="default" w:ascii="Times New Roman" w:hAnsi="Times New Roman" w:cs="Times New Roman"/>
                <w:color w:val="auto"/>
                <w:sz w:val="21"/>
                <w:szCs w:val="21"/>
                <w:highlight w:val="none"/>
              </w:rPr>
              <w:t>NH</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vertAlign w:val="subscript"/>
                <w:lang w:val="en-US" w:eastAsia="zh-CN"/>
              </w:rPr>
              <w:t xml:space="preserve"> </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eastAsia="宋体" w:cs="Times New Roman"/>
                <w:b w:val="0"/>
                <w:bCs w:val="0"/>
                <w:color w:val="auto"/>
                <w:sz w:val="21"/>
                <w:szCs w:val="21"/>
                <w:highlight w:val="none"/>
              </w:rPr>
              <w:t>4.9kg/h</w:t>
            </w:r>
            <w:r>
              <w:rPr>
                <w:rFonts w:hint="default" w:ascii="Times New Roman" w:hAnsi="Times New Roman" w:cs="Times New Roman"/>
                <w:color w:val="auto"/>
                <w:sz w:val="21"/>
                <w:szCs w:val="21"/>
                <w:highlight w:val="none"/>
              </w:rPr>
              <w:t>、H</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rPr>
              <w:t>S</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4.9kg/h</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臭气浓度2000</w:t>
            </w:r>
            <w:r>
              <w:rPr>
                <w:rFonts w:hint="default" w:ascii="Times New Roman" w:hAnsi="Times New Roman" w:eastAsia="宋体" w:cs="Times New Roman"/>
                <w:b w:val="0"/>
                <w:bCs w:val="0"/>
                <w:color w:val="auto"/>
                <w:sz w:val="21"/>
                <w:szCs w:val="21"/>
                <w:highlight w:val="none"/>
              </w:rPr>
              <w:cr/>
            </w:r>
            <w:r>
              <w:rPr>
                <w:rFonts w:hint="default" w:ascii="Times New Roman" w:hAnsi="Times New Roman" w:eastAsia="宋体" w:cs="Times New Roman"/>
                <w:b w:val="0"/>
                <w:bCs w:val="0"/>
                <w:color w:val="auto"/>
                <w:sz w:val="21"/>
                <w:szCs w:val="21"/>
                <w:highlight w:val="none"/>
              </w:rPr>
              <w:t>(无量纲)</w:t>
            </w:r>
          </w:p>
        </w:tc>
      </w:tr>
      <w:tr w14:paraId="03552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89" w:hRule="atLeast"/>
          <w:jc w:val="center"/>
        </w:trPr>
        <w:tc>
          <w:tcPr>
            <w:tcW w:w="1116" w:type="dxa"/>
            <w:vMerge w:val="continue"/>
            <w:shd w:val="clear" w:color="auto" w:fill="auto"/>
            <w:noWrap w:val="0"/>
            <w:vAlign w:val="center"/>
          </w:tcPr>
          <w:p w14:paraId="176F15B5">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44" w:type="dxa"/>
            <w:shd w:val="clear" w:color="auto" w:fill="auto"/>
            <w:noWrap w:val="0"/>
            <w:vAlign w:val="center"/>
          </w:tcPr>
          <w:p w14:paraId="1CB0EB8F">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auto"/>
                <w:sz w:val="21"/>
                <w:szCs w:val="21"/>
                <w:highlight w:val="none"/>
                <w:lang w:val="en-US" w:eastAsia="zh-CN"/>
              </w:rPr>
              <w:t>烘干过程、</w:t>
            </w:r>
            <w:r>
              <w:rPr>
                <w:rFonts w:hint="default" w:ascii="Times New Roman" w:hAnsi="Times New Roman" w:eastAsia="宋体" w:cs="Times New Roman"/>
                <w:color w:val="auto"/>
                <w:sz w:val="21"/>
                <w:szCs w:val="21"/>
                <w:highlight w:val="none"/>
                <w:lang w:val="en-US" w:eastAsia="zh-CN"/>
              </w:rPr>
              <w:t>燃烧颗粒生产线撕碎、造粒废气</w:t>
            </w:r>
            <w:r>
              <w:rPr>
                <w:rFonts w:hint="default" w:ascii="Times New Roman" w:hAnsi="Times New Roman" w:eastAsia="宋体" w:cs="Times New Roman"/>
                <w:b w:val="0"/>
                <w:bCs w:val="0"/>
                <w:color w:val="auto"/>
                <w:sz w:val="21"/>
                <w:szCs w:val="21"/>
                <w:highlight w:val="none"/>
                <w:lang w:val="en-US" w:eastAsia="zh-CN"/>
              </w:rPr>
              <w:t>排气筒DA002</w:t>
            </w:r>
          </w:p>
        </w:tc>
        <w:tc>
          <w:tcPr>
            <w:tcW w:w="1138" w:type="dxa"/>
            <w:shd w:val="clear" w:color="auto" w:fill="auto"/>
            <w:noWrap w:val="0"/>
            <w:vAlign w:val="center"/>
          </w:tcPr>
          <w:p w14:paraId="11624BB6">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颗粒物</w:t>
            </w:r>
            <w:r>
              <w:rPr>
                <w:rFonts w:hint="default" w:ascii="Times New Roman" w:hAnsi="Times New Roman" w:cs="Times New Roman"/>
                <w:color w:val="000000"/>
                <w:kern w:val="2"/>
                <w:sz w:val="21"/>
                <w:szCs w:val="21"/>
                <w:highlight w:val="none"/>
                <w:lang w:val="en-US" w:eastAsia="zh-CN" w:bidi="ar-SA"/>
              </w:rPr>
              <w:t>、臭气浓度</w:t>
            </w:r>
          </w:p>
        </w:tc>
        <w:tc>
          <w:tcPr>
            <w:tcW w:w="2447" w:type="dxa"/>
            <w:shd w:val="clear" w:color="auto" w:fill="auto"/>
            <w:noWrap w:val="0"/>
            <w:vAlign w:val="center"/>
          </w:tcPr>
          <w:p w14:paraId="0B683390">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kern w:val="0"/>
                <w:sz w:val="21"/>
                <w:szCs w:val="21"/>
                <w:highlight w:val="none"/>
                <w:lang w:val="en-US" w:eastAsia="zh-CN" w:bidi="ar"/>
              </w:rPr>
              <w:t>“低温等离子+塑烧板除尘器”装置处理，处理后经15m高排气筒DA002排放，处理能力80000m</w:t>
            </w:r>
            <w:r>
              <w:rPr>
                <w:rFonts w:hint="default" w:ascii="Times New Roman" w:hAnsi="Times New Roman" w:eastAsia="宋体" w:cs="Times New Roman"/>
                <w:color w:val="000000"/>
                <w:kern w:val="0"/>
                <w:sz w:val="21"/>
                <w:szCs w:val="21"/>
                <w:highlight w:val="none"/>
                <w:vertAlign w:val="superscript"/>
                <w:lang w:val="en-US" w:eastAsia="zh-CN" w:bidi="ar"/>
              </w:rPr>
              <w:t>3</w:t>
            </w:r>
            <w:r>
              <w:rPr>
                <w:rFonts w:hint="default" w:ascii="Times New Roman" w:hAnsi="Times New Roman" w:eastAsia="宋体" w:cs="Times New Roman"/>
                <w:color w:val="000000"/>
                <w:kern w:val="0"/>
                <w:sz w:val="21"/>
                <w:szCs w:val="21"/>
                <w:highlight w:val="none"/>
                <w:lang w:val="en-US" w:eastAsia="zh-CN" w:bidi="ar"/>
              </w:rPr>
              <w:t>/h</w:t>
            </w:r>
          </w:p>
        </w:tc>
        <w:tc>
          <w:tcPr>
            <w:tcW w:w="2455" w:type="dxa"/>
            <w:shd w:val="clear" w:color="auto" w:fill="auto"/>
            <w:noWrap w:val="0"/>
            <w:vAlign w:val="center"/>
          </w:tcPr>
          <w:p w14:paraId="49E6AAB9">
            <w:pPr>
              <w:keepNext w:val="0"/>
              <w:keepLines w:val="0"/>
              <w:pageBreakBefore w:val="0"/>
              <w:widowControl/>
              <w:suppressLineNumbers w:val="0"/>
              <w:wordWrap/>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参照执行</w:t>
            </w:r>
            <w:r>
              <w:rPr>
                <w:rFonts w:hint="default" w:ascii="Times New Roman" w:hAnsi="Times New Roman" w:eastAsia="宋体" w:cs="Times New Roman"/>
                <w:b w:val="0"/>
                <w:bCs w:val="0"/>
                <w:color w:val="auto"/>
                <w:sz w:val="21"/>
                <w:szCs w:val="21"/>
                <w:highlight w:val="none"/>
              </w:rPr>
              <w:t>《水泥工业大气污染物超低排放标准》</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DB13/2167-2020</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表1</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即颗粒物：10mg/m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vertAlign w:val="baseline"/>
                <w:lang w:val="en-US" w:eastAsia="zh-CN"/>
              </w:rPr>
              <w:t>；《恶臭污染物排放标准》（GB14554-1993）</w:t>
            </w:r>
            <w:r>
              <w:rPr>
                <w:rFonts w:hint="default" w:ascii="Times New Roman" w:hAnsi="Times New Roman" w:eastAsia="宋体" w:cs="Times New Roman"/>
                <w:b w:val="0"/>
                <w:bCs w:val="0"/>
                <w:color w:val="auto"/>
                <w:sz w:val="21"/>
                <w:szCs w:val="21"/>
                <w:highlight w:val="none"/>
              </w:rPr>
              <w:t>表2二级标准限值</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即臭气浓度2000</w:t>
            </w:r>
            <w:r>
              <w:rPr>
                <w:rFonts w:hint="default" w:ascii="Times New Roman" w:hAnsi="Times New Roman" w:eastAsia="宋体" w:cs="Times New Roman"/>
                <w:b w:val="0"/>
                <w:bCs w:val="0"/>
                <w:color w:val="auto"/>
                <w:sz w:val="21"/>
                <w:szCs w:val="21"/>
                <w:highlight w:val="none"/>
              </w:rPr>
              <w:cr/>
            </w:r>
            <w:r>
              <w:rPr>
                <w:rFonts w:hint="default" w:ascii="Times New Roman" w:hAnsi="Times New Roman" w:eastAsia="宋体" w:cs="Times New Roman"/>
                <w:b w:val="0"/>
                <w:bCs w:val="0"/>
                <w:color w:val="auto"/>
                <w:sz w:val="21"/>
                <w:szCs w:val="21"/>
                <w:highlight w:val="none"/>
              </w:rPr>
              <w:t>(无量纲)</w:t>
            </w:r>
          </w:p>
        </w:tc>
      </w:tr>
      <w:tr w14:paraId="39845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1116" w:type="dxa"/>
            <w:vMerge w:val="continue"/>
            <w:shd w:val="clear" w:color="auto" w:fill="auto"/>
            <w:noWrap w:val="0"/>
            <w:vAlign w:val="center"/>
          </w:tcPr>
          <w:p w14:paraId="10C4FC76">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44" w:type="dxa"/>
            <w:shd w:val="clear" w:color="auto" w:fill="auto"/>
            <w:noWrap w:val="0"/>
            <w:vAlign w:val="center"/>
          </w:tcPr>
          <w:p w14:paraId="39E76DC6">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auto"/>
                <w:sz w:val="21"/>
                <w:szCs w:val="21"/>
                <w:highlight w:val="none"/>
                <w:lang w:val="en-US" w:eastAsia="zh-CN"/>
              </w:rPr>
              <w:t>替代颗粒燃烧废气排气筒DA003</w:t>
            </w:r>
          </w:p>
        </w:tc>
        <w:tc>
          <w:tcPr>
            <w:tcW w:w="1138" w:type="dxa"/>
            <w:shd w:val="clear" w:color="auto" w:fill="auto"/>
            <w:noWrap w:val="0"/>
            <w:vAlign w:val="center"/>
          </w:tcPr>
          <w:p w14:paraId="72D0A32E">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颗粒物、SO</w:t>
            </w:r>
            <w:r>
              <w:rPr>
                <w:rFonts w:hint="default" w:ascii="Times New Roman" w:hAnsi="Times New Roman" w:eastAsia="宋体" w:cs="Times New Roman"/>
                <w:color w:val="000000"/>
                <w:kern w:val="2"/>
                <w:sz w:val="21"/>
                <w:szCs w:val="21"/>
                <w:highlight w:val="none"/>
                <w:vertAlign w:val="subscript"/>
                <w:lang w:val="en-US" w:eastAsia="zh-CN" w:bidi="ar-SA"/>
              </w:rPr>
              <w:t>2</w:t>
            </w:r>
            <w:r>
              <w:rPr>
                <w:rFonts w:hint="default" w:ascii="Times New Roman" w:hAnsi="Times New Roman" w:eastAsia="宋体" w:cs="Times New Roman"/>
                <w:color w:val="000000"/>
                <w:kern w:val="2"/>
                <w:sz w:val="21"/>
                <w:szCs w:val="21"/>
                <w:highlight w:val="none"/>
                <w:lang w:val="en-US" w:eastAsia="zh-CN" w:bidi="ar-SA"/>
              </w:rPr>
              <w:t>、NOx、氨、汞及其化合物、烟气黑度</w:t>
            </w:r>
          </w:p>
        </w:tc>
        <w:tc>
          <w:tcPr>
            <w:tcW w:w="2447" w:type="dxa"/>
            <w:shd w:val="clear" w:color="auto" w:fill="auto"/>
            <w:noWrap w:val="0"/>
            <w:vAlign w:val="center"/>
          </w:tcPr>
          <w:p w14:paraId="37D3F735">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auto"/>
                <w:sz w:val="21"/>
                <w:szCs w:val="21"/>
                <w:highlight w:val="none"/>
                <w:lang w:val="en-US" w:eastAsia="zh-CN"/>
              </w:rPr>
              <w:t>“SCR脱硝+干法脱硫+脉冲布袋除尘器”装置处理后</w:t>
            </w:r>
            <w:r>
              <w:rPr>
                <w:rFonts w:hint="default" w:ascii="Times New Roman" w:hAnsi="Times New Roman" w:eastAsia="宋体" w:cs="Times New Roman"/>
                <w:b w:val="0"/>
                <w:bCs w:val="0"/>
                <w:color w:val="auto"/>
                <w:sz w:val="21"/>
                <w:szCs w:val="21"/>
                <w:highlight w:val="none"/>
                <w:lang w:eastAsia="zh-CN"/>
              </w:rPr>
              <w:t>经</w:t>
            </w: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eastAsia="zh-CN"/>
              </w:rPr>
              <w:t>5m高排气筒DA00</w:t>
            </w:r>
            <w:r>
              <w:rPr>
                <w:rFonts w:hint="default"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eastAsia="zh-CN"/>
              </w:rPr>
              <w:t>排放</w:t>
            </w:r>
          </w:p>
        </w:tc>
        <w:tc>
          <w:tcPr>
            <w:tcW w:w="2455" w:type="dxa"/>
            <w:shd w:val="clear" w:color="auto" w:fill="auto"/>
            <w:noWrap w:val="0"/>
            <w:vAlign w:val="center"/>
          </w:tcPr>
          <w:p w14:paraId="569E0391">
            <w:pPr>
              <w:keepNext w:val="0"/>
              <w:keepLines w:val="0"/>
              <w:pageBreakBefore w:val="0"/>
              <w:widowControl/>
              <w:suppressLineNumbers w:val="0"/>
              <w:wordWrap/>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参照执行《锅炉大气污染物排放标准》</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DB13/5161-2020</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表1大气污染物排放限值，即</w:t>
            </w:r>
            <w:r>
              <w:rPr>
                <w:rFonts w:hint="default" w:ascii="Times New Roman" w:hAnsi="Times New Roman" w:eastAsia="宋体" w:cs="Times New Roman"/>
                <w:color w:val="000000"/>
                <w:kern w:val="2"/>
                <w:sz w:val="21"/>
                <w:szCs w:val="21"/>
                <w:highlight w:val="none"/>
                <w:lang w:val="en-US" w:eastAsia="zh-CN" w:bidi="ar-SA"/>
              </w:rPr>
              <w:t>颗粒物</w:t>
            </w:r>
            <w:r>
              <w:rPr>
                <w:rFonts w:hint="default" w:ascii="Times New Roman" w:hAnsi="Times New Roman" w:cs="Times New Roman"/>
                <w:b w:val="0"/>
                <w:bCs w:val="0"/>
                <w:color w:val="auto"/>
                <w:sz w:val="21"/>
                <w:szCs w:val="21"/>
                <w:highlight w:val="none"/>
                <w:lang w:val="en-US" w:eastAsia="zh-CN"/>
              </w:rPr>
              <w:t>：20mg/m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eastAsia="宋体" w:cs="Times New Roman"/>
                <w:color w:val="000000"/>
                <w:kern w:val="2"/>
                <w:sz w:val="21"/>
                <w:szCs w:val="21"/>
                <w:highlight w:val="none"/>
                <w:lang w:val="en-US" w:eastAsia="zh-CN" w:bidi="ar-SA"/>
              </w:rPr>
              <w:t>、SO</w:t>
            </w:r>
            <w:r>
              <w:rPr>
                <w:rFonts w:hint="default" w:ascii="Times New Roman" w:hAnsi="Times New Roman" w:eastAsia="宋体" w:cs="Times New Roman"/>
                <w:color w:val="000000"/>
                <w:kern w:val="2"/>
                <w:sz w:val="21"/>
                <w:szCs w:val="21"/>
                <w:highlight w:val="none"/>
                <w:vertAlign w:val="subscript"/>
                <w:lang w:val="en-US" w:eastAsia="zh-CN" w:bidi="ar-SA"/>
              </w:rPr>
              <w:t>2</w:t>
            </w:r>
            <w:r>
              <w:rPr>
                <w:rFonts w:hint="eastAsia" w:cs="Times New Roman"/>
                <w:color w:val="000000"/>
                <w:kern w:val="2"/>
                <w:sz w:val="21"/>
                <w:szCs w:val="21"/>
                <w:highlight w:val="none"/>
                <w:vertAlign w:val="subscript"/>
                <w:lang w:val="en-US" w:eastAsia="zh-CN" w:bidi="ar-SA"/>
              </w:rPr>
              <w:t>:</w:t>
            </w:r>
            <w:r>
              <w:rPr>
                <w:rFonts w:hint="default" w:ascii="Times New Roman" w:hAnsi="Times New Roman" w:cs="Times New Roman"/>
                <w:b w:val="0"/>
                <w:bCs w:val="0"/>
                <w:color w:val="auto"/>
                <w:sz w:val="21"/>
                <w:szCs w:val="21"/>
                <w:highlight w:val="none"/>
                <w:lang w:val="en-US" w:eastAsia="zh-CN"/>
              </w:rPr>
              <w:t>30mg/m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eastAsia="宋体" w:cs="Times New Roman"/>
                <w:color w:val="000000"/>
                <w:kern w:val="2"/>
                <w:sz w:val="21"/>
                <w:szCs w:val="21"/>
                <w:highlight w:val="none"/>
                <w:lang w:val="en-US" w:eastAsia="zh-CN" w:bidi="ar-SA"/>
              </w:rPr>
              <w:t>、NOx</w:t>
            </w:r>
            <w:r>
              <w:rPr>
                <w:rFonts w:hint="default" w:ascii="Times New Roman" w:hAnsi="Times New Roman" w:cs="Times New Roman"/>
                <w:b w:val="0"/>
                <w:bCs w:val="0"/>
                <w:color w:val="auto"/>
                <w:sz w:val="21"/>
                <w:szCs w:val="21"/>
                <w:highlight w:val="none"/>
                <w:lang w:val="en-US" w:eastAsia="zh-CN"/>
              </w:rPr>
              <w:t>：150mg/m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eastAsia="宋体" w:cs="Times New Roman"/>
                <w:color w:val="000000"/>
                <w:kern w:val="2"/>
                <w:sz w:val="21"/>
                <w:szCs w:val="21"/>
                <w:highlight w:val="none"/>
                <w:lang w:val="en-US" w:eastAsia="zh-CN" w:bidi="ar-SA"/>
              </w:rPr>
              <w:t>、氨</w:t>
            </w:r>
            <w:r>
              <w:rPr>
                <w:rFonts w:hint="default" w:ascii="Times New Roman" w:hAnsi="Times New Roman" w:cs="Times New Roman"/>
                <w:b w:val="0"/>
                <w:bCs w:val="0"/>
                <w:color w:val="auto"/>
                <w:sz w:val="21"/>
                <w:szCs w:val="21"/>
                <w:highlight w:val="none"/>
                <w:lang w:val="en-US" w:eastAsia="zh-CN"/>
              </w:rPr>
              <w:t>：2.3mg/m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eastAsia="宋体" w:cs="Times New Roman"/>
                <w:color w:val="000000"/>
                <w:kern w:val="2"/>
                <w:sz w:val="21"/>
                <w:szCs w:val="21"/>
                <w:highlight w:val="none"/>
                <w:lang w:val="en-US" w:eastAsia="zh-CN" w:bidi="ar-SA"/>
              </w:rPr>
              <w:t>、汞及其化合物</w:t>
            </w:r>
            <w:r>
              <w:rPr>
                <w:rFonts w:hint="default" w:ascii="Times New Roman" w:hAnsi="Times New Roman" w:cs="Times New Roman"/>
                <w:b w:val="0"/>
                <w:bCs w:val="0"/>
                <w:color w:val="auto"/>
                <w:sz w:val="21"/>
                <w:szCs w:val="21"/>
                <w:highlight w:val="none"/>
                <w:lang w:val="en-US" w:eastAsia="zh-CN"/>
              </w:rPr>
              <w:t>：0.03mg/m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eastAsia="宋体" w:cs="Times New Roman"/>
                <w:color w:val="000000"/>
                <w:kern w:val="2"/>
                <w:sz w:val="21"/>
                <w:szCs w:val="21"/>
                <w:highlight w:val="none"/>
                <w:lang w:val="en-US" w:eastAsia="zh-CN" w:bidi="ar-SA"/>
              </w:rPr>
              <w:t>、烟气黑度</w:t>
            </w:r>
            <w:r>
              <w:rPr>
                <w:rFonts w:hint="default" w:ascii="Times New Roman" w:hAnsi="Times New Roman" w:cs="Times New Roman"/>
                <w:b w:val="0"/>
                <w:bCs w:val="0"/>
                <w:color w:val="auto"/>
                <w:sz w:val="21"/>
                <w:szCs w:val="21"/>
                <w:highlight w:val="none"/>
                <w:lang w:val="en-US" w:eastAsia="zh-CN"/>
              </w:rPr>
              <w:t>≤1级</w:t>
            </w:r>
          </w:p>
        </w:tc>
      </w:tr>
      <w:tr w14:paraId="47BF2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1116" w:type="dxa"/>
            <w:vMerge w:val="continue"/>
            <w:shd w:val="clear" w:color="auto" w:fill="auto"/>
            <w:noWrap w:val="0"/>
            <w:vAlign w:val="center"/>
          </w:tcPr>
          <w:p w14:paraId="27DF7F67">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green"/>
                <w14:textFill>
                  <w14:solidFill>
                    <w14:schemeClr w14:val="tx1"/>
                  </w14:solidFill>
                </w14:textFill>
              </w:rPr>
            </w:pPr>
          </w:p>
        </w:tc>
        <w:tc>
          <w:tcPr>
            <w:tcW w:w="1644" w:type="dxa"/>
            <w:shd w:val="clear" w:color="auto" w:fill="auto"/>
            <w:noWrap w:val="0"/>
            <w:vAlign w:val="center"/>
          </w:tcPr>
          <w:p w14:paraId="278E1FCA">
            <w:pPr>
              <w:pStyle w:val="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color w:val="000000" w:themeColor="text1"/>
                <w:sz w:val="21"/>
                <w:szCs w:val="21"/>
                <w:highlight w:val="green"/>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lang w:eastAsia="zh-CN"/>
              </w:rPr>
              <w:t>免烧砖工序</w:t>
            </w:r>
            <w:r>
              <w:rPr>
                <w:rFonts w:hint="default" w:ascii="Times New Roman" w:hAnsi="Times New Roman" w:eastAsia="宋体" w:cs="Times New Roman"/>
                <w:color w:val="auto"/>
                <w:sz w:val="21"/>
                <w:szCs w:val="21"/>
                <w:highlight w:val="none"/>
                <w:lang w:val="en-US" w:eastAsia="zh-CN"/>
              </w:rPr>
              <w:t>破碎</w:t>
            </w:r>
            <w:r>
              <w:rPr>
                <w:rFonts w:hint="default" w:ascii="Times New Roman" w:hAnsi="Times New Roman" w:eastAsia="宋体" w:cs="Times New Roman"/>
                <w:color w:val="auto"/>
                <w:sz w:val="21"/>
                <w:szCs w:val="21"/>
                <w:highlight w:val="none"/>
                <w:lang w:eastAsia="zh-CN"/>
              </w:rPr>
              <w:t>、搅拌、</w:t>
            </w:r>
            <w:r>
              <w:rPr>
                <w:rFonts w:hint="default" w:ascii="Times New Roman" w:hAnsi="Times New Roman" w:eastAsia="宋体" w:cs="Times New Roman"/>
                <w:color w:val="auto"/>
                <w:sz w:val="21"/>
                <w:szCs w:val="21"/>
                <w:highlight w:val="none"/>
                <w:lang w:val="en-US" w:eastAsia="zh-CN"/>
              </w:rPr>
              <w:t>水泥仓、粉煤灰仓</w:t>
            </w:r>
            <w:r>
              <w:rPr>
                <w:rFonts w:hint="default" w:ascii="Times New Roman" w:hAnsi="Times New Roman" w:cs="Times New Roman"/>
                <w:color w:val="auto"/>
                <w:sz w:val="21"/>
                <w:szCs w:val="21"/>
                <w:highlight w:val="none"/>
                <w:lang w:val="en-US" w:eastAsia="zh-CN"/>
              </w:rPr>
              <w:t>废气</w:t>
            </w:r>
            <w:r>
              <w:rPr>
                <w:rFonts w:hint="default" w:ascii="Times New Roman" w:hAnsi="Times New Roman" w:eastAsia="宋体" w:cs="Times New Roman"/>
                <w:b w:val="0"/>
                <w:bCs w:val="0"/>
                <w:color w:val="auto"/>
                <w:sz w:val="21"/>
                <w:szCs w:val="21"/>
                <w:highlight w:val="none"/>
                <w:lang w:val="en-US" w:eastAsia="zh-CN"/>
              </w:rPr>
              <w:t>排气筒DA004</w:t>
            </w:r>
          </w:p>
        </w:tc>
        <w:tc>
          <w:tcPr>
            <w:tcW w:w="1138" w:type="dxa"/>
            <w:shd w:val="clear" w:color="auto" w:fill="auto"/>
            <w:noWrap w:val="0"/>
            <w:vAlign w:val="center"/>
          </w:tcPr>
          <w:p w14:paraId="34138874">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颗粒物</w:t>
            </w:r>
          </w:p>
        </w:tc>
        <w:tc>
          <w:tcPr>
            <w:tcW w:w="2447" w:type="dxa"/>
            <w:shd w:val="clear" w:color="auto" w:fill="auto"/>
            <w:noWrap w:val="0"/>
            <w:vAlign w:val="center"/>
          </w:tcPr>
          <w:p w14:paraId="1CA54032">
            <w:pPr>
              <w:keepNext w:val="0"/>
              <w:keepLines w:val="0"/>
              <w:pageBreakBefore w:val="0"/>
              <w:suppressLineNumbers w:val="0"/>
              <w:wordWrap/>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auto"/>
                <w:sz w:val="21"/>
                <w:szCs w:val="21"/>
                <w:highlight w:val="none"/>
                <w:lang w:val="en-US" w:eastAsia="zh-CN"/>
              </w:rPr>
              <w:t>“脉冲式布袋除尘器”装置处理，处理后经排气筒DA004排放</w:t>
            </w:r>
            <w:r>
              <w:rPr>
                <w:rFonts w:hint="default" w:ascii="Times New Roman" w:hAnsi="Times New Roman" w:eastAsia="宋体" w:cs="Times New Roman"/>
                <w:color w:val="000000"/>
                <w:kern w:val="0"/>
                <w:sz w:val="21"/>
                <w:szCs w:val="21"/>
                <w:highlight w:val="none"/>
                <w:lang w:val="en-US" w:eastAsia="zh-CN" w:bidi="ar"/>
              </w:rPr>
              <w:t>，处理能力</w:t>
            </w:r>
            <w:r>
              <w:rPr>
                <w:rFonts w:hint="default" w:ascii="Times New Roman" w:hAnsi="Times New Roman" w:cs="Times New Roman"/>
                <w:color w:val="000000"/>
                <w:kern w:val="0"/>
                <w:sz w:val="21"/>
                <w:szCs w:val="21"/>
                <w:highlight w:val="none"/>
                <w:lang w:val="en-US" w:eastAsia="zh-CN" w:bidi="ar"/>
              </w:rPr>
              <w:t>16000</w:t>
            </w:r>
            <w:r>
              <w:rPr>
                <w:rFonts w:hint="default" w:ascii="Times New Roman" w:hAnsi="Times New Roman" w:eastAsia="宋体" w:cs="Times New Roman"/>
                <w:color w:val="000000"/>
                <w:kern w:val="0"/>
                <w:sz w:val="21"/>
                <w:szCs w:val="21"/>
                <w:highlight w:val="none"/>
                <w:lang w:val="en-US" w:eastAsia="zh-CN" w:bidi="ar"/>
              </w:rPr>
              <w:t>m</w:t>
            </w:r>
            <w:r>
              <w:rPr>
                <w:rFonts w:hint="default" w:ascii="Times New Roman" w:hAnsi="Times New Roman" w:eastAsia="宋体" w:cs="Times New Roman"/>
                <w:color w:val="000000"/>
                <w:kern w:val="0"/>
                <w:sz w:val="21"/>
                <w:szCs w:val="21"/>
                <w:highlight w:val="none"/>
                <w:vertAlign w:val="superscript"/>
                <w:lang w:val="en-US" w:eastAsia="zh-CN" w:bidi="ar"/>
              </w:rPr>
              <w:t>3</w:t>
            </w:r>
            <w:r>
              <w:rPr>
                <w:rFonts w:hint="default" w:ascii="Times New Roman" w:hAnsi="Times New Roman" w:eastAsia="宋体" w:cs="Times New Roman"/>
                <w:color w:val="000000"/>
                <w:kern w:val="0"/>
                <w:sz w:val="21"/>
                <w:szCs w:val="21"/>
                <w:highlight w:val="none"/>
                <w:lang w:val="en-US" w:eastAsia="zh-CN" w:bidi="ar"/>
              </w:rPr>
              <w:t>/h</w:t>
            </w:r>
          </w:p>
        </w:tc>
        <w:tc>
          <w:tcPr>
            <w:tcW w:w="2455" w:type="dxa"/>
            <w:shd w:val="clear" w:color="auto" w:fill="auto"/>
            <w:noWrap w:val="0"/>
            <w:vAlign w:val="center"/>
          </w:tcPr>
          <w:p w14:paraId="0C5A4247">
            <w:pPr>
              <w:keepNext w:val="0"/>
              <w:keepLines w:val="0"/>
              <w:pageBreakBefore w:val="0"/>
              <w:widowControl/>
              <w:suppressLineNumbers w:val="0"/>
              <w:wordWrap/>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参照执行</w:t>
            </w:r>
            <w:r>
              <w:rPr>
                <w:rFonts w:hint="default" w:ascii="Times New Roman" w:hAnsi="Times New Roman" w:eastAsia="宋体" w:cs="Times New Roman"/>
                <w:b w:val="0"/>
                <w:bCs w:val="0"/>
                <w:color w:val="auto"/>
                <w:sz w:val="21"/>
                <w:szCs w:val="21"/>
                <w:highlight w:val="none"/>
              </w:rPr>
              <w:t>《水泥工业大气污染物超低排放标准》</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DB13/2167-2020</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表1</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即颗粒物：10mg/m</w:t>
            </w:r>
            <w:r>
              <w:rPr>
                <w:rFonts w:hint="default" w:ascii="Times New Roman" w:hAnsi="Times New Roman" w:cs="Times New Roman"/>
                <w:b w:val="0"/>
                <w:bCs w:val="0"/>
                <w:color w:val="auto"/>
                <w:sz w:val="21"/>
                <w:szCs w:val="21"/>
                <w:highlight w:val="none"/>
                <w:vertAlign w:val="superscript"/>
                <w:lang w:val="en-US" w:eastAsia="zh-CN"/>
              </w:rPr>
              <w:t>3</w:t>
            </w:r>
          </w:p>
        </w:tc>
      </w:tr>
      <w:tr w14:paraId="6CC82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1116" w:type="dxa"/>
            <w:vMerge w:val="continue"/>
            <w:shd w:val="clear" w:color="auto" w:fill="auto"/>
            <w:noWrap w:val="0"/>
            <w:vAlign w:val="center"/>
          </w:tcPr>
          <w:p w14:paraId="416AA9F6">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green"/>
                <w14:textFill>
                  <w14:solidFill>
                    <w14:schemeClr w14:val="tx1"/>
                  </w14:solidFill>
                </w14:textFill>
              </w:rPr>
            </w:pPr>
          </w:p>
        </w:tc>
        <w:tc>
          <w:tcPr>
            <w:tcW w:w="1644" w:type="dxa"/>
            <w:shd w:val="clear" w:color="auto" w:fill="auto"/>
            <w:noWrap w:val="0"/>
            <w:vAlign w:val="center"/>
          </w:tcPr>
          <w:p w14:paraId="3CDF2E0E">
            <w:pPr>
              <w:keepNext w:val="0"/>
              <w:keepLines w:val="0"/>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食堂</w:t>
            </w:r>
          </w:p>
        </w:tc>
        <w:tc>
          <w:tcPr>
            <w:tcW w:w="1138" w:type="dxa"/>
            <w:shd w:val="clear" w:color="auto" w:fill="auto"/>
            <w:noWrap w:val="0"/>
            <w:vAlign w:val="center"/>
          </w:tcPr>
          <w:p w14:paraId="3038B46C">
            <w:pPr>
              <w:keepNext w:val="0"/>
              <w:keepLines w:val="0"/>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食堂油烟</w:t>
            </w:r>
          </w:p>
        </w:tc>
        <w:tc>
          <w:tcPr>
            <w:tcW w:w="2447" w:type="dxa"/>
            <w:shd w:val="clear" w:color="auto" w:fill="auto"/>
            <w:noWrap w:val="0"/>
            <w:vAlign w:val="center"/>
          </w:tcPr>
          <w:p w14:paraId="1568CE03">
            <w:pPr>
              <w:keepNext w:val="0"/>
              <w:keepLines w:val="0"/>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cs="Times New Roman"/>
                <w:color w:val="auto"/>
                <w:szCs w:val="21"/>
                <w:highlight w:val="none"/>
              </w:rPr>
              <w:t>油烟净化器+预留烟道于食堂所在楼顶排放，1套，风机风量</w:t>
            </w:r>
            <w:r>
              <w:rPr>
                <w:rFonts w:hint="default" w:ascii="Times New Roman" w:hAnsi="Times New Roman" w:cs="Times New Roman"/>
                <w:color w:val="auto"/>
                <w:szCs w:val="21"/>
                <w:highlight w:val="none"/>
                <w:lang w:val="en-US" w:eastAsia="zh-CN"/>
              </w:rPr>
              <w:t>25</w:t>
            </w:r>
            <w:r>
              <w:rPr>
                <w:rFonts w:hint="default" w:ascii="Times New Roman" w:hAnsi="Times New Roman" w:cs="Times New Roman"/>
                <w:color w:val="auto"/>
                <w:szCs w:val="21"/>
                <w:highlight w:val="none"/>
              </w:rPr>
              <w:t>00</w:t>
            </w:r>
            <w:r>
              <w:rPr>
                <w:rFonts w:hint="default" w:ascii="Times New Roman" w:hAnsi="Times New Roman" w:cs="Times New Roman"/>
                <w:snapToGrid w:val="0"/>
                <w:color w:val="auto"/>
                <w:szCs w:val="21"/>
                <w:highlight w:val="none"/>
              </w:rPr>
              <w:t>m</w:t>
            </w:r>
            <w:r>
              <w:rPr>
                <w:rFonts w:hint="default" w:ascii="Times New Roman" w:hAnsi="Times New Roman" w:cs="Times New Roman"/>
                <w:snapToGrid w:val="0"/>
                <w:color w:val="auto"/>
                <w:szCs w:val="21"/>
                <w:highlight w:val="none"/>
                <w:vertAlign w:val="superscript"/>
              </w:rPr>
              <w:t>3</w:t>
            </w:r>
            <w:r>
              <w:rPr>
                <w:rFonts w:hint="default" w:ascii="Times New Roman" w:hAnsi="Times New Roman" w:cs="Times New Roman"/>
                <w:snapToGrid w:val="0"/>
                <w:color w:val="auto"/>
                <w:szCs w:val="21"/>
                <w:highlight w:val="none"/>
              </w:rPr>
              <w:t>/h</w:t>
            </w:r>
          </w:p>
        </w:tc>
        <w:tc>
          <w:tcPr>
            <w:tcW w:w="2455" w:type="dxa"/>
            <w:shd w:val="clear" w:color="auto" w:fill="auto"/>
            <w:noWrap w:val="0"/>
            <w:vAlign w:val="center"/>
          </w:tcPr>
          <w:p w14:paraId="6673AB7C">
            <w:pPr>
              <w:keepNext w:val="0"/>
              <w:keepLines w:val="0"/>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szCs w:val="21"/>
                <w:highlight w:val="none"/>
              </w:rPr>
              <w:t>《餐饮业大气污染物排放标准》（DB13/ 5808—2023）表1中小型限值要求（排放浓度小于1.5mg/m</w:t>
            </w:r>
            <w:r>
              <w:rPr>
                <w:rFonts w:hint="default" w:ascii="Times New Roman" w:hAnsi="Times New Roman" w:cs="Times New Roman"/>
                <w:color w:val="auto"/>
                <w:szCs w:val="21"/>
                <w:highlight w:val="none"/>
                <w:vertAlign w:val="superscript"/>
              </w:rPr>
              <w:t xml:space="preserve"> 3</w:t>
            </w:r>
            <w:r>
              <w:rPr>
                <w:rFonts w:hint="default" w:ascii="Times New Roman" w:hAnsi="Times New Roman" w:cs="Times New Roman"/>
                <w:color w:val="auto"/>
                <w:szCs w:val="21"/>
                <w:highlight w:val="none"/>
              </w:rPr>
              <w:t>）</w:t>
            </w:r>
          </w:p>
        </w:tc>
      </w:tr>
      <w:tr w14:paraId="0969C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1116" w:type="dxa"/>
            <w:vMerge w:val="continue"/>
            <w:shd w:val="clear" w:color="auto" w:fill="auto"/>
            <w:noWrap w:val="0"/>
            <w:vAlign w:val="center"/>
          </w:tcPr>
          <w:p w14:paraId="38206C23">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green"/>
                <w14:textFill>
                  <w14:solidFill>
                    <w14:schemeClr w14:val="tx1"/>
                  </w14:solidFill>
                </w14:textFill>
              </w:rPr>
            </w:pPr>
          </w:p>
        </w:tc>
        <w:tc>
          <w:tcPr>
            <w:tcW w:w="1644" w:type="dxa"/>
            <w:vMerge w:val="restart"/>
            <w:shd w:val="clear" w:color="auto" w:fill="auto"/>
            <w:noWrap w:val="0"/>
            <w:vAlign w:val="center"/>
          </w:tcPr>
          <w:p w14:paraId="0137DA69">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无组织</w:t>
            </w:r>
          </w:p>
        </w:tc>
        <w:tc>
          <w:tcPr>
            <w:tcW w:w="1138" w:type="dxa"/>
            <w:shd w:val="clear" w:color="auto" w:fill="auto"/>
            <w:noWrap w:val="0"/>
            <w:vAlign w:val="center"/>
          </w:tcPr>
          <w:p w14:paraId="7594F857">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颗粒物</w:t>
            </w:r>
          </w:p>
        </w:tc>
        <w:tc>
          <w:tcPr>
            <w:tcW w:w="2447" w:type="dxa"/>
            <w:shd w:val="clear" w:color="auto" w:fill="auto"/>
            <w:noWrap w:val="0"/>
            <w:vAlign w:val="center"/>
          </w:tcPr>
          <w:p w14:paraId="31A62D2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
              </w:rPr>
              <w:t>设置封闭的生产车间，原料区采用雾炮及环保高压微雾降尘系统喷雾抑尘；车间出入口设置自动感应门，出口设置洗车平台；物料进出口采取快速</w:t>
            </w:r>
            <w:r>
              <w:rPr>
                <w:rFonts w:hint="default" w:ascii="Times New Roman" w:hAnsi="Times New Roman" w:cs="Times New Roman"/>
                <w:color w:val="000000"/>
                <w:sz w:val="21"/>
                <w:szCs w:val="21"/>
                <w:highlight w:val="none"/>
                <w:lang w:val="en-US" w:eastAsia="zh-CN" w:bidi="ar"/>
              </w:rPr>
              <w:t>启闭</w:t>
            </w:r>
            <w:r>
              <w:rPr>
                <w:rFonts w:hint="default" w:ascii="Times New Roman" w:hAnsi="Times New Roman" w:eastAsia="宋体" w:cs="Times New Roman"/>
                <w:color w:val="000000"/>
                <w:sz w:val="21"/>
                <w:szCs w:val="21"/>
                <w:highlight w:val="none"/>
                <w:lang w:val="en-US" w:eastAsia="zh-CN" w:bidi="ar"/>
              </w:rPr>
              <w:t>门等方式，保证无明显粉尘</w:t>
            </w:r>
            <w:r>
              <w:rPr>
                <w:rFonts w:hint="default" w:ascii="Times New Roman" w:hAnsi="Times New Roman" w:cs="Times New Roman"/>
                <w:color w:val="000000"/>
                <w:sz w:val="21"/>
                <w:szCs w:val="21"/>
                <w:highlight w:val="none"/>
                <w:lang w:val="en-US" w:eastAsia="zh-CN" w:bidi="ar"/>
              </w:rPr>
              <w:t>外溢</w:t>
            </w:r>
            <w:r>
              <w:rPr>
                <w:rFonts w:hint="default" w:ascii="Times New Roman" w:hAnsi="Times New Roman" w:eastAsia="宋体" w:cs="Times New Roman"/>
                <w:color w:val="000000"/>
                <w:sz w:val="21"/>
                <w:szCs w:val="21"/>
                <w:highlight w:val="none"/>
                <w:lang w:val="en-US" w:eastAsia="zh-CN" w:bidi="ar"/>
              </w:rPr>
              <w:t>；物料采用皮带等方式输送，封闭式建设；物料转载、下料等区域局部封闭，并配置布袋除尘器；</w:t>
            </w:r>
            <w:r>
              <w:rPr>
                <w:rFonts w:hint="default" w:ascii="Times New Roman" w:hAnsi="Times New Roman" w:eastAsia="宋体" w:cs="Times New Roman"/>
                <w:color w:val="000000"/>
                <w:sz w:val="21"/>
                <w:szCs w:val="21"/>
                <w:highlight w:val="none"/>
              </w:rPr>
              <w:t>除尘器设置密闭灰区并及时卸灰，除尘灰袋装收集后</w:t>
            </w:r>
            <w:r>
              <w:rPr>
                <w:rFonts w:hint="default" w:ascii="Times New Roman" w:hAnsi="Times New Roman" w:eastAsia="宋体" w:cs="Times New Roman"/>
                <w:color w:val="000000"/>
                <w:sz w:val="21"/>
                <w:szCs w:val="21"/>
                <w:highlight w:val="none"/>
                <w:lang w:eastAsia="zh-CN"/>
              </w:rPr>
              <w:t>回用于生产</w:t>
            </w:r>
          </w:p>
        </w:tc>
        <w:tc>
          <w:tcPr>
            <w:tcW w:w="2455" w:type="dxa"/>
            <w:shd w:val="clear" w:color="auto" w:fill="auto"/>
            <w:noWrap w:val="0"/>
            <w:vAlign w:val="center"/>
          </w:tcPr>
          <w:p w14:paraId="204E123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参照执行</w:t>
            </w:r>
            <w:r>
              <w:rPr>
                <w:rFonts w:hint="default" w:ascii="Times New Roman" w:hAnsi="Times New Roman" w:eastAsia="宋体" w:cs="Times New Roman"/>
                <w:b w:val="0"/>
                <w:bCs w:val="0"/>
                <w:color w:val="auto"/>
                <w:sz w:val="21"/>
                <w:szCs w:val="21"/>
                <w:highlight w:val="none"/>
              </w:rPr>
              <w:t>《水泥工业大气污染物超低排放标准》</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DB13/2167-2020</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表2中浓度限值要求</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监控点与参照点总悬浮颗粒物</w:t>
            </w:r>
          </w:p>
          <w:p w14:paraId="04B6E10C">
            <w:pPr>
              <w:keepNext w:val="0"/>
              <w:keepLines w:val="0"/>
              <w:suppressLineNumbers w:val="0"/>
              <w:adjustRightIn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1h浓度值的差值0.5mg/m</w:t>
            </w:r>
            <w:r>
              <w:rPr>
                <w:rFonts w:hint="default" w:ascii="Times New Roman" w:hAnsi="Times New Roman" w:cs="Times New Roman"/>
                <w:b w:val="0"/>
                <w:bCs w:val="0"/>
                <w:color w:val="auto"/>
                <w:sz w:val="21"/>
                <w:szCs w:val="21"/>
                <w:highlight w:val="none"/>
                <w:vertAlign w:val="superscript"/>
                <w:lang w:val="en-US" w:eastAsia="zh-CN"/>
              </w:rPr>
              <w:t>3</w:t>
            </w:r>
          </w:p>
        </w:tc>
      </w:tr>
      <w:tr w14:paraId="6AE08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89" w:hRule="atLeast"/>
          <w:jc w:val="center"/>
        </w:trPr>
        <w:tc>
          <w:tcPr>
            <w:tcW w:w="1116" w:type="dxa"/>
            <w:vMerge w:val="continue"/>
            <w:shd w:val="clear" w:color="auto" w:fill="auto"/>
            <w:noWrap w:val="0"/>
            <w:vAlign w:val="center"/>
          </w:tcPr>
          <w:p w14:paraId="46AEA1B5">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green"/>
                <w14:textFill>
                  <w14:solidFill>
                    <w14:schemeClr w14:val="tx1"/>
                  </w14:solidFill>
                </w14:textFill>
              </w:rPr>
            </w:pPr>
          </w:p>
        </w:tc>
        <w:tc>
          <w:tcPr>
            <w:tcW w:w="1644" w:type="dxa"/>
            <w:vMerge w:val="continue"/>
            <w:shd w:val="clear" w:color="auto" w:fill="auto"/>
            <w:noWrap w:val="0"/>
            <w:vAlign w:val="center"/>
          </w:tcPr>
          <w:p w14:paraId="3DDFCBDB">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val="en-US" w:eastAsia="zh-CN"/>
              </w:rPr>
            </w:pPr>
          </w:p>
        </w:tc>
        <w:tc>
          <w:tcPr>
            <w:tcW w:w="1138" w:type="dxa"/>
            <w:shd w:val="clear" w:color="auto" w:fill="auto"/>
            <w:noWrap w:val="0"/>
            <w:vAlign w:val="center"/>
          </w:tcPr>
          <w:p w14:paraId="6920711F">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氨、硫化氢、臭气浓度</w:t>
            </w:r>
          </w:p>
        </w:tc>
        <w:tc>
          <w:tcPr>
            <w:tcW w:w="2447" w:type="dxa"/>
            <w:shd w:val="clear" w:color="auto" w:fill="auto"/>
            <w:noWrap w:val="0"/>
            <w:vAlign w:val="center"/>
          </w:tcPr>
          <w:p w14:paraId="6E0D7B1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color w:val="000000"/>
                <w:sz w:val="21"/>
                <w:szCs w:val="21"/>
                <w:highlight w:val="none"/>
                <w:lang w:val="en-US" w:eastAsia="zh-CN" w:bidi="ar"/>
              </w:rPr>
              <w:t>设置封闭的生产车间，设置喷淋系统定期喷淋除臭剂，车间出入口设置自动感应门，出口设置洗车平台；物料进出口采取快速</w:t>
            </w:r>
            <w:r>
              <w:rPr>
                <w:rFonts w:hint="default" w:ascii="Times New Roman" w:hAnsi="Times New Roman" w:cs="Times New Roman"/>
                <w:color w:val="000000"/>
                <w:sz w:val="21"/>
                <w:szCs w:val="21"/>
                <w:highlight w:val="none"/>
                <w:lang w:val="en-US" w:eastAsia="zh-CN" w:bidi="ar"/>
              </w:rPr>
              <w:t>启闭</w:t>
            </w:r>
            <w:r>
              <w:rPr>
                <w:rFonts w:hint="default" w:ascii="Times New Roman" w:hAnsi="Times New Roman" w:eastAsia="宋体" w:cs="Times New Roman"/>
                <w:color w:val="000000"/>
                <w:sz w:val="21"/>
                <w:szCs w:val="21"/>
                <w:highlight w:val="none"/>
                <w:lang w:val="en-US" w:eastAsia="zh-CN" w:bidi="ar"/>
              </w:rPr>
              <w:t>门等方式</w:t>
            </w:r>
          </w:p>
        </w:tc>
        <w:tc>
          <w:tcPr>
            <w:tcW w:w="2455" w:type="dxa"/>
            <w:shd w:val="clear" w:color="auto" w:fill="auto"/>
            <w:noWrap w:val="0"/>
            <w:vAlign w:val="center"/>
          </w:tcPr>
          <w:p w14:paraId="568C90F5">
            <w:pPr>
              <w:keepNext w:val="0"/>
              <w:keepLines w:val="0"/>
              <w:suppressLineNumbers w:val="0"/>
              <w:adjustRightInd w:val="0"/>
              <w:spacing w:before="0" w:beforeAutospacing="0" w:after="0" w:afterAutospacing="0" w:line="240" w:lineRule="auto"/>
              <w:ind w:left="0" w:leftChars="0" w:right="0" w:rightChars="0"/>
              <w:jc w:val="center"/>
              <w:rPr>
                <w:rFonts w:hint="default" w:ascii="Times New Roman" w:hAnsi="Times New Roman" w:eastAsia="宋体" w:cs="Times New Roman"/>
                <w:b w:val="0"/>
                <w:sz w:val="21"/>
                <w:szCs w:val="21"/>
                <w:highlight w:val="none"/>
                <w:lang w:eastAsia="zh-CN"/>
              </w:rPr>
            </w:pPr>
            <w:r>
              <w:rPr>
                <w:rFonts w:hint="default" w:ascii="Times New Roman" w:hAnsi="Times New Roman" w:eastAsia="宋体" w:cs="Times New Roman"/>
                <w:b w:val="0"/>
                <w:bCs w:val="0"/>
                <w:color w:val="auto"/>
                <w:sz w:val="21"/>
                <w:szCs w:val="21"/>
                <w:highlight w:val="none"/>
              </w:rPr>
              <w:t>《恶臭污染物排放标准</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GB14554-1993</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表1二级标准限值</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即</w:t>
            </w:r>
            <w:r>
              <w:rPr>
                <w:rFonts w:hint="default" w:ascii="Times New Roman" w:hAnsi="Times New Roman" w:cs="Times New Roman"/>
                <w:color w:val="auto"/>
                <w:sz w:val="21"/>
                <w:szCs w:val="21"/>
                <w:highlight w:val="none"/>
              </w:rPr>
              <w:t>NH</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vertAlign w:val="subscript"/>
                <w:lang w:val="en-US" w:eastAsia="zh-CN"/>
              </w:rPr>
              <w:t xml:space="preserve"> </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cs="Times New Roman"/>
                <w:b w:val="0"/>
                <w:bCs w:val="0"/>
                <w:color w:val="auto"/>
                <w:sz w:val="21"/>
                <w:szCs w:val="21"/>
                <w:highlight w:val="none"/>
                <w:lang w:val="en-US" w:eastAsia="zh-CN"/>
              </w:rPr>
              <w:t>1.5mg</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rPr>
              <w:t>、H</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rPr>
              <w:t>S</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0.06mg</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val="en-US" w:eastAsia="zh-CN"/>
              </w:rPr>
              <w:t>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lang w:val="en-US" w:eastAsia="zh-CN"/>
              </w:rPr>
              <w:t>臭气浓度20</w:t>
            </w:r>
            <w:r>
              <w:rPr>
                <w:rFonts w:hint="default" w:ascii="Times New Roman" w:hAnsi="Times New Roman" w:eastAsia="宋体" w:cs="Times New Roman"/>
                <w:b w:val="0"/>
                <w:bCs w:val="0"/>
                <w:color w:val="auto"/>
                <w:sz w:val="21"/>
                <w:szCs w:val="21"/>
                <w:highlight w:val="none"/>
              </w:rPr>
              <w:cr/>
            </w:r>
            <w:r>
              <w:rPr>
                <w:rFonts w:hint="default" w:ascii="Times New Roman" w:hAnsi="Times New Roman" w:eastAsia="宋体" w:cs="Times New Roman"/>
                <w:b w:val="0"/>
                <w:bCs w:val="0"/>
                <w:color w:val="auto"/>
                <w:sz w:val="21"/>
                <w:szCs w:val="21"/>
                <w:highlight w:val="none"/>
              </w:rPr>
              <w:t>(无量纲)</w:t>
            </w:r>
          </w:p>
        </w:tc>
      </w:tr>
      <w:tr w14:paraId="070990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16" w:type="dxa"/>
            <w:vMerge w:val="restart"/>
            <w:shd w:val="clear" w:color="auto" w:fill="auto"/>
            <w:noWrap w:val="0"/>
            <w:vAlign w:val="center"/>
          </w:tcPr>
          <w:p w14:paraId="0C424F0A">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地表水环境</w:t>
            </w:r>
          </w:p>
        </w:tc>
        <w:tc>
          <w:tcPr>
            <w:tcW w:w="1644" w:type="dxa"/>
            <w:shd w:val="clear" w:color="auto" w:fill="auto"/>
            <w:noWrap w:val="0"/>
            <w:vAlign w:val="center"/>
          </w:tcPr>
          <w:p w14:paraId="703F4E9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sz w:val="21"/>
                <w:szCs w:val="21"/>
                <w:highlight w:val="none"/>
                <w:lang w:val="en-US" w:eastAsia="zh-CN"/>
              </w:rPr>
              <w:t>生产废水</w:t>
            </w:r>
          </w:p>
        </w:tc>
        <w:tc>
          <w:tcPr>
            <w:tcW w:w="1138" w:type="dxa"/>
            <w:shd w:val="clear" w:color="auto" w:fill="auto"/>
            <w:noWrap w:val="0"/>
            <w:vAlign w:val="center"/>
          </w:tcPr>
          <w:p w14:paraId="12EEAFA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auto"/>
                <w:sz w:val="21"/>
                <w:szCs w:val="21"/>
                <w:highlight w:val="none"/>
                <w:lang w:val="en-US" w:eastAsia="zh-CN"/>
              </w:rPr>
              <w:t>pH、色度、嗅、浊度、BOD5、氨氮、溶解性总体、溶解氧、总氯、大肠埃希氏菌</w:t>
            </w:r>
            <w:r>
              <w:rPr>
                <w:rFonts w:hint="default" w:ascii="Times New Roman" w:hAnsi="Times New Roman" w:cs="Times New Roman"/>
                <w:b w:val="0"/>
                <w:bCs/>
                <w:color w:val="auto"/>
                <w:sz w:val="21"/>
                <w:szCs w:val="21"/>
                <w:highlight w:val="none"/>
                <w:lang w:val="en-US" w:eastAsia="zh-CN"/>
              </w:rPr>
              <w:t>、总汞、总镉、总铬、六价铬、总砷、总铅、总镍</w:t>
            </w:r>
          </w:p>
        </w:tc>
        <w:tc>
          <w:tcPr>
            <w:tcW w:w="2447" w:type="dxa"/>
            <w:shd w:val="clear" w:color="auto" w:fill="auto"/>
            <w:noWrap w:val="0"/>
            <w:vAlign w:val="center"/>
          </w:tcPr>
          <w:p w14:paraId="3AA030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color w:val="000000"/>
                <w:sz w:val="21"/>
                <w:szCs w:val="21"/>
                <w:highlight w:val="none"/>
                <w:lang w:val="en-US" w:eastAsia="zh-CN" w:bidi="ar"/>
              </w:rPr>
              <w:t>经厂内污水处理站进行处理，处理后回用于厂区车间地面冲洗</w:t>
            </w:r>
          </w:p>
        </w:tc>
        <w:tc>
          <w:tcPr>
            <w:tcW w:w="2455" w:type="dxa"/>
            <w:shd w:val="clear" w:color="auto" w:fill="auto"/>
            <w:noWrap w:val="0"/>
            <w:vAlign w:val="center"/>
          </w:tcPr>
          <w:p w14:paraId="0D4C9F4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color w:val="000000"/>
                <w:sz w:val="21"/>
                <w:szCs w:val="21"/>
                <w:highlight w:val="none"/>
                <w:lang w:val="zh-CN" w:eastAsia="zh-CN" w:bidi="ar"/>
              </w:rPr>
              <w:t>《污水综合排放标准》（GB 8978-1996）</w:t>
            </w:r>
            <w:r>
              <w:rPr>
                <w:rFonts w:hint="default" w:ascii="Times New Roman" w:hAnsi="Times New Roman" w:eastAsia="宋体" w:cs="Times New Roman"/>
                <w:color w:val="000000"/>
                <w:sz w:val="21"/>
                <w:szCs w:val="21"/>
                <w:highlight w:val="none"/>
                <w:lang w:val="en-US" w:eastAsia="zh-CN" w:bidi="ar"/>
              </w:rPr>
              <w:t>表1第一类污染物最高允许排放浓度以及《城市污水再生利用 城市杂用水水质》</w:t>
            </w:r>
            <w:r>
              <w:rPr>
                <w:rFonts w:hint="default" w:ascii="Times New Roman" w:hAnsi="Times New Roman" w:cs="Times New Roman"/>
                <w:color w:val="000000"/>
                <w:sz w:val="21"/>
                <w:szCs w:val="21"/>
                <w:highlight w:val="none"/>
                <w:lang w:val="en-US" w:eastAsia="zh-CN" w:bidi="ar"/>
              </w:rPr>
              <w:t>（</w:t>
            </w:r>
            <w:r>
              <w:rPr>
                <w:rFonts w:hint="default" w:ascii="Times New Roman" w:hAnsi="Times New Roman" w:eastAsia="宋体" w:cs="Times New Roman"/>
                <w:color w:val="000000"/>
                <w:sz w:val="21"/>
                <w:szCs w:val="21"/>
                <w:highlight w:val="none"/>
                <w:lang w:val="en-US" w:eastAsia="zh-CN" w:bidi="ar"/>
              </w:rPr>
              <w:t>GB/T 18920-2020</w:t>
            </w:r>
            <w:r>
              <w:rPr>
                <w:rFonts w:hint="eastAsia" w:cs="Times New Roman"/>
                <w:color w:val="000000"/>
                <w:sz w:val="21"/>
                <w:szCs w:val="21"/>
                <w:highlight w:val="none"/>
                <w:lang w:val="en-US" w:eastAsia="zh-CN" w:bidi="ar"/>
              </w:rPr>
              <w:t>）</w:t>
            </w:r>
            <w:r>
              <w:rPr>
                <w:rFonts w:hint="default" w:ascii="Times New Roman" w:hAnsi="Times New Roman" w:eastAsia="宋体" w:cs="Times New Roman"/>
                <w:color w:val="000000"/>
                <w:sz w:val="21"/>
                <w:szCs w:val="21"/>
                <w:highlight w:val="none"/>
                <w:lang w:val="en-US" w:eastAsia="zh-CN" w:bidi="ar"/>
              </w:rPr>
              <w:t xml:space="preserve"> 表1标准</w:t>
            </w:r>
          </w:p>
        </w:tc>
      </w:tr>
      <w:tr w14:paraId="4FED8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16" w:type="dxa"/>
            <w:vMerge w:val="continue"/>
            <w:shd w:val="clear" w:color="auto" w:fill="auto"/>
            <w:noWrap w:val="0"/>
            <w:vAlign w:val="center"/>
          </w:tcPr>
          <w:p w14:paraId="1AA2DB6A">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44" w:type="dxa"/>
            <w:shd w:val="clear" w:color="auto" w:fill="auto"/>
            <w:noWrap w:val="0"/>
            <w:vAlign w:val="center"/>
          </w:tcPr>
          <w:p w14:paraId="257998C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生活污水</w:t>
            </w:r>
          </w:p>
        </w:tc>
        <w:tc>
          <w:tcPr>
            <w:tcW w:w="1138" w:type="dxa"/>
            <w:shd w:val="clear" w:color="auto" w:fill="auto"/>
            <w:noWrap w:val="0"/>
            <w:vAlign w:val="center"/>
          </w:tcPr>
          <w:p w14:paraId="7DB59E3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COD、BOD5、SS、</w:t>
            </w:r>
            <w:r>
              <w:rPr>
                <w:rFonts w:hint="default" w:ascii="Times New Roman" w:hAnsi="Times New Roman" w:eastAsia="宋体" w:cs="Times New Roman"/>
                <w:b w:val="0"/>
                <w:bCs/>
                <w:color w:val="auto"/>
                <w:sz w:val="21"/>
                <w:szCs w:val="21"/>
                <w:highlight w:val="none"/>
                <w:lang w:val="zh-CN" w:eastAsia="zh-CN"/>
              </w:rPr>
              <w:t>氨氮</w:t>
            </w:r>
          </w:p>
        </w:tc>
        <w:tc>
          <w:tcPr>
            <w:tcW w:w="2447" w:type="dxa"/>
            <w:shd w:val="clear" w:color="auto" w:fill="auto"/>
            <w:noWrap w:val="0"/>
            <w:vAlign w:val="center"/>
          </w:tcPr>
          <w:p w14:paraId="283A7AA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排入</w:t>
            </w:r>
            <w:r>
              <w:rPr>
                <w:rFonts w:hint="eastAsia" w:cs="Times New Roman"/>
                <w:b w:val="0"/>
                <w:bCs/>
                <w:color w:val="auto"/>
                <w:sz w:val="21"/>
                <w:szCs w:val="21"/>
                <w:highlight w:val="none"/>
                <w:lang w:val="en-US" w:eastAsia="zh-CN"/>
              </w:rPr>
              <w:t>园区</w:t>
            </w:r>
            <w:r>
              <w:rPr>
                <w:rFonts w:hint="default" w:ascii="Times New Roman" w:hAnsi="Times New Roman" w:eastAsia="宋体" w:cs="Times New Roman"/>
                <w:b w:val="0"/>
                <w:bCs/>
                <w:color w:val="auto"/>
                <w:sz w:val="21"/>
                <w:szCs w:val="21"/>
                <w:highlight w:val="none"/>
                <w:lang w:val="en-US" w:eastAsia="zh-CN"/>
              </w:rPr>
              <w:t>污水管网</w:t>
            </w:r>
          </w:p>
        </w:tc>
        <w:tc>
          <w:tcPr>
            <w:tcW w:w="2455" w:type="dxa"/>
            <w:shd w:val="clear" w:color="auto" w:fill="auto"/>
            <w:noWrap w:val="0"/>
            <w:vAlign w:val="center"/>
          </w:tcPr>
          <w:p w14:paraId="028F01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《污水综合排放标准》</w:t>
            </w:r>
          </w:p>
          <w:p w14:paraId="6072E8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GB8978-1996</w:t>
            </w:r>
            <w:r>
              <w:rPr>
                <w:rFonts w:hint="default" w:ascii="Times New Roman" w:hAnsi="Times New Roman" w:cs="Times New Roman"/>
                <w:color w:val="000000"/>
                <w:sz w:val="21"/>
                <w:szCs w:val="21"/>
                <w:highlight w:val="none"/>
                <w:lang w:val="en-US" w:eastAsia="zh-CN"/>
              </w:rPr>
              <w:t>）三级</w:t>
            </w:r>
            <w:r>
              <w:rPr>
                <w:rFonts w:hint="default" w:ascii="Times New Roman" w:hAnsi="Times New Roman" w:eastAsia="宋体" w:cs="Times New Roman"/>
                <w:color w:val="000000"/>
                <w:sz w:val="21"/>
                <w:szCs w:val="21"/>
                <w:highlight w:val="none"/>
                <w:lang w:val="en-US" w:eastAsia="zh-CN"/>
              </w:rPr>
              <w:t>标准要求及开发区污水处理厂进水水质要求</w:t>
            </w:r>
          </w:p>
        </w:tc>
      </w:tr>
      <w:tr w14:paraId="60ABF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1116" w:type="dxa"/>
            <w:shd w:val="clear" w:color="auto" w:fill="auto"/>
            <w:noWrap w:val="0"/>
            <w:vAlign w:val="center"/>
          </w:tcPr>
          <w:p w14:paraId="59DD4820">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声环境</w:t>
            </w:r>
          </w:p>
        </w:tc>
        <w:tc>
          <w:tcPr>
            <w:tcW w:w="1644" w:type="dxa"/>
            <w:shd w:val="clear" w:color="auto" w:fill="auto"/>
            <w:noWrap w:val="0"/>
            <w:vAlign w:val="center"/>
          </w:tcPr>
          <w:p w14:paraId="517E240F">
            <w:pPr>
              <w:keepNext w:val="0"/>
              <w:keepLines w:val="0"/>
              <w:pageBreakBefore w:val="0"/>
              <w:suppressLineNumbers w:val="0"/>
              <w:wordWrap/>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auto"/>
                <w:sz w:val="21"/>
                <w:szCs w:val="21"/>
                <w:highlight w:val="none"/>
                <w:lang w:val="en-US" w:eastAsia="zh-CN"/>
              </w:rPr>
              <w:t>生产设备</w:t>
            </w:r>
          </w:p>
        </w:tc>
        <w:tc>
          <w:tcPr>
            <w:tcW w:w="1138" w:type="dxa"/>
            <w:shd w:val="clear" w:color="auto" w:fill="auto"/>
            <w:noWrap w:val="0"/>
            <w:vAlign w:val="center"/>
          </w:tcPr>
          <w:p w14:paraId="5D234EC2">
            <w:pPr>
              <w:keepNext w:val="0"/>
              <w:keepLines w:val="0"/>
              <w:pageBreakBefore w:val="0"/>
              <w:suppressLineNumbers w:val="0"/>
              <w:wordWrap/>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auto"/>
                <w:sz w:val="21"/>
                <w:szCs w:val="21"/>
                <w:highlight w:val="none"/>
                <w:lang w:val="en-US" w:eastAsia="zh-CN"/>
              </w:rPr>
              <w:t>噪声</w:t>
            </w:r>
          </w:p>
        </w:tc>
        <w:tc>
          <w:tcPr>
            <w:tcW w:w="2447" w:type="dxa"/>
            <w:shd w:val="clear" w:color="auto" w:fill="auto"/>
            <w:noWrap w:val="0"/>
            <w:vAlign w:val="center"/>
          </w:tcPr>
          <w:p w14:paraId="2788FAD8">
            <w:pPr>
              <w:keepNext w:val="0"/>
              <w:keepLines w:val="0"/>
              <w:pageBreakBefore w:val="0"/>
              <w:suppressLineNumbers w:val="0"/>
              <w:wordWrap/>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lang w:val="en-US" w:eastAsia="zh-CN"/>
              </w:rPr>
              <w:t>厂房隔声、</w:t>
            </w:r>
            <w:r>
              <w:rPr>
                <w:rFonts w:hint="default" w:ascii="Times New Roman" w:hAnsi="Times New Roman" w:eastAsia="宋体" w:cs="Times New Roman"/>
                <w:color w:val="auto"/>
                <w:sz w:val="21"/>
                <w:szCs w:val="21"/>
                <w:highlight w:val="none"/>
              </w:rPr>
              <w:t>基础减振</w:t>
            </w:r>
            <w:r>
              <w:rPr>
                <w:rFonts w:hint="default" w:ascii="Times New Roman" w:hAnsi="Times New Roman" w:eastAsia="宋体" w:cs="Times New Roman"/>
                <w:color w:val="auto"/>
                <w:sz w:val="21"/>
                <w:szCs w:val="21"/>
                <w:highlight w:val="none"/>
                <w:lang w:val="en-US" w:eastAsia="zh-CN"/>
              </w:rPr>
              <w:t>等措施</w:t>
            </w:r>
          </w:p>
        </w:tc>
        <w:tc>
          <w:tcPr>
            <w:tcW w:w="2455" w:type="dxa"/>
            <w:shd w:val="clear" w:color="auto" w:fill="auto"/>
            <w:noWrap w:val="0"/>
            <w:vAlign w:val="center"/>
          </w:tcPr>
          <w:p w14:paraId="687AB63F">
            <w:pPr>
              <w:keepNext w:val="0"/>
              <w:keepLines w:val="0"/>
              <w:pageBreakBefore w:val="0"/>
              <w:suppressLineNumbers w:val="0"/>
              <w:wordWrap/>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rPr>
              <w:t>厂</w:t>
            </w:r>
            <w:r>
              <w:rPr>
                <w:rFonts w:hint="default" w:ascii="Times New Roman" w:hAnsi="Times New Roman" w:eastAsia="宋体" w:cs="Times New Roman"/>
                <w:color w:val="auto"/>
                <w:sz w:val="21"/>
                <w:szCs w:val="21"/>
                <w:highlight w:val="none"/>
                <w:lang w:val="en-US" w:eastAsia="zh-CN"/>
              </w:rPr>
              <w:t>界噪声执行</w:t>
            </w:r>
            <w:r>
              <w:rPr>
                <w:rFonts w:hint="default" w:ascii="Times New Roman" w:hAnsi="Times New Roman" w:eastAsia="宋体" w:cs="Times New Roman"/>
                <w:color w:val="auto"/>
                <w:sz w:val="21"/>
                <w:szCs w:val="21"/>
                <w:highlight w:val="none"/>
              </w:rPr>
              <w:t>《工业企业厂界环境噪声排放标准》</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 12348 -2008</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中</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类标准，昼间6</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dB</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，夜间5</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dB</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eastAsia="宋体" w:cs="Times New Roman"/>
                <w:color w:val="auto"/>
                <w:sz w:val="21"/>
                <w:szCs w:val="21"/>
                <w:highlight w:val="none"/>
                <w:lang w:eastAsia="zh-CN"/>
              </w:rPr>
              <w:t>)</w:t>
            </w:r>
          </w:p>
        </w:tc>
      </w:tr>
      <w:tr w14:paraId="420BA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16" w:type="dxa"/>
            <w:shd w:val="clear" w:color="auto" w:fill="auto"/>
            <w:noWrap w:val="0"/>
            <w:vAlign w:val="center"/>
          </w:tcPr>
          <w:p w14:paraId="0092131F">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电磁辐射</w:t>
            </w:r>
          </w:p>
        </w:tc>
        <w:tc>
          <w:tcPr>
            <w:tcW w:w="1644" w:type="dxa"/>
            <w:shd w:val="clear" w:color="auto" w:fill="auto"/>
            <w:noWrap w:val="0"/>
            <w:vAlign w:val="center"/>
          </w:tcPr>
          <w:p w14:paraId="506C740F">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138" w:type="dxa"/>
            <w:shd w:val="clear" w:color="auto" w:fill="auto"/>
            <w:noWrap w:val="0"/>
            <w:vAlign w:val="center"/>
          </w:tcPr>
          <w:p w14:paraId="5D99B7C0">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2447" w:type="dxa"/>
            <w:shd w:val="clear" w:color="auto" w:fill="auto"/>
            <w:noWrap w:val="0"/>
            <w:vAlign w:val="center"/>
          </w:tcPr>
          <w:p w14:paraId="031EE0E7">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2455" w:type="dxa"/>
            <w:shd w:val="clear" w:color="auto" w:fill="auto"/>
            <w:noWrap w:val="0"/>
            <w:vAlign w:val="center"/>
          </w:tcPr>
          <w:p w14:paraId="7F5ED021">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6E060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116" w:type="dxa"/>
            <w:shd w:val="clear" w:color="auto" w:fill="auto"/>
            <w:noWrap w:val="0"/>
            <w:vAlign w:val="center"/>
          </w:tcPr>
          <w:p w14:paraId="58A5932B">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固体废物</w:t>
            </w:r>
          </w:p>
        </w:tc>
        <w:tc>
          <w:tcPr>
            <w:tcW w:w="7684" w:type="dxa"/>
            <w:gridSpan w:val="4"/>
            <w:shd w:val="clear" w:color="auto" w:fill="auto"/>
            <w:noWrap w:val="0"/>
            <w:vAlign w:val="center"/>
          </w:tcPr>
          <w:p w14:paraId="4809F9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一般固体废物：除尘灰、洗车</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沉泥</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废布袋、废包装物</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回用于生产。</w:t>
            </w:r>
          </w:p>
          <w:p w14:paraId="0588BB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危险废物：项目产生的危险废物主要包括废润滑油、废液压油、废油桶</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、废活性炭、污泥、废滤膜、废试剂、废试剂瓶、废催化剂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，收集后暂</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存</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于危废间，定期交有资质单位处置。</w:t>
            </w:r>
          </w:p>
          <w:p w14:paraId="5E6945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left"/>
              <w:textAlignment w:val="auto"/>
              <w:rPr>
                <w:rFonts w:hint="default" w:ascii="Times New Roman" w:hAnsi="Times New Roman" w:cs="Times New Roman"/>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生活垃圾送环卫部门指定地点，统一处理</w:t>
            </w:r>
            <w:r>
              <w:rPr>
                <w:rFonts w:hint="eastAsia" w:cs="Times New Roman"/>
                <w:color w:val="000000" w:themeColor="text1"/>
                <w:sz w:val="21"/>
                <w:szCs w:val="21"/>
                <w:highlight w:val="none"/>
                <w:lang w:val="en-US" w:eastAsia="zh-CN"/>
                <w14:textFill>
                  <w14:solidFill>
                    <w14:schemeClr w14:val="tx1"/>
                  </w14:solidFill>
                </w14:textFill>
              </w:rPr>
              <w:t>。</w:t>
            </w:r>
          </w:p>
        </w:tc>
      </w:tr>
      <w:tr w14:paraId="54331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16" w:type="dxa"/>
            <w:shd w:val="clear" w:color="auto" w:fill="auto"/>
            <w:noWrap w:val="0"/>
            <w:vAlign w:val="center"/>
          </w:tcPr>
          <w:p w14:paraId="5EF70581">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土壤及地下水污染防治措施</w:t>
            </w:r>
          </w:p>
        </w:tc>
        <w:tc>
          <w:tcPr>
            <w:tcW w:w="7684" w:type="dxa"/>
            <w:gridSpan w:val="4"/>
            <w:shd w:val="clear" w:color="auto" w:fill="auto"/>
            <w:noWrap w:val="0"/>
            <w:vAlign w:val="center"/>
          </w:tcPr>
          <w:p w14:paraId="4B989F0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（1）重点防渗区</w:t>
            </w:r>
          </w:p>
          <w:p w14:paraId="23B186D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 w:val="21"/>
                <w:szCs w:val="21"/>
                <w:highlight w:val="none"/>
              </w:rPr>
              <w:t>危废间：按照《危险废物贮存污染控制标准》的相关要求</w:t>
            </w:r>
            <w:r>
              <w:rPr>
                <w:rFonts w:hint="eastAsia" w:cs="Times New Roman"/>
                <w:color w:val="auto"/>
                <w:sz w:val="21"/>
                <w:szCs w:val="21"/>
                <w:highlight w:val="none"/>
                <w:lang w:eastAsia="zh-CN"/>
              </w:rPr>
              <w:t>，对</w:t>
            </w:r>
            <w:r>
              <w:rPr>
                <w:rFonts w:hint="default" w:ascii="Times New Roman" w:hAnsi="Times New Roman" w:cs="Times New Roman"/>
                <w:color w:val="auto"/>
                <w:sz w:val="21"/>
                <w:szCs w:val="21"/>
                <w:highlight w:val="none"/>
              </w:rPr>
              <w:t>危废间地面和裙角进行防腐防渗处理，</w:t>
            </w:r>
            <w:r>
              <w:rPr>
                <w:rFonts w:hint="default" w:ascii="Times New Roman" w:hAnsi="Times New Roman" w:cs="Times New Roman"/>
                <w:color w:val="auto"/>
                <w:kern w:val="24"/>
                <w:sz w:val="21"/>
                <w:szCs w:val="21"/>
                <w:highlight w:val="none"/>
              </w:rPr>
              <w:t>渗透系数≤10</w:t>
            </w:r>
            <w:r>
              <w:rPr>
                <w:rFonts w:hint="default" w:ascii="Times New Roman" w:hAnsi="Times New Roman" w:cs="Times New Roman"/>
                <w:color w:val="auto"/>
                <w:kern w:val="24"/>
                <w:sz w:val="21"/>
                <w:szCs w:val="21"/>
                <w:highlight w:val="none"/>
                <w:vertAlign w:val="superscript"/>
              </w:rPr>
              <w:t>-10</w:t>
            </w:r>
            <w:r>
              <w:rPr>
                <w:rFonts w:hint="default" w:ascii="Times New Roman" w:hAnsi="Times New Roman" w:cs="Times New Roman"/>
                <w:color w:val="auto"/>
                <w:kern w:val="24"/>
                <w:sz w:val="21"/>
                <w:szCs w:val="21"/>
                <w:highlight w:val="none"/>
              </w:rPr>
              <w:t>cm/s。</w:t>
            </w:r>
            <w:r>
              <w:rPr>
                <w:rFonts w:hint="default" w:ascii="Times New Roman" w:hAnsi="Times New Roman" w:cs="Times New Roman"/>
                <w:color w:val="auto"/>
                <w:kern w:val="24"/>
                <w:sz w:val="21"/>
                <w:szCs w:val="21"/>
                <w:highlight w:val="none"/>
                <w:lang w:val="en-US" w:eastAsia="zh-CN"/>
              </w:rPr>
              <w:t>污水处理站、湿料库、发酵池地面</w:t>
            </w:r>
            <w:r>
              <w:rPr>
                <w:rFonts w:hint="default" w:ascii="Times New Roman" w:hAnsi="Times New Roman" w:cs="Times New Roman"/>
                <w:color w:val="auto"/>
                <w:sz w:val="21"/>
                <w:szCs w:val="21"/>
                <w:highlight w:val="none"/>
              </w:rPr>
              <w:t>防腐防渗处理，</w:t>
            </w:r>
            <w:r>
              <w:rPr>
                <w:rFonts w:hint="default" w:ascii="Times New Roman" w:hAnsi="Times New Roman" w:cs="Times New Roman"/>
                <w:color w:val="auto"/>
                <w:kern w:val="24"/>
                <w:sz w:val="21"/>
                <w:szCs w:val="21"/>
                <w:highlight w:val="none"/>
              </w:rPr>
              <w:t>渗透系数≤10</w:t>
            </w:r>
            <w:r>
              <w:rPr>
                <w:rFonts w:hint="default" w:ascii="Times New Roman" w:hAnsi="Times New Roman" w:cs="Times New Roman"/>
                <w:color w:val="auto"/>
                <w:kern w:val="24"/>
                <w:sz w:val="21"/>
                <w:szCs w:val="21"/>
                <w:highlight w:val="none"/>
                <w:vertAlign w:val="superscript"/>
              </w:rPr>
              <w:t>-</w:t>
            </w:r>
            <w:r>
              <w:rPr>
                <w:rFonts w:hint="default" w:ascii="Times New Roman" w:hAnsi="Times New Roman" w:cs="Times New Roman"/>
                <w:color w:val="auto"/>
                <w:kern w:val="24"/>
                <w:sz w:val="21"/>
                <w:szCs w:val="21"/>
                <w:highlight w:val="none"/>
                <w:vertAlign w:val="superscript"/>
                <w:lang w:val="en-US" w:eastAsia="zh-CN"/>
              </w:rPr>
              <w:t>7</w:t>
            </w:r>
            <w:r>
              <w:rPr>
                <w:rFonts w:hint="default" w:ascii="Times New Roman" w:hAnsi="Times New Roman" w:cs="Times New Roman"/>
                <w:color w:val="auto"/>
                <w:kern w:val="24"/>
                <w:sz w:val="21"/>
                <w:szCs w:val="21"/>
                <w:highlight w:val="none"/>
              </w:rPr>
              <w:t>cm/s。</w:t>
            </w:r>
          </w:p>
          <w:p w14:paraId="552B156B">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（2）一般防渗区</w:t>
            </w:r>
          </w:p>
          <w:p w14:paraId="686CF1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lang w:val="en-US" w:eastAsia="zh-CN"/>
              </w:rPr>
              <w:t>生产车间除重点防渗区外均为一般防渗区，</w:t>
            </w:r>
            <w:r>
              <w:rPr>
                <w:rFonts w:hint="default" w:ascii="Times New Roman" w:hAnsi="Times New Roman" w:eastAsia="宋体" w:cs="Times New Roman"/>
                <w:color w:val="auto"/>
                <w:sz w:val="21"/>
                <w:szCs w:val="21"/>
                <w:highlight w:val="none"/>
              </w:rPr>
              <w:t>地面采用抗渗混凝土进行硬化，渗透系数≤1×10</w:t>
            </w:r>
            <w:r>
              <w:rPr>
                <w:rFonts w:hint="default" w:ascii="Times New Roman" w:hAnsi="Times New Roman" w:eastAsia="宋体" w:cs="Times New Roman"/>
                <w:color w:val="auto"/>
                <w:sz w:val="21"/>
                <w:szCs w:val="21"/>
                <w:highlight w:val="none"/>
                <w:vertAlign w:val="superscript"/>
              </w:rPr>
              <w:t>-7</w:t>
            </w:r>
            <w:r>
              <w:rPr>
                <w:rFonts w:hint="default" w:ascii="Times New Roman" w:hAnsi="Times New Roman" w:eastAsia="宋体" w:cs="Times New Roman"/>
                <w:color w:val="auto"/>
                <w:sz w:val="21"/>
                <w:szCs w:val="21"/>
                <w:highlight w:val="none"/>
              </w:rPr>
              <w:t>cm/s。</w:t>
            </w:r>
          </w:p>
        </w:tc>
      </w:tr>
      <w:tr w14:paraId="76813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16" w:type="dxa"/>
            <w:shd w:val="clear" w:color="auto" w:fill="auto"/>
            <w:noWrap w:val="0"/>
            <w:vAlign w:val="center"/>
          </w:tcPr>
          <w:p w14:paraId="6D48AC67">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生态保护措施</w:t>
            </w:r>
          </w:p>
        </w:tc>
        <w:tc>
          <w:tcPr>
            <w:tcW w:w="7684" w:type="dxa"/>
            <w:gridSpan w:val="4"/>
            <w:shd w:val="clear" w:color="auto" w:fill="auto"/>
            <w:noWrap w:val="0"/>
            <w:vAlign w:val="center"/>
          </w:tcPr>
          <w:p w14:paraId="7B3548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sz w:val="21"/>
                <w:szCs w:val="21"/>
                <w:highlight w:val="none"/>
                <w:lang w:val="en-US" w:eastAsia="zh-CN"/>
              </w:rPr>
              <w:t>本项目</w:t>
            </w:r>
            <w:r>
              <w:rPr>
                <w:rFonts w:hint="default" w:ascii="Times New Roman" w:hAnsi="Times New Roman" w:eastAsia="宋体" w:cs="Times New Roman"/>
                <w:color w:val="000000"/>
                <w:sz w:val="21"/>
                <w:szCs w:val="21"/>
                <w:highlight w:val="none"/>
              </w:rPr>
              <w:t>对生态的影响主要为建设施工</w:t>
            </w:r>
            <w:r>
              <w:rPr>
                <w:rFonts w:hint="default" w:ascii="Times New Roman" w:hAnsi="Times New Roman" w:eastAsia="宋体" w:cs="Times New Roman"/>
                <w:color w:val="000000"/>
                <w:sz w:val="21"/>
                <w:szCs w:val="21"/>
                <w:highlight w:val="none"/>
                <w:lang w:val="en-US" w:eastAsia="zh-CN"/>
              </w:rPr>
              <w:t>过程</w:t>
            </w:r>
            <w:r>
              <w:rPr>
                <w:rFonts w:hint="default" w:ascii="Times New Roman" w:hAnsi="Times New Roman" w:eastAsia="宋体" w:cs="Times New Roman"/>
                <w:color w:val="000000"/>
                <w:sz w:val="21"/>
                <w:szCs w:val="21"/>
                <w:highlight w:val="none"/>
              </w:rPr>
              <w:t>引起土壤松动和水土流失，项目建成后采取地面硬化、绿化等措施，可有效减少水土流失，对生态环境具有一定的改善作用，对区域生态环境影响较小。</w:t>
            </w:r>
          </w:p>
        </w:tc>
      </w:tr>
      <w:tr w14:paraId="44308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116" w:type="dxa"/>
            <w:shd w:val="clear" w:color="auto" w:fill="auto"/>
            <w:noWrap w:val="0"/>
            <w:vAlign w:val="center"/>
          </w:tcPr>
          <w:p w14:paraId="3DAF1143">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环境风险防范措施</w:t>
            </w:r>
          </w:p>
        </w:tc>
        <w:tc>
          <w:tcPr>
            <w:tcW w:w="7684" w:type="dxa"/>
            <w:gridSpan w:val="4"/>
            <w:shd w:val="clear" w:color="auto" w:fill="auto"/>
            <w:noWrap w:val="0"/>
            <w:vAlign w:val="center"/>
          </w:tcPr>
          <w:p w14:paraId="4C1493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危废间地面做相应防腐防渗处理，渗透系数不大于1</w:t>
            </w:r>
            <w:r>
              <w:rPr>
                <w:rFonts w:hint="default" w:ascii="Times New Roman" w:hAnsi="Times New Roman" w:eastAsia="宋体" w:cs="Times New Roman"/>
                <w:color w:val="000000" w:themeColor="text1"/>
                <w:sz w:val="21"/>
                <w:szCs w:val="21"/>
                <w:highlight w:val="none"/>
                <w:vertAlign w:val="baseline"/>
                <w:lang w:val="en-US"/>
                <w14:textFill>
                  <w14:solidFill>
                    <w14:schemeClr w14:val="tx1"/>
                  </w14:solidFill>
                </w14:textFill>
              </w:rPr>
              <w:t>0</w:t>
            </w:r>
            <w:r>
              <w:rPr>
                <w:rFonts w:hint="default" w:ascii="Times New Roman" w:hAnsi="Times New Roman" w:eastAsia="宋体" w:cs="Times New Roman"/>
                <w:color w:val="000000" w:themeColor="text1"/>
                <w:sz w:val="21"/>
                <w:szCs w:val="21"/>
                <w:highlight w:val="none"/>
                <w:vertAlign w:val="superscript"/>
                <w:lang w:val="en-US"/>
                <w14:textFill>
                  <w14:solidFill>
                    <w14:schemeClr w14:val="tx1"/>
                  </w14:solidFill>
                </w14:textFill>
              </w:rPr>
              <w:t>-10</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cm/s，</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危险废物</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分类收集，加盖封装于密闭桶内，如果发生泄漏事故，确保风险物质不会溢流出上述区域，避免对水环境、土壤和大气环境造成影响。</w:t>
            </w:r>
          </w:p>
        </w:tc>
      </w:tr>
      <w:tr w14:paraId="03FBB0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16" w:type="dxa"/>
            <w:shd w:val="clear" w:color="auto" w:fill="auto"/>
            <w:noWrap w:val="0"/>
            <w:vAlign w:val="center"/>
          </w:tcPr>
          <w:p w14:paraId="7B8D53FF">
            <w:pPr>
              <w:keepNext w:val="0"/>
              <w:keepLines w:val="0"/>
              <w:pageBreakBefore w:val="0"/>
              <w:suppressLineNumbers w:val="0"/>
              <w:wordWrap/>
              <w:bidi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其他环境管理要求</w:t>
            </w:r>
          </w:p>
        </w:tc>
        <w:tc>
          <w:tcPr>
            <w:tcW w:w="7684" w:type="dxa"/>
            <w:gridSpan w:val="4"/>
            <w:shd w:val="clear" w:color="auto" w:fill="auto"/>
            <w:noWrap w:val="0"/>
            <w:vAlign w:val="center"/>
          </w:tcPr>
          <w:p w14:paraId="1E9C9B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1、环境管理要求</w:t>
            </w:r>
          </w:p>
          <w:p w14:paraId="467F8C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为保证企业污染物稳定达标排放，尽可能降低对周边环境的影响，在采取环保治理工程措施的同时，必须加强软件建设，制定全面的企业环境管理计划，保证环境保护制度化和系统化，保证企业环保工作持久开展，保证企业能够持续发展生产。</w:t>
            </w:r>
          </w:p>
          <w:p w14:paraId="23857B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（1）根据国家有关规定，该单位工程项目环保管理工作实行企业法人负责制，并配备专职人员1名，负责厂区环境保护监督管理工作，同时要加强对管理人员的环保培训，不断提高管理水平。</w:t>
            </w:r>
          </w:p>
          <w:p w14:paraId="46BA8D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（2）污染处理设施的管理必须与生产经营活动一起纳入企业日常管理工作的范畴，落实责任人。同时要建立岗位责任制、制定操作规程、建立</w:t>
            </w:r>
            <w:r>
              <w:rPr>
                <w:rFonts w:hint="eastAsia" w:cs="Times New Roman"/>
                <w:color w:val="000000"/>
                <w:sz w:val="21"/>
                <w:szCs w:val="21"/>
                <w:highlight w:val="none"/>
                <w:lang w:val="en-US" w:eastAsia="zh-CN"/>
              </w:rPr>
              <w:t>管理台账</w:t>
            </w:r>
            <w:r>
              <w:rPr>
                <w:rFonts w:hint="default" w:ascii="Times New Roman" w:hAnsi="Times New Roman" w:eastAsia="宋体" w:cs="Times New Roman"/>
                <w:color w:val="000000"/>
                <w:sz w:val="21"/>
                <w:szCs w:val="21"/>
                <w:highlight w:val="none"/>
                <w:lang w:val="en-US" w:eastAsia="zh-CN"/>
              </w:rPr>
              <w:t>。</w:t>
            </w:r>
          </w:p>
          <w:p w14:paraId="613CB0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（3）按照《突发环境事件应急预案管理办法》和相关预案编制指南的要求编制《企业突发环境事件应急预案》。</w:t>
            </w:r>
          </w:p>
          <w:p w14:paraId="7D087C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（4）排污口规范化管理</w:t>
            </w:r>
          </w:p>
          <w:p w14:paraId="579CC7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排污口是企业污染物进入受纳环境的通道，做好排污口管理是实施污染物总量控制和达标排放的基础工作之—，必须实行规范化管理。</w:t>
            </w:r>
          </w:p>
          <w:p w14:paraId="360663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①排污口的设置</w:t>
            </w:r>
          </w:p>
          <w:p w14:paraId="3FDBA1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废气：本项目设置</w:t>
            </w:r>
            <w:r>
              <w:rPr>
                <w:rFonts w:hint="default" w:ascii="Times New Roman" w:hAnsi="Times New Roman" w:cs="Times New Roman"/>
                <w:color w:val="000000"/>
                <w:sz w:val="21"/>
                <w:szCs w:val="21"/>
                <w:highlight w:val="none"/>
                <w:lang w:val="en-US" w:eastAsia="zh-CN"/>
              </w:rPr>
              <w:t>4</w:t>
            </w:r>
            <w:r>
              <w:rPr>
                <w:rFonts w:hint="default" w:ascii="Times New Roman" w:hAnsi="Times New Roman" w:eastAsia="宋体" w:cs="Times New Roman"/>
                <w:color w:val="000000"/>
                <w:sz w:val="21"/>
                <w:szCs w:val="21"/>
                <w:highlight w:val="none"/>
                <w:lang w:val="en-US" w:eastAsia="zh-CN"/>
              </w:rPr>
              <w:t>个废气排放口。</w:t>
            </w:r>
          </w:p>
          <w:p w14:paraId="3FC947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废水：无废水排放口。</w:t>
            </w:r>
          </w:p>
          <w:p w14:paraId="169B67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②排污口规范化设置要求</w:t>
            </w:r>
          </w:p>
          <w:p w14:paraId="1A921D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规范排污口设置及</w:t>
            </w:r>
            <w:r>
              <w:rPr>
                <w:rFonts w:hint="eastAsia" w:cs="Times New Roman"/>
                <w:color w:val="000000"/>
                <w:sz w:val="21"/>
                <w:szCs w:val="21"/>
                <w:highlight w:val="none"/>
                <w:lang w:val="en-US" w:eastAsia="zh-CN"/>
              </w:rPr>
              <w:t>标识</w:t>
            </w:r>
            <w:r>
              <w:rPr>
                <w:rFonts w:hint="default" w:ascii="Times New Roman" w:hAnsi="Times New Roman" w:eastAsia="宋体" w:cs="Times New Roman"/>
                <w:color w:val="000000"/>
                <w:sz w:val="21"/>
                <w:szCs w:val="21"/>
                <w:highlight w:val="none"/>
                <w:lang w:val="en-US" w:eastAsia="zh-CN"/>
              </w:rPr>
              <w:t>标牌，按污染源监测计划实施定期监测，设置单独的电表，对环保设备进行分表计电。</w:t>
            </w:r>
          </w:p>
          <w:p w14:paraId="5F7451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A 在高噪声污染源处设置环境保护图形标志牌</w:t>
            </w:r>
            <w:r>
              <w:rPr>
                <w:rFonts w:hint="eastAsia" w:cs="Times New Roman"/>
                <w:color w:val="000000"/>
                <w:sz w:val="21"/>
                <w:szCs w:val="21"/>
                <w:highlight w:val="none"/>
                <w:lang w:val="en-US" w:eastAsia="zh-CN"/>
              </w:rPr>
              <w:t>，在</w:t>
            </w:r>
            <w:r>
              <w:rPr>
                <w:rFonts w:hint="default" w:ascii="Times New Roman" w:hAnsi="Times New Roman" w:eastAsia="宋体" w:cs="Times New Roman"/>
                <w:color w:val="000000"/>
                <w:sz w:val="21"/>
                <w:szCs w:val="21"/>
                <w:highlight w:val="none"/>
                <w:lang w:val="en-US" w:eastAsia="zh-CN"/>
              </w:rPr>
              <w:t>固定噪声污染源对厂界影响最大处设置环境噪声监测点，并在该处附近醒目处设置环境保护图形标志牌。</w:t>
            </w:r>
          </w:p>
          <w:p w14:paraId="765C78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B 废气排放口按《环境保护图形标志－排污口</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源</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GBl5562.1－1995）\《排污口规范化整治技术要求（试行）》规定，设置统一制作的环境保护图形标志牌，污染物排放口设置提示性环境保护图形标志牌。并按照“便于采集样品、便于计量监测、便于日常现场监督检查”的原则，设置与之相适应的采样口。</w:t>
            </w:r>
          </w:p>
          <w:p w14:paraId="2F5A3A5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表5-1</w:t>
            </w:r>
            <w:r>
              <w:rPr>
                <w:rFonts w:hint="default" w:ascii="Times New Roman" w:hAnsi="Times New Roman" w:cs="Times New Roman"/>
                <w:b/>
                <w:bCs/>
                <w:color w:val="000000"/>
                <w:sz w:val="21"/>
                <w:szCs w:val="21"/>
                <w:highlight w:val="none"/>
                <w:lang w:val="en-US" w:eastAsia="zh-CN"/>
              </w:rPr>
              <w:t xml:space="preserve">   </w:t>
            </w:r>
            <w:r>
              <w:rPr>
                <w:rFonts w:hint="default" w:ascii="Times New Roman" w:hAnsi="Times New Roman" w:eastAsia="宋体" w:cs="Times New Roman"/>
                <w:b/>
                <w:bCs/>
                <w:color w:val="000000"/>
                <w:sz w:val="21"/>
                <w:szCs w:val="21"/>
                <w:highlight w:val="none"/>
                <w:lang w:val="en-US" w:eastAsia="zh-CN"/>
              </w:rPr>
              <w:t xml:space="preserve"> 排污口规范化要求及环保图形标识</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8"/>
              <w:gridCol w:w="682"/>
              <w:gridCol w:w="733"/>
              <w:gridCol w:w="2829"/>
              <w:gridCol w:w="2622"/>
            </w:tblGrid>
            <w:tr w14:paraId="0852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94" w:type="pct"/>
                  <w:tcBorders>
                    <w:tl2br w:val="nil"/>
                    <w:tr2bl w:val="nil"/>
                  </w:tcBorders>
                  <w:noWrap w:val="0"/>
                  <w:vAlign w:val="center"/>
                </w:tcPr>
                <w:p w14:paraId="70ACC471">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序号</w:t>
                  </w:r>
                </w:p>
              </w:tc>
              <w:tc>
                <w:tcPr>
                  <w:tcW w:w="457" w:type="pct"/>
                  <w:tcBorders>
                    <w:tl2br w:val="nil"/>
                    <w:tr2bl w:val="nil"/>
                  </w:tcBorders>
                  <w:noWrap w:val="0"/>
                  <w:vAlign w:val="center"/>
                </w:tcPr>
                <w:p w14:paraId="44D485E2">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项目</w:t>
                  </w:r>
                </w:p>
              </w:tc>
              <w:tc>
                <w:tcPr>
                  <w:tcW w:w="2389" w:type="pct"/>
                  <w:gridSpan w:val="2"/>
                  <w:tcBorders>
                    <w:tl2br w:val="nil"/>
                    <w:tr2bl w:val="nil"/>
                  </w:tcBorders>
                  <w:noWrap w:val="0"/>
                  <w:vAlign w:val="center"/>
                </w:tcPr>
                <w:p w14:paraId="1B14911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要求</w:t>
                  </w:r>
                </w:p>
              </w:tc>
              <w:tc>
                <w:tcPr>
                  <w:tcW w:w="1758" w:type="pct"/>
                  <w:tcBorders>
                    <w:tl2br w:val="nil"/>
                    <w:tr2bl w:val="nil"/>
                  </w:tcBorders>
                  <w:noWrap w:val="0"/>
                  <w:vAlign w:val="center"/>
                </w:tcPr>
                <w:p w14:paraId="6117A57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环保图形标志</w:t>
                  </w:r>
                </w:p>
              </w:tc>
            </w:tr>
            <w:tr w14:paraId="2242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94" w:type="pct"/>
                  <w:tcBorders>
                    <w:tl2br w:val="nil"/>
                    <w:tr2bl w:val="nil"/>
                  </w:tcBorders>
                  <w:noWrap w:val="0"/>
                  <w:vAlign w:val="center"/>
                </w:tcPr>
                <w:p w14:paraId="1BBD3DC7">
                  <w:pPr>
                    <w:keepNext w:val="0"/>
                    <w:keepLines w:val="0"/>
                    <w:pageBreakBefore w:val="0"/>
                    <w:widowControl w:val="0"/>
                    <w:suppressLineNumbers w:val="0"/>
                    <w:kinsoku/>
                    <w:wordWrap/>
                    <w:overflowPunct/>
                    <w:topLinePunct w:val="0"/>
                    <w:bidi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w:t>
                  </w:r>
                </w:p>
              </w:tc>
              <w:tc>
                <w:tcPr>
                  <w:tcW w:w="457" w:type="pct"/>
                  <w:tcBorders>
                    <w:tl2br w:val="nil"/>
                    <w:tr2bl w:val="nil"/>
                  </w:tcBorders>
                  <w:noWrap w:val="0"/>
                  <w:vAlign w:val="center"/>
                </w:tcPr>
                <w:p w14:paraId="3FAA33B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废气</w:t>
                  </w:r>
                </w:p>
              </w:tc>
              <w:tc>
                <w:tcPr>
                  <w:tcW w:w="2389" w:type="pct"/>
                  <w:gridSpan w:val="2"/>
                  <w:tcBorders>
                    <w:tl2br w:val="nil"/>
                    <w:tr2bl w:val="nil"/>
                  </w:tcBorders>
                  <w:noWrap w:val="0"/>
                  <w:vAlign w:val="center"/>
                </w:tcPr>
                <w:p w14:paraId="0259C4E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left"/>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排气筒应设置便于采样、监测的采样口。采样口的设置应符合《污染源监测技术规范》要求</w:t>
                  </w:r>
                </w:p>
              </w:tc>
              <w:tc>
                <w:tcPr>
                  <w:tcW w:w="1758" w:type="pct"/>
                  <w:tcBorders>
                    <w:tl2br w:val="nil"/>
                    <w:tr2bl w:val="nil"/>
                  </w:tcBorders>
                  <w:noWrap w:val="0"/>
                  <w:vAlign w:val="center"/>
                </w:tcPr>
                <w:p w14:paraId="3545CF2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lang w:eastAsia="zh-CN"/>
                    </w:rPr>
                    <w:drawing>
                      <wp:inline distT="0" distB="0" distL="114300" distR="114300">
                        <wp:extent cx="1666875" cy="1000125"/>
                        <wp:effectExtent l="0" t="0" r="9525" b="9525"/>
                        <wp:docPr id="11" name="图片 5" descr="169112012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1691120128913"/>
                                <pic:cNvPicPr>
                                  <a:picLocks noChangeAspect="1"/>
                                </pic:cNvPicPr>
                              </pic:nvPicPr>
                              <pic:blipFill>
                                <a:blip r:embed="rId30"/>
                                <a:stretch>
                                  <a:fillRect/>
                                </a:stretch>
                              </pic:blipFill>
                              <pic:spPr>
                                <a:xfrm>
                                  <a:off x="0" y="0"/>
                                  <a:ext cx="1666875" cy="1000125"/>
                                </a:xfrm>
                                <a:prstGeom prst="rect">
                                  <a:avLst/>
                                </a:prstGeom>
                                <a:noFill/>
                                <a:ln>
                                  <a:noFill/>
                                </a:ln>
                              </pic:spPr>
                            </pic:pic>
                          </a:graphicData>
                        </a:graphic>
                      </wp:inline>
                    </w:drawing>
                  </w:r>
                </w:p>
              </w:tc>
            </w:tr>
            <w:tr w14:paraId="23D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94" w:type="pct"/>
                  <w:tcBorders>
                    <w:tl2br w:val="nil"/>
                    <w:tr2bl w:val="nil"/>
                  </w:tcBorders>
                  <w:noWrap w:val="0"/>
                  <w:vAlign w:val="center"/>
                </w:tcPr>
                <w:p w14:paraId="737FF5D4">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lang w:val="en-US" w:eastAsia="zh-CN"/>
                    </w:rPr>
                    <w:t>2</w:t>
                  </w:r>
                </w:p>
              </w:tc>
              <w:tc>
                <w:tcPr>
                  <w:tcW w:w="457" w:type="pct"/>
                  <w:tcBorders>
                    <w:tl2br w:val="nil"/>
                    <w:tr2bl w:val="nil"/>
                  </w:tcBorders>
                  <w:noWrap w:val="0"/>
                  <w:vAlign w:val="center"/>
                </w:tcPr>
                <w:p w14:paraId="421C8BA0">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噪声</w:t>
                  </w:r>
                </w:p>
              </w:tc>
              <w:tc>
                <w:tcPr>
                  <w:tcW w:w="2389" w:type="pct"/>
                  <w:gridSpan w:val="2"/>
                  <w:tcBorders>
                    <w:tl2br w:val="nil"/>
                    <w:tr2bl w:val="nil"/>
                  </w:tcBorders>
                  <w:noWrap w:val="0"/>
                  <w:vAlign w:val="center"/>
                </w:tcPr>
                <w:p w14:paraId="29D0CBC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60" w:lineRule="exact"/>
                    <w:ind w:left="0" w:right="0"/>
                    <w:jc w:val="left"/>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应按照《工业企业厂界噪声测量方法》（GB12349）的规定，设置环境噪声监测点，并在该处附近醒目位置设置与之相符的环境保护图形</w:t>
                  </w:r>
                  <w:r>
                    <w:rPr>
                      <w:rFonts w:hint="eastAsia" w:cs="Times New Roman"/>
                      <w:color w:val="000000"/>
                      <w:sz w:val="18"/>
                      <w:szCs w:val="18"/>
                      <w:highlight w:val="none"/>
                      <w:lang w:eastAsia="zh-CN"/>
                    </w:rPr>
                    <w:t>标识牌</w:t>
                  </w:r>
                </w:p>
              </w:tc>
              <w:tc>
                <w:tcPr>
                  <w:tcW w:w="1758" w:type="pct"/>
                  <w:tcBorders>
                    <w:tl2br w:val="nil"/>
                    <w:tr2bl w:val="nil"/>
                  </w:tcBorders>
                  <w:noWrap w:val="0"/>
                  <w:vAlign w:val="center"/>
                </w:tcPr>
                <w:p w14:paraId="1BD69E7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lang w:eastAsia="zh-CN"/>
                    </w:rPr>
                    <w:drawing>
                      <wp:inline distT="0" distB="0" distL="114300" distR="114300">
                        <wp:extent cx="1647825" cy="952500"/>
                        <wp:effectExtent l="0" t="0" r="9525" b="0"/>
                        <wp:docPr id="9" name="图片 6" descr="169112017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1691120174233"/>
                                <pic:cNvPicPr>
                                  <a:picLocks noChangeAspect="1"/>
                                </pic:cNvPicPr>
                              </pic:nvPicPr>
                              <pic:blipFill>
                                <a:blip r:embed="rId31"/>
                                <a:stretch>
                                  <a:fillRect/>
                                </a:stretch>
                              </pic:blipFill>
                              <pic:spPr>
                                <a:xfrm>
                                  <a:off x="0" y="0"/>
                                  <a:ext cx="1647825" cy="952500"/>
                                </a:xfrm>
                                <a:prstGeom prst="rect">
                                  <a:avLst/>
                                </a:prstGeom>
                                <a:noFill/>
                                <a:ln>
                                  <a:noFill/>
                                </a:ln>
                              </pic:spPr>
                            </pic:pic>
                          </a:graphicData>
                        </a:graphic>
                      </wp:inline>
                    </w:drawing>
                  </w:r>
                </w:p>
              </w:tc>
            </w:tr>
            <w:tr w14:paraId="755C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394" w:type="pct"/>
                  <w:tcBorders>
                    <w:tl2br w:val="nil"/>
                    <w:tr2bl w:val="nil"/>
                  </w:tcBorders>
                  <w:noWrap w:val="0"/>
                  <w:vAlign w:val="center"/>
                </w:tcPr>
                <w:p w14:paraId="299A3368">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3</w:t>
                  </w:r>
                </w:p>
              </w:tc>
              <w:tc>
                <w:tcPr>
                  <w:tcW w:w="457" w:type="pct"/>
                  <w:vMerge w:val="restart"/>
                  <w:tcBorders>
                    <w:tl2br w:val="nil"/>
                    <w:tr2bl w:val="nil"/>
                  </w:tcBorders>
                  <w:noWrap w:val="0"/>
                  <w:vAlign w:val="center"/>
                </w:tcPr>
                <w:p w14:paraId="2DA06C78">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固体</w:t>
                  </w:r>
                </w:p>
                <w:p w14:paraId="6EA52D77">
                  <w:pPr>
                    <w:keepNext w:val="0"/>
                    <w:keepLines w:val="0"/>
                    <w:pageBreakBefore w:val="0"/>
                    <w:widowControl w:val="0"/>
                    <w:suppressLineNumbers w:val="0"/>
                    <w:kinsoku/>
                    <w:wordWrap/>
                    <w:overflowPunct/>
                    <w:topLinePunct w:val="0"/>
                    <w:bidi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废物</w:t>
                  </w:r>
                </w:p>
              </w:tc>
              <w:tc>
                <w:tcPr>
                  <w:tcW w:w="2389" w:type="pct"/>
                  <w:gridSpan w:val="2"/>
                  <w:tcBorders>
                    <w:tl2br w:val="nil"/>
                    <w:tr2bl w:val="nil"/>
                  </w:tcBorders>
                  <w:noWrap w:val="0"/>
                  <w:vAlign w:val="center"/>
                </w:tcPr>
                <w:p w14:paraId="1844D39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60" w:lineRule="exact"/>
                    <w:ind w:left="0" w:leftChars="0" w:right="0" w:rightChars="0"/>
                    <w:jc w:val="left"/>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项目一般固体废物应设置专用储存、处置场所。固体废物贮存必须规范化，并设置与之相符的环境保护图形</w:t>
                  </w:r>
                  <w:r>
                    <w:rPr>
                      <w:rFonts w:hint="eastAsia" w:cs="Times New Roman"/>
                      <w:color w:val="000000"/>
                      <w:sz w:val="18"/>
                      <w:szCs w:val="18"/>
                      <w:highlight w:val="none"/>
                      <w:lang w:eastAsia="zh-CN"/>
                    </w:rPr>
                    <w:t>标识牌</w:t>
                  </w:r>
                </w:p>
              </w:tc>
              <w:tc>
                <w:tcPr>
                  <w:tcW w:w="1758" w:type="pct"/>
                  <w:tcBorders>
                    <w:tl2br w:val="nil"/>
                    <w:tr2bl w:val="nil"/>
                  </w:tcBorders>
                  <w:noWrap w:val="0"/>
                  <w:vAlign w:val="center"/>
                </w:tcPr>
                <w:p w14:paraId="16451043">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lang w:eastAsia="zh-CN"/>
                    </w:rPr>
                    <w:drawing>
                      <wp:inline distT="0" distB="0" distL="114300" distR="114300">
                        <wp:extent cx="1571625" cy="971550"/>
                        <wp:effectExtent l="0" t="0" r="9525" b="0"/>
                        <wp:docPr id="7" name="图片 7" descr="169112018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91120181147"/>
                                <pic:cNvPicPr>
                                  <a:picLocks noChangeAspect="1"/>
                                </pic:cNvPicPr>
                              </pic:nvPicPr>
                              <pic:blipFill>
                                <a:blip r:embed="rId32"/>
                                <a:stretch>
                                  <a:fillRect/>
                                </a:stretch>
                              </pic:blipFill>
                              <pic:spPr>
                                <a:xfrm>
                                  <a:off x="0" y="0"/>
                                  <a:ext cx="1571625" cy="971550"/>
                                </a:xfrm>
                                <a:prstGeom prst="rect">
                                  <a:avLst/>
                                </a:prstGeom>
                                <a:noFill/>
                                <a:ln>
                                  <a:noFill/>
                                </a:ln>
                              </pic:spPr>
                            </pic:pic>
                          </a:graphicData>
                        </a:graphic>
                      </wp:inline>
                    </w:drawing>
                  </w:r>
                </w:p>
              </w:tc>
            </w:tr>
            <w:tr w14:paraId="428D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94" w:type="pct"/>
                  <w:tcBorders>
                    <w:tl2br w:val="nil"/>
                    <w:tr2bl w:val="nil"/>
                  </w:tcBorders>
                  <w:noWrap w:val="0"/>
                  <w:vAlign w:val="center"/>
                </w:tcPr>
                <w:p w14:paraId="4BC6302C">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4</w:t>
                  </w:r>
                </w:p>
              </w:tc>
              <w:tc>
                <w:tcPr>
                  <w:tcW w:w="457" w:type="pct"/>
                  <w:vMerge w:val="continue"/>
                  <w:tcBorders>
                    <w:tl2br w:val="nil"/>
                    <w:tr2bl w:val="nil"/>
                  </w:tcBorders>
                  <w:noWrap w:val="0"/>
                  <w:vAlign w:val="center"/>
                </w:tcPr>
                <w:p w14:paraId="44D984BF">
                  <w:pPr>
                    <w:keepNext w:val="0"/>
                    <w:keepLines w:val="0"/>
                    <w:pageBreakBefore w:val="0"/>
                    <w:widowControl w:val="0"/>
                    <w:suppressLineNumbers w:val="0"/>
                    <w:kinsoku/>
                    <w:wordWrap/>
                    <w:overflowPunct/>
                    <w:topLinePunct w:val="0"/>
                    <w:bidi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z w:val="18"/>
                      <w:szCs w:val="18"/>
                      <w:highlight w:val="none"/>
                    </w:rPr>
                  </w:pPr>
                </w:p>
              </w:tc>
              <w:tc>
                <w:tcPr>
                  <w:tcW w:w="482" w:type="pct"/>
                  <w:vMerge w:val="restart"/>
                  <w:tcBorders>
                    <w:tl2br w:val="nil"/>
                    <w:tr2bl w:val="nil"/>
                  </w:tcBorders>
                  <w:noWrap w:val="0"/>
                  <w:vAlign w:val="center"/>
                </w:tcPr>
                <w:p w14:paraId="747804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室外</w:t>
                  </w:r>
                </w:p>
                <w:p w14:paraId="2B8123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18"/>
                      <w:szCs w:val="18"/>
                      <w:highlight w:val="none"/>
                      <w:lang w:val="en-US" w:eastAsia="zh-CN" w:bidi="ar-SA"/>
                    </w:rPr>
                  </w:pPr>
                  <w:r>
                    <w:rPr>
                      <w:rFonts w:hint="default" w:ascii="Times New Roman" w:hAnsi="Times New Roman" w:eastAsia="宋体" w:cs="Times New Roman"/>
                      <w:color w:val="000000"/>
                      <w:sz w:val="18"/>
                      <w:szCs w:val="18"/>
                      <w:highlight w:val="none"/>
                    </w:rPr>
                    <w:t>（粘贴于门上或悬挂）</w:t>
                  </w:r>
                </w:p>
                <w:p w14:paraId="01A97A8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粘贴于危险废物储存容器</w:t>
                  </w:r>
                </w:p>
              </w:tc>
              <w:tc>
                <w:tcPr>
                  <w:tcW w:w="1906" w:type="pct"/>
                  <w:tcBorders>
                    <w:tl2br w:val="nil"/>
                    <w:tr2bl w:val="nil"/>
                  </w:tcBorders>
                  <w:noWrap w:val="0"/>
                  <w:vAlign w:val="center"/>
                </w:tcPr>
                <w:p w14:paraId="6C4FE41B">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1、危险废物标签尺寸颜色：</w:t>
                  </w:r>
                </w:p>
                <w:p w14:paraId="03829EEF">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sz w:val="18"/>
                      <w:szCs w:val="18"/>
                      <w:highlight w:val="none"/>
                    </w:rPr>
                    <w:t>尺寸：40</w:t>
                  </w:r>
                  <w:r>
                    <w:rPr>
                      <w:rFonts w:hint="default" w:ascii="Times New Roman" w:hAnsi="Times New Roman" w:eastAsia="宋体" w:cs="Times New Roman"/>
                      <w:color w:val="000000"/>
                      <w:kern w:val="0"/>
                      <w:sz w:val="18"/>
                      <w:szCs w:val="18"/>
                      <w:highlight w:val="none"/>
                    </w:rPr>
                    <w:t>×40cm</w:t>
                  </w:r>
                </w:p>
                <w:p w14:paraId="26565D21">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颜色：背景为黄色，图形为黑色</w:t>
                  </w:r>
                </w:p>
                <w:p w14:paraId="26A919DD">
                  <w:pPr>
                    <w:keepNext w:val="0"/>
                    <w:keepLines w:val="0"/>
                    <w:numPr>
                      <w:ilvl w:val="0"/>
                      <w:numId w:val="0"/>
                    </w:numPr>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lang w:val="en-US" w:eastAsia="zh-CN"/>
                    </w:rPr>
                    <w:t>2、</w:t>
                  </w:r>
                  <w:r>
                    <w:rPr>
                      <w:rFonts w:hint="default" w:ascii="Times New Roman" w:hAnsi="Times New Roman" w:eastAsia="宋体" w:cs="Times New Roman"/>
                      <w:color w:val="000000"/>
                      <w:kern w:val="0"/>
                      <w:sz w:val="18"/>
                      <w:szCs w:val="18"/>
                      <w:highlight w:val="none"/>
                    </w:rPr>
                    <w:t>警告标志外檐2.5cm</w:t>
                  </w:r>
                </w:p>
                <w:p w14:paraId="713E8733">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60" w:lineRule="exact"/>
                    <w:ind w:left="0" w:leftChars="0" w:right="0" w:rightChars="0"/>
                    <w:jc w:val="both"/>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kern w:val="0"/>
                      <w:sz w:val="18"/>
                      <w:szCs w:val="18"/>
                      <w:highlight w:val="none"/>
                      <w:lang w:val="en-US" w:eastAsia="zh-CN"/>
                    </w:rPr>
                    <w:t>3、</w:t>
                  </w:r>
                  <w:r>
                    <w:rPr>
                      <w:rFonts w:hint="default" w:ascii="Times New Roman" w:hAnsi="Times New Roman" w:eastAsia="宋体" w:cs="Times New Roman"/>
                      <w:color w:val="000000"/>
                      <w:kern w:val="0"/>
                      <w:sz w:val="18"/>
                      <w:szCs w:val="18"/>
                      <w:highlight w:val="none"/>
                    </w:rPr>
                    <w:t>适用于：危险废物贮存设施为房屋的，建有围墙或防护栅栏，且高度高于100cm时；部分危险废物利用、处置场所</w:t>
                  </w:r>
                </w:p>
              </w:tc>
              <w:tc>
                <w:tcPr>
                  <w:tcW w:w="1758" w:type="pct"/>
                  <w:tcBorders>
                    <w:tl2br w:val="nil"/>
                    <w:tr2bl w:val="nil"/>
                  </w:tcBorders>
                  <w:noWrap w:val="0"/>
                  <w:vAlign w:val="center"/>
                </w:tcPr>
                <w:p w14:paraId="57AE822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sz w:val="18"/>
                      <w:szCs w:val="18"/>
                      <w:highlight w:val="none"/>
                      <w:lang w:eastAsia="zh-CN"/>
                    </w:rPr>
                    <w:drawing>
                      <wp:inline distT="0" distB="0" distL="114300" distR="114300">
                        <wp:extent cx="1362075" cy="1181100"/>
                        <wp:effectExtent l="0" t="0" r="9525" b="0"/>
                        <wp:docPr id="8" name="图片 8" descr="1691120189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91120189849"/>
                                <pic:cNvPicPr>
                                  <a:picLocks noChangeAspect="1"/>
                                </pic:cNvPicPr>
                              </pic:nvPicPr>
                              <pic:blipFill>
                                <a:blip r:embed="rId33"/>
                                <a:stretch>
                                  <a:fillRect/>
                                </a:stretch>
                              </pic:blipFill>
                              <pic:spPr>
                                <a:xfrm>
                                  <a:off x="0" y="0"/>
                                  <a:ext cx="1362075" cy="1181100"/>
                                </a:xfrm>
                                <a:prstGeom prst="rect">
                                  <a:avLst/>
                                </a:prstGeom>
                                <a:noFill/>
                                <a:ln>
                                  <a:noFill/>
                                </a:ln>
                              </pic:spPr>
                            </pic:pic>
                          </a:graphicData>
                        </a:graphic>
                      </wp:inline>
                    </w:drawing>
                  </w:r>
                </w:p>
              </w:tc>
            </w:tr>
            <w:tr w14:paraId="70A4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94" w:type="pct"/>
                  <w:tcBorders>
                    <w:tl2br w:val="nil"/>
                    <w:tr2bl w:val="nil"/>
                  </w:tcBorders>
                  <w:noWrap w:val="0"/>
                  <w:vAlign w:val="center"/>
                </w:tcPr>
                <w:p w14:paraId="64FD2AC4">
                  <w:pPr>
                    <w:keepNext w:val="0"/>
                    <w:keepLines w:val="0"/>
                    <w:pageBreakBefore w:val="0"/>
                    <w:widowControl w:val="0"/>
                    <w:suppressLineNumbers w:val="0"/>
                    <w:kinsoku/>
                    <w:wordWrap/>
                    <w:overflowPunct/>
                    <w:topLinePunct w:val="0"/>
                    <w:bidi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5</w:t>
                  </w:r>
                </w:p>
              </w:tc>
              <w:tc>
                <w:tcPr>
                  <w:tcW w:w="457" w:type="pct"/>
                  <w:vMerge w:val="continue"/>
                  <w:tcBorders>
                    <w:tl2br w:val="nil"/>
                    <w:tr2bl w:val="nil"/>
                  </w:tcBorders>
                  <w:noWrap w:val="0"/>
                  <w:vAlign w:val="center"/>
                </w:tcPr>
                <w:p w14:paraId="24E4DE7C">
                  <w:pPr>
                    <w:keepNext w:val="0"/>
                    <w:keepLines w:val="0"/>
                    <w:pageBreakBefore w:val="0"/>
                    <w:widowControl w:val="0"/>
                    <w:suppressLineNumbers w:val="0"/>
                    <w:kinsoku/>
                    <w:wordWrap/>
                    <w:overflowPunct/>
                    <w:topLinePunct w:val="0"/>
                    <w:bidi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z w:val="18"/>
                      <w:szCs w:val="18"/>
                      <w:highlight w:val="none"/>
                    </w:rPr>
                  </w:pPr>
                </w:p>
              </w:tc>
              <w:tc>
                <w:tcPr>
                  <w:tcW w:w="482" w:type="pct"/>
                  <w:vMerge w:val="continue"/>
                  <w:tcBorders>
                    <w:tl2br w:val="nil"/>
                    <w:tr2bl w:val="nil"/>
                  </w:tcBorders>
                  <w:noWrap w:val="0"/>
                  <w:vAlign w:val="center"/>
                </w:tcPr>
                <w:p w14:paraId="33B9D0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18"/>
                      <w:szCs w:val="18"/>
                      <w:highlight w:val="none"/>
                      <w:lang w:val="en-US" w:eastAsia="zh-CN" w:bidi="ar-SA"/>
                    </w:rPr>
                  </w:pPr>
                </w:p>
              </w:tc>
              <w:tc>
                <w:tcPr>
                  <w:tcW w:w="1906" w:type="pct"/>
                  <w:tcBorders>
                    <w:tl2br w:val="nil"/>
                    <w:tr2bl w:val="nil"/>
                  </w:tcBorders>
                  <w:noWrap w:val="0"/>
                  <w:vAlign w:val="center"/>
                </w:tcPr>
                <w:p w14:paraId="3B352E2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t>1、危险废物标签尺寸颜色：</w:t>
                  </w:r>
                </w:p>
                <w:p w14:paraId="065C81A2">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sz w:val="18"/>
                      <w:szCs w:val="18"/>
                      <w:highlight w:val="none"/>
                    </w:rPr>
                    <w:t>尺寸：20</w:t>
                  </w:r>
                  <w:r>
                    <w:rPr>
                      <w:rFonts w:hint="default" w:ascii="Times New Roman" w:hAnsi="Times New Roman" w:eastAsia="宋体" w:cs="Times New Roman"/>
                      <w:color w:val="000000"/>
                      <w:kern w:val="0"/>
                      <w:sz w:val="18"/>
                      <w:szCs w:val="18"/>
                      <w:highlight w:val="none"/>
                    </w:rPr>
                    <w:t>×20cm</w:t>
                  </w:r>
                </w:p>
                <w:p w14:paraId="46E6E0D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底色：醒目的橘黄色</w:t>
                  </w:r>
                </w:p>
                <w:p w14:paraId="5E4ABE2B">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字体：黑体字</w:t>
                  </w:r>
                </w:p>
                <w:p w14:paraId="52CDE0D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字体颜色：黑色</w:t>
                  </w:r>
                </w:p>
                <w:p w14:paraId="2527915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2、危险类别：按危险废物种类选择</w:t>
                  </w:r>
                </w:p>
              </w:tc>
              <w:tc>
                <w:tcPr>
                  <w:tcW w:w="1758" w:type="pct"/>
                  <w:tcBorders>
                    <w:tl2br w:val="nil"/>
                    <w:tr2bl w:val="nil"/>
                  </w:tcBorders>
                  <w:noWrap w:val="0"/>
                  <w:vAlign w:val="center"/>
                </w:tcPr>
                <w:p w14:paraId="2B2BEAB7">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rPr>
                    <w:drawing>
                      <wp:inline distT="0" distB="0" distL="114300" distR="114300">
                        <wp:extent cx="1714500" cy="1714500"/>
                        <wp:effectExtent l="0" t="0" r="0" b="0"/>
                        <wp:docPr id="10" name="图片 9" descr="危险废物标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危险废物标签"/>
                                <pic:cNvPicPr>
                                  <a:picLocks noChangeAspect="1"/>
                                </pic:cNvPicPr>
                              </pic:nvPicPr>
                              <pic:blipFill>
                                <a:blip r:embed="rId34"/>
                                <a:stretch>
                                  <a:fillRect/>
                                </a:stretch>
                              </pic:blipFill>
                              <pic:spPr>
                                <a:xfrm>
                                  <a:off x="0" y="0"/>
                                  <a:ext cx="1714500" cy="1714500"/>
                                </a:xfrm>
                                <a:prstGeom prst="rect">
                                  <a:avLst/>
                                </a:prstGeom>
                                <a:noFill/>
                                <a:ln>
                                  <a:noFill/>
                                </a:ln>
                              </pic:spPr>
                            </pic:pic>
                          </a:graphicData>
                        </a:graphic>
                      </wp:inline>
                    </w:drawing>
                  </w:r>
                </w:p>
              </w:tc>
            </w:tr>
          </w:tbl>
          <w:p w14:paraId="041F0E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2、监测计划</w:t>
            </w:r>
          </w:p>
          <w:p w14:paraId="771AD6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项目应加强环境监测管理，监测计划由企业环境管理机构负责实施，具体监测工作可委托当地有资质的环境监测站进行监测并报告、存档等。</w:t>
            </w:r>
          </w:p>
          <w:p w14:paraId="7CA729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3、环境管理台账</w:t>
            </w:r>
          </w:p>
          <w:p w14:paraId="454CBD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①一般原则</w:t>
            </w:r>
          </w:p>
          <w:p w14:paraId="210832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企业应建立环境管理台账记录制度，落实环境管理台账记录的责任单位和责任人，明确工作职责，并对环境管理台账的真实性、完整性和规范性负责。一般按日或批次进行记录，异常情况应按此记录。</w:t>
            </w:r>
          </w:p>
          <w:p w14:paraId="5358B9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②记录形式</w:t>
            </w:r>
          </w:p>
          <w:p w14:paraId="490053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分为电子台账和纸质台账两种形式。</w:t>
            </w:r>
          </w:p>
          <w:p w14:paraId="45EFF2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③记录内容</w:t>
            </w:r>
          </w:p>
          <w:p w14:paraId="7BFCAE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包括基本信息、生产设施运行管理信息、污染防治设施运行管理信息、监测记录信息及其他环境管理信息等。</w:t>
            </w:r>
          </w:p>
          <w:p w14:paraId="2E00BC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④记录存储及保存</w:t>
            </w:r>
          </w:p>
          <w:p w14:paraId="4E0B49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a.纸质存储：应将纸质台账存放于保护袋、卷夹或保护盒等保存介质中；由专人签字、定点保存；应采取防光、防热、防潮、防细菌及防污染等措施；如有破损应及时修补，并留存备查；保存时间原则上不低于5年。</w:t>
            </w:r>
          </w:p>
          <w:p w14:paraId="7CF3F0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b.电子化存储：应存放于电子存储介质中，并进行数据备份；由专人定期维护管理；保存时间原则上不低于5年。</w:t>
            </w:r>
          </w:p>
          <w:p w14:paraId="03954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4、排污许可管理要求</w:t>
            </w:r>
          </w:p>
          <w:p w14:paraId="18A7C9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根据《排污许可管理办法</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试行</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部令第48号</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、环境保护部办公厅《关于做好环境影响评价制度与排污许可制衔接相关工作的通知》</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环办环评[2017]84号</w:t>
            </w:r>
            <w:r>
              <w:rPr>
                <w:rFonts w:hint="default"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要求</w:t>
            </w:r>
            <w:r>
              <w:rPr>
                <w:rFonts w:hint="eastAsia" w:cs="Times New Roman"/>
                <w:color w:val="000000"/>
                <w:sz w:val="21"/>
                <w:szCs w:val="21"/>
                <w:highlight w:val="none"/>
                <w:lang w:val="en-US" w:eastAsia="zh-CN"/>
              </w:rPr>
              <w:t>，在</w:t>
            </w:r>
            <w:r>
              <w:rPr>
                <w:rFonts w:hint="default" w:ascii="Times New Roman" w:hAnsi="Times New Roman" w:eastAsia="宋体" w:cs="Times New Roman"/>
                <w:color w:val="000000"/>
                <w:sz w:val="21"/>
                <w:szCs w:val="21"/>
                <w:highlight w:val="none"/>
                <w:lang w:val="en-US" w:eastAsia="zh-CN"/>
              </w:rPr>
              <w:t>建设项目发生实际排污行为之前，排污单位应当按照国家环境保护相关法律法规以及排污许可证申请与核发技术规范要求申请排污许可证，不得无证排污或不按证排污，环境保护部门通过对企事业单位发放排污许可证并依证监管实施排污许可制。</w:t>
            </w:r>
          </w:p>
          <w:p w14:paraId="045B73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本项目根据《固定污染源排污许可分类管理名录（2019年版）》（生态环境部</w:t>
            </w:r>
            <w:r>
              <w:rPr>
                <w:rFonts w:hint="eastAsia" w:cs="Times New Roman"/>
                <w:color w:val="000000"/>
                <w:sz w:val="21"/>
                <w:szCs w:val="21"/>
                <w:highlight w:val="none"/>
                <w:lang w:val="en-US" w:eastAsia="zh-CN"/>
              </w:rPr>
              <w:t xml:space="preserve"> </w:t>
            </w:r>
            <w:r>
              <w:rPr>
                <w:rFonts w:hint="default" w:ascii="Times New Roman" w:hAnsi="Times New Roman" w:eastAsia="宋体" w:cs="Times New Roman"/>
                <w:color w:val="000000"/>
                <w:sz w:val="21"/>
                <w:szCs w:val="21"/>
                <w:highlight w:val="none"/>
                <w:lang w:val="en-US" w:eastAsia="zh-CN"/>
              </w:rPr>
              <w:t>部令第11号），不纳入排污许可管理。</w:t>
            </w:r>
          </w:p>
          <w:p w14:paraId="10A526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5、竣工验收管理要求</w:t>
            </w:r>
          </w:p>
          <w:p w14:paraId="734832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根据《建设项目环境保护管理条例》（2017年10月1日起实施）第十七条规定：“编制环境影响报告书、环境影响报告表的建设项目竣工后，建设单位应当按照国务院环境保护行政主管部门规定的标准和程序，对配套建设的环境保护设施进行验收，编制验收报告。”</w:t>
            </w:r>
          </w:p>
          <w:p w14:paraId="4C0BDE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6、环境信息公开</w:t>
            </w:r>
          </w:p>
          <w:p w14:paraId="4C65E1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根据《企业环境信息依法披露管理办法》（生态环境部</w:t>
            </w:r>
            <w:r>
              <w:rPr>
                <w:rFonts w:hint="eastAsia" w:cs="Times New Roman"/>
                <w:color w:val="000000"/>
                <w:sz w:val="21"/>
                <w:szCs w:val="21"/>
                <w:highlight w:val="none"/>
                <w:lang w:val="en-US" w:eastAsia="zh-CN"/>
              </w:rPr>
              <w:t xml:space="preserve"> </w:t>
            </w:r>
            <w:r>
              <w:rPr>
                <w:rFonts w:hint="default" w:ascii="Times New Roman" w:hAnsi="Times New Roman" w:eastAsia="宋体" w:cs="Times New Roman"/>
                <w:color w:val="000000"/>
                <w:sz w:val="21"/>
                <w:szCs w:val="21"/>
                <w:highlight w:val="none"/>
                <w:lang w:val="en-US" w:eastAsia="zh-CN"/>
              </w:rPr>
              <w:t>部令第24号）要求：</w:t>
            </w:r>
          </w:p>
          <w:p w14:paraId="43D240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本项目</w:t>
            </w:r>
            <w:r>
              <w:rPr>
                <w:rFonts w:hint="default" w:ascii="Times New Roman" w:hAnsi="Times New Roman" w:eastAsia="宋体" w:cs="Times New Roman"/>
                <w:color w:val="000000"/>
                <w:sz w:val="21"/>
                <w:szCs w:val="21"/>
                <w:highlight w:val="none"/>
              </w:rPr>
              <w:t>应当按照准则编制年度环境信息依法披露报告和临时环境信息依法披露报告，并上传至企业环境信息依法披露系统</w:t>
            </w:r>
            <w:r>
              <w:rPr>
                <w:rFonts w:hint="default" w:ascii="Times New Roman" w:hAnsi="Times New Roman" w:eastAsia="宋体" w:cs="Times New Roman"/>
                <w:color w:val="000000"/>
                <w:sz w:val="21"/>
                <w:szCs w:val="21"/>
                <w:highlight w:val="none"/>
                <w:lang w:eastAsia="zh-CN"/>
              </w:rPr>
              <w:t>。</w:t>
            </w:r>
          </w:p>
          <w:p w14:paraId="00E814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企业年度环境信息依法披露报告应当包括以下内容：</w:t>
            </w:r>
          </w:p>
          <w:p w14:paraId="29E219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①企业基本信息，包括企业生产和生态环境保护等方面的基础信息；</w:t>
            </w:r>
          </w:p>
          <w:p w14:paraId="08C347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②企业环境管理信息，包括生态环境行政许可、环境保护税、环境污染责任保险、环保信用评价等方面的信息；</w:t>
            </w:r>
          </w:p>
          <w:p w14:paraId="206810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 xml:space="preserve">③污染物产生、治理与排放信息，包括污染防治设施，污染物排放，有毒有害物质排放，工业固体废物和危险废物产生、贮存、流向、利用、处置，自行监测等方面的信息； </w:t>
            </w:r>
          </w:p>
          <w:p w14:paraId="67765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④碳排放信息，包括排放量、排放设施等方面的信息；</w:t>
            </w:r>
          </w:p>
          <w:p w14:paraId="032961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 xml:space="preserve">⑤生态环境应急信息，包括突发环境事件应急预案、重污染天气应急响应等方面的信息； </w:t>
            </w:r>
          </w:p>
          <w:p w14:paraId="65A784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⑥生态环境违法信息；</w:t>
            </w:r>
          </w:p>
          <w:p w14:paraId="143047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 xml:space="preserve">⑦本年度临时环境信息依法披露情况； </w:t>
            </w:r>
          </w:p>
          <w:p w14:paraId="1C0827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outlineLvl w:val="9"/>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⑧法律法规规定的其他环境信息。</w:t>
            </w:r>
          </w:p>
          <w:p w14:paraId="63D6F501">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43F87FA9">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472CA564">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3E2C4F75">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3AF41648">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51CBEF8F">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0D52245E">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0831F1C4">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000000"/>
                <w:sz w:val="21"/>
                <w:szCs w:val="21"/>
                <w:highlight w:val="none"/>
                <w:lang w:val="en-US" w:eastAsia="zh-CN"/>
              </w:rPr>
            </w:pPr>
          </w:p>
          <w:p w14:paraId="707891D1">
            <w:pPr>
              <w:pStyle w:val="41"/>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000000"/>
                <w:sz w:val="21"/>
                <w:szCs w:val="21"/>
                <w:highlight w:val="none"/>
                <w:lang w:val="en-US" w:eastAsia="zh-CN"/>
              </w:rPr>
            </w:pPr>
          </w:p>
        </w:tc>
      </w:tr>
    </w:tbl>
    <w:p w14:paraId="4C675793">
      <w:pPr>
        <w:pStyle w:val="26"/>
        <w:pageBreakBefore w:val="0"/>
        <w:wordWrap/>
        <w:bidi w:val="0"/>
        <w:adjustRightInd w:val="0"/>
        <w:snapToGrid w:val="0"/>
        <w:jc w:val="center"/>
        <w:outlineLvl w:val="0"/>
        <w:rPr>
          <w:rFonts w:hint="default" w:ascii="Times New Roman" w:hAnsi="Times New Roman" w:eastAsia="黑体" w:cs="Times New Roman"/>
          <w:snapToGrid w:val="0"/>
          <w:color w:val="000000" w:themeColor="text1"/>
          <w:spacing w:val="0"/>
          <w:sz w:val="24"/>
          <w:szCs w:val="24"/>
          <w:highlight w:val="none"/>
          <w14:textFill>
            <w14:solidFill>
              <w14:schemeClr w14:val="tx1"/>
            </w14:solidFill>
          </w14:textFill>
        </w:rPr>
      </w:pPr>
      <w:r>
        <w:rPr>
          <w:rFonts w:hint="default" w:ascii="Times New Roman" w:hAnsi="Times New Roman" w:cs="Times New Roman"/>
          <w:snapToGrid w:val="0"/>
          <w:color w:val="000000" w:themeColor="text1"/>
          <w:spacing w:val="0"/>
          <w:szCs w:val="24"/>
          <w:highlight w:val="green"/>
          <w14:textFill>
            <w14:solidFill>
              <w14:schemeClr w14:val="tx1"/>
            </w14:solidFill>
          </w14:textFill>
        </w:rPr>
        <w:br w:type="page"/>
      </w:r>
      <w:r>
        <w:rPr>
          <w:rFonts w:hint="default" w:ascii="Times New Roman" w:hAnsi="Times New Roman" w:eastAsia="黑体" w:cs="Times New Roman"/>
          <w:snapToGrid w:val="0"/>
          <w:color w:val="000000" w:themeColor="text1"/>
          <w:spacing w:val="0"/>
          <w:sz w:val="28"/>
          <w:szCs w:val="28"/>
          <w:highlight w:val="none"/>
          <w14:textFill>
            <w14:solidFill>
              <w14:schemeClr w14:val="tx1"/>
            </w14:solidFill>
          </w14:textFill>
        </w:rPr>
        <w:t>六、结论</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5B668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3AA936CE">
            <w:pPr>
              <w:keepNext w:val="0"/>
              <w:keepLines w:val="0"/>
              <w:pageBreakBefore w:val="0"/>
              <w:suppressLineNumbers w:val="0"/>
              <w:wordWrap/>
              <w:bidi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000000" w:themeColor="text1"/>
                <w:spacing w:val="0"/>
                <w:sz w:val="24"/>
                <w:szCs w:val="24"/>
                <w:highlight w:val="none"/>
                <w14:textFill>
                  <w14:solidFill>
                    <w14:schemeClr w14:val="tx1"/>
                  </w14:solidFill>
                </w14:textFill>
              </w:rPr>
            </w:pPr>
            <w:r>
              <w:rPr>
                <w:rFonts w:hint="default" w:ascii="Times New Roman" w:hAnsi="Times New Roman" w:cs="Times New Roman"/>
                <w:color w:val="000000"/>
                <w:sz w:val="24"/>
                <w:highlight w:val="none"/>
              </w:rPr>
              <w:t>该项目建设符合国家产业政策，厂址选择符合相关规划要求，项目建设采取了完善的环保治理措施，可以保证各类污染物达标排放，项目建设不会改变周围环境质量，从环境保护的角度考虑，在完全落实报告中各项要求的前提下该项目建设是可行的。</w:t>
            </w:r>
          </w:p>
        </w:tc>
      </w:tr>
    </w:tbl>
    <w:p w14:paraId="686A1367">
      <w:pPr>
        <w:pageBreakBefore w:val="0"/>
        <w:wordWrap/>
        <w:bidi w:val="0"/>
        <w:adjustRightInd w:val="0"/>
        <w:snapToGrid w:val="0"/>
        <w:rPr>
          <w:rFonts w:hint="default" w:ascii="Times New Roman" w:hAnsi="Times New Roman" w:cs="Times New Roman"/>
          <w:color w:val="000000" w:themeColor="text1"/>
          <w:spacing w:val="0"/>
          <w:sz w:val="24"/>
          <w:highlight w:val="gree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F2542C1">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default" w:ascii="Times New Roman" w:hAnsi="Times New Roman" w:eastAsia="黑体" w:cs="Times New Roman"/>
          <w:snapToGrid w:val="0"/>
          <w:color w:val="000000" w:themeColor="text1"/>
          <w:spacing w:val="0"/>
          <w:sz w:val="24"/>
          <w:szCs w:val="24"/>
          <w:highlight w:val="none"/>
          <w14:textFill>
            <w14:solidFill>
              <w14:schemeClr w14:val="tx1"/>
            </w14:solidFill>
          </w14:textFill>
        </w:rPr>
      </w:pPr>
      <w:r>
        <w:rPr>
          <w:rFonts w:hint="default" w:ascii="Times New Roman" w:hAnsi="Times New Roman" w:eastAsia="黑体" w:cs="Times New Roman"/>
          <w:snapToGrid w:val="0"/>
          <w:color w:val="000000" w:themeColor="text1"/>
          <w:spacing w:val="0"/>
          <w:sz w:val="24"/>
          <w:szCs w:val="24"/>
          <w:highlight w:val="none"/>
          <w14:textFill>
            <w14:solidFill>
              <w14:schemeClr w14:val="tx1"/>
            </w14:solidFill>
          </w14:textFill>
        </w:rPr>
        <w:t>附表</w:t>
      </w:r>
    </w:p>
    <w:p w14:paraId="2DE40BB5">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方正小标宋_GBK" w:cs="Times New Roman"/>
          <w:snapToGrid w:val="0"/>
          <w:color w:val="000000" w:themeColor="text1"/>
          <w:spacing w:val="0"/>
          <w:sz w:val="24"/>
          <w:szCs w:val="24"/>
          <w:highlight w:val="none"/>
          <w14:textFill>
            <w14:solidFill>
              <w14:schemeClr w14:val="tx1"/>
            </w14:solidFill>
          </w14:textFill>
        </w:rPr>
        <w:t>建设项目污染物排放量汇总表</w:t>
      </w:r>
      <w:r>
        <w:rPr>
          <w:rFonts w:hint="default" w:ascii="Times New Roman" w:hAnsi="Times New Roman" w:eastAsia="方正小标宋_GBK" w:cs="Times New Roman"/>
          <w:snapToGrid w:val="0"/>
          <w:color w:val="000000" w:themeColor="text1"/>
          <w:spacing w:val="0"/>
          <w:sz w:val="24"/>
          <w:szCs w:val="24"/>
          <w:highlight w:val="none"/>
          <w:lang w:val="en-US" w:eastAsia="zh-CN"/>
          <w14:textFill>
            <w14:solidFill>
              <w14:schemeClr w14:val="tx1"/>
            </w14:solidFill>
          </w14:textFill>
        </w:rPr>
        <w:t xml:space="preserve">  单位t/a</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845"/>
        <w:gridCol w:w="1761"/>
        <w:gridCol w:w="1455"/>
        <w:gridCol w:w="1200"/>
        <w:gridCol w:w="1680"/>
        <w:gridCol w:w="1650"/>
        <w:gridCol w:w="1605"/>
        <w:gridCol w:w="1635"/>
      </w:tblGrid>
      <w:tr w14:paraId="78BC4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957" w:type="dxa"/>
            <w:tcBorders>
              <w:tl2br w:val="single" w:color="auto" w:sz="4" w:space="0"/>
            </w:tcBorders>
            <w:noWrap w:val="0"/>
            <w:tcMar>
              <w:left w:w="28" w:type="dxa"/>
              <w:right w:w="28" w:type="dxa"/>
            </w:tcMar>
            <w:vAlign w:val="center"/>
          </w:tcPr>
          <w:p w14:paraId="17BF9516">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项目</w:t>
            </w:r>
          </w:p>
          <w:p w14:paraId="1D66BEBB">
            <w:pPr>
              <w:keepNext w:val="0"/>
              <w:keepLines w:val="0"/>
              <w:pageBreakBefore w:val="0"/>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p w14:paraId="5E46FE7A">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分类</w:t>
            </w:r>
          </w:p>
        </w:tc>
        <w:tc>
          <w:tcPr>
            <w:tcW w:w="1845" w:type="dxa"/>
            <w:noWrap w:val="0"/>
            <w:tcMar>
              <w:left w:w="28" w:type="dxa"/>
              <w:right w:w="28" w:type="dxa"/>
            </w:tcMar>
            <w:vAlign w:val="center"/>
          </w:tcPr>
          <w:p w14:paraId="29E66658">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污染物名称</w:t>
            </w:r>
          </w:p>
        </w:tc>
        <w:tc>
          <w:tcPr>
            <w:tcW w:w="1761" w:type="dxa"/>
            <w:noWrap w:val="0"/>
            <w:tcMar>
              <w:left w:w="28" w:type="dxa"/>
              <w:right w:w="28" w:type="dxa"/>
            </w:tcMar>
            <w:vAlign w:val="center"/>
          </w:tcPr>
          <w:p w14:paraId="266C4DF0">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现有工程</w:t>
            </w:r>
          </w:p>
          <w:p w14:paraId="06995F0C">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排放量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固体废物产生量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1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2"/>
                <w:sz w:val="21"/>
                <w:szCs w:val="21"/>
                <w:highlight w:val="none"/>
                <w14:textFill>
                  <w14:solidFill>
                    <w14:schemeClr w14:val="tx1"/>
                  </w14:solidFill>
                </w14:textFill>
              </w:rPr>
              <w:t>①</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c>
          <w:tcPr>
            <w:tcW w:w="1455" w:type="dxa"/>
            <w:noWrap w:val="0"/>
            <w:tcMar>
              <w:left w:w="28" w:type="dxa"/>
              <w:right w:w="28" w:type="dxa"/>
            </w:tcMar>
            <w:vAlign w:val="center"/>
          </w:tcPr>
          <w:p w14:paraId="34090CBB">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现有工程</w:t>
            </w:r>
          </w:p>
          <w:p w14:paraId="0991967E">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许可排放量</w:t>
            </w:r>
          </w:p>
          <w:p w14:paraId="5E96EA0E">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2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②</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c>
          <w:tcPr>
            <w:tcW w:w="1200" w:type="dxa"/>
            <w:noWrap w:val="0"/>
            <w:tcMar>
              <w:left w:w="28" w:type="dxa"/>
              <w:right w:w="28" w:type="dxa"/>
            </w:tcMar>
            <w:vAlign w:val="center"/>
          </w:tcPr>
          <w:p w14:paraId="20703B63">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在建工程排放量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固体废物产生量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3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2"/>
                <w:sz w:val="21"/>
                <w:szCs w:val="21"/>
                <w:highlight w:val="none"/>
                <w14:textFill>
                  <w14:solidFill>
                    <w14:schemeClr w14:val="tx1"/>
                  </w14:solidFill>
                </w14:textFill>
              </w:rPr>
              <w:t>③</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c>
          <w:tcPr>
            <w:tcW w:w="1680" w:type="dxa"/>
            <w:noWrap w:val="0"/>
            <w:tcMar>
              <w:left w:w="28" w:type="dxa"/>
              <w:right w:w="28" w:type="dxa"/>
            </w:tcMar>
            <w:vAlign w:val="center"/>
          </w:tcPr>
          <w:p w14:paraId="173EF834">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本项目</w:t>
            </w:r>
          </w:p>
          <w:p w14:paraId="1761477F">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排放量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固体废物产生量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4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2"/>
                <w:sz w:val="21"/>
                <w:szCs w:val="21"/>
                <w:highlight w:val="none"/>
                <w14:textFill>
                  <w14:solidFill>
                    <w14:schemeClr w14:val="tx1"/>
                  </w14:solidFill>
                </w14:textFill>
              </w:rPr>
              <w:t>④</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c>
          <w:tcPr>
            <w:tcW w:w="1650" w:type="dxa"/>
            <w:noWrap w:val="0"/>
            <w:tcMar>
              <w:left w:w="28" w:type="dxa"/>
              <w:right w:w="28" w:type="dxa"/>
            </w:tcMar>
            <w:vAlign w:val="center"/>
          </w:tcPr>
          <w:p w14:paraId="13B7BC2B">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以新带老削减量</w:t>
            </w:r>
          </w:p>
          <w:p w14:paraId="60E8CF6B">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新建项目不填</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5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2"/>
                <w:sz w:val="21"/>
                <w:szCs w:val="21"/>
                <w:highlight w:val="none"/>
                <w14:textFill>
                  <w14:solidFill>
                    <w14:schemeClr w14:val="tx1"/>
                  </w14:solidFill>
                </w14:textFill>
              </w:rPr>
              <w:t>⑤</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c>
          <w:tcPr>
            <w:tcW w:w="1605" w:type="dxa"/>
            <w:noWrap w:val="0"/>
            <w:tcMar>
              <w:left w:w="28" w:type="dxa"/>
              <w:right w:w="28" w:type="dxa"/>
            </w:tcMar>
            <w:vAlign w:val="center"/>
          </w:tcPr>
          <w:p w14:paraId="7746A102">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本项目建成后</w:t>
            </w:r>
          </w:p>
          <w:p w14:paraId="2BDCB886">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全厂排放量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固体废物产生量</w:t>
            </w:r>
            <w:r>
              <w:rPr>
                <w:rFonts w:hint="default" w:ascii="Times New Roman" w:hAnsi="Times New Roman" w:cs="Times New Roman"/>
                <w:snapToGrid w:val="0"/>
                <w:color w:val="000000" w:themeColor="text1"/>
                <w:spacing w:val="0"/>
                <w:kern w:val="2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6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2"/>
                <w:sz w:val="21"/>
                <w:szCs w:val="21"/>
                <w:highlight w:val="none"/>
                <w14:textFill>
                  <w14:solidFill>
                    <w14:schemeClr w14:val="tx1"/>
                  </w14:solidFill>
                </w14:textFill>
              </w:rPr>
              <w:t>⑥</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c>
          <w:tcPr>
            <w:tcW w:w="1635" w:type="dxa"/>
            <w:noWrap w:val="0"/>
            <w:tcMar>
              <w:left w:w="28" w:type="dxa"/>
              <w:right w:w="28" w:type="dxa"/>
            </w:tcMar>
            <w:vAlign w:val="center"/>
          </w:tcPr>
          <w:p w14:paraId="137E7865">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变化量</w:t>
            </w:r>
          </w:p>
          <w:p w14:paraId="4BCDB97F">
            <w:pPr>
              <w:pStyle w:val="5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instrText xml:space="preserve"> = 7 \* GB3 \* MERGEFORMAT </w:instrTex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2"/>
                <w:sz w:val="21"/>
                <w:szCs w:val="21"/>
                <w:highlight w:val="none"/>
                <w14:textFill>
                  <w14:solidFill>
                    <w14:schemeClr w14:val="tx1"/>
                  </w14:solidFill>
                </w14:textFill>
              </w:rPr>
              <w:t>⑦</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fldChar w:fldCharType="end"/>
            </w:r>
          </w:p>
        </w:tc>
      </w:tr>
      <w:tr w14:paraId="21E4AA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restart"/>
            <w:noWrap w:val="0"/>
            <w:vAlign w:val="center"/>
          </w:tcPr>
          <w:p w14:paraId="46167C3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废气</w:t>
            </w:r>
          </w:p>
        </w:tc>
        <w:tc>
          <w:tcPr>
            <w:tcW w:w="1845" w:type="dxa"/>
            <w:shd w:val="clear" w:color="auto" w:fill="auto"/>
            <w:noWrap w:val="0"/>
            <w:vAlign w:val="center"/>
          </w:tcPr>
          <w:p w14:paraId="05DB1E22">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氨</w:t>
            </w:r>
          </w:p>
        </w:tc>
        <w:tc>
          <w:tcPr>
            <w:tcW w:w="1761" w:type="dxa"/>
            <w:shd w:val="clear" w:color="auto" w:fill="auto"/>
            <w:noWrap w:val="0"/>
            <w:vAlign w:val="center"/>
          </w:tcPr>
          <w:p w14:paraId="5CA7696D">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0757B81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3D625F3B">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4BDB853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1.338</w:t>
            </w:r>
          </w:p>
        </w:tc>
        <w:tc>
          <w:tcPr>
            <w:tcW w:w="1650" w:type="dxa"/>
            <w:shd w:val="clear" w:color="auto" w:fill="auto"/>
            <w:noWrap w:val="0"/>
            <w:vAlign w:val="center"/>
          </w:tcPr>
          <w:p w14:paraId="191DCEC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25B7C032">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1.338</w:t>
            </w:r>
          </w:p>
        </w:tc>
        <w:tc>
          <w:tcPr>
            <w:tcW w:w="1635" w:type="dxa"/>
            <w:noWrap w:val="0"/>
            <w:vAlign w:val="center"/>
          </w:tcPr>
          <w:p w14:paraId="5F82BCE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+1.338</w:t>
            </w:r>
          </w:p>
        </w:tc>
      </w:tr>
      <w:tr w14:paraId="6EF0F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34F4161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77AE1B2E">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硫化氢</w:t>
            </w:r>
          </w:p>
        </w:tc>
        <w:tc>
          <w:tcPr>
            <w:tcW w:w="1761" w:type="dxa"/>
            <w:shd w:val="clear" w:color="auto" w:fill="auto"/>
            <w:noWrap w:val="0"/>
            <w:vAlign w:val="center"/>
          </w:tcPr>
          <w:p w14:paraId="481FBF0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3D79D3F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012AF9B0">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2B02FAD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0.052</w:t>
            </w:r>
          </w:p>
        </w:tc>
        <w:tc>
          <w:tcPr>
            <w:tcW w:w="1650" w:type="dxa"/>
            <w:shd w:val="clear" w:color="auto" w:fill="auto"/>
            <w:noWrap w:val="0"/>
            <w:vAlign w:val="center"/>
          </w:tcPr>
          <w:p w14:paraId="31BE8BB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0CD45A6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0.052</w:t>
            </w:r>
          </w:p>
        </w:tc>
        <w:tc>
          <w:tcPr>
            <w:tcW w:w="1635" w:type="dxa"/>
            <w:noWrap w:val="0"/>
            <w:vAlign w:val="center"/>
          </w:tcPr>
          <w:p w14:paraId="4FE25E5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+0.052</w:t>
            </w:r>
          </w:p>
        </w:tc>
      </w:tr>
      <w:tr w14:paraId="6D4F4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1BC9DEB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484F8066">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臭气浓度</w:t>
            </w:r>
          </w:p>
        </w:tc>
        <w:tc>
          <w:tcPr>
            <w:tcW w:w="1761" w:type="dxa"/>
            <w:shd w:val="clear" w:color="auto" w:fill="auto"/>
            <w:noWrap w:val="0"/>
            <w:vAlign w:val="center"/>
          </w:tcPr>
          <w:p w14:paraId="26B0944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0866168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5CBF5706">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7901F54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50" w:type="dxa"/>
            <w:shd w:val="clear" w:color="auto" w:fill="auto"/>
            <w:noWrap w:val="0"/>
            <w:vAlign w:val="center"/>
          </w:tcPr>
          <w:p w14:paraId="237A89F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0BB6CF5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35" w:type="dxa"/>
            <w:noWrap w:val="0"/>
            <w:vAlign w:val="center"/>
          </w:tcPr>
          <w:p w14:paraId="495B49B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r>
      <w:tr w14:paraId="53DE9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62B3583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442A6FF3">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颗粒物</w:t>
            </w:r>
          </w:p>
        </w:tc>
        <w:tc>
          <w:tcPr>
            <w:tcW w:w="1761" w:type="dxa"/>
            <w:shd w:val="clear" w:color="auto" w:fill="auto"/>
            <w:noWrap w:val="0"/>
            <w:vAlign w:val="center"/>
          </w:tcPr>
          <w:p w14:paraId="70072A6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0D71DD9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5C63A972">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3E87C1B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7.05</w:t>
            </w:r>
          </w:p>
        </w:tc>
        <w:tc>
          <w:tcPr>
            <w:tcW w:w="1650" w:type="dxa"/>
            <w:shd w:val="clear" w:color="auto" w:fill="auto"/>
            <w:noWrap w:val="0"/>
            <w:vAlign w:val="center"/>
          </w:tcPr>
          <w:p w14:paraId="458D625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36F8214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7.05</w:t>
            </w:r>
          </w:p>
        </w:tc>
        <w:tc>
          <w:tcPr>
            <w:tcW w:w="1635" w:type="dxa"/>
            <w:noWrap w:val="0"/>
            <w:vAlign w:val="center"/>
          </w:tcPr>
          <w:p w14:paraId="55BC163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+7.05</w:t>
            </w:r>
          </w:p>
        </w:tc>
      </w:tr>
      <w:tr w14:paraId="632C7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2DC0F60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10C53AA6">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二氧化硫</w:t>
            </w:r>
          </w:p>
        </w:tc>
        <w:tc>
          <w:tcPr>
            <w:tcW w:w="1761" w:type="dxa"/>
            <w:shd w:val="clear" w:color="auto" w:fill="auto"/>
            <w:noWrap w:val="0"/>
            <w:vAlign w:val="center"/>
          </w:tcPr>
          <w:p w14:paraId="0E22E8F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2750B52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637858F5">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1D4F7B9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2.400</w:t>
            </w:r>
          </w:p>
        </w:tc>
        <w:tc>
          <w:tcPr>
            <w:tcW w:w="1650" w:type="dxa"/>
            <w:shd w:val="clear" w:color="auto" w:fill="auto"/>
            <w:noWrap w:val="0"/>
            <w:vAlign w:val="center"/>
          </w:tcPr>
          <w:p w14:paraId="7F32517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79FDCDF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2.400</w:t>
            </w:r>
          </w:p>
        </w:tc>
        <w:tc>
          <w:tcPr>
            <w:tcW w:w="1635" w:type="dxa"/>
            <w:noWrap w:val="0"/>
            <w:vAlign w:val="center"/>
          </w:tcPr>
          <w:p w14:paraId="46091F0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+2.400</w:t>
            </w:r>
          </w:p>
        </w:tc>
      </w:tr>
      <w:tr w14:paraId="35F43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50015E1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77CF02CE">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氮氧化物</w:t>
            </w:r>
          </w:p>
        </w:tc>
        <w:tc>
          <w:tcPr>
            <w:tcW w:w="1761" w:type="dxa"/>
            <w:shd w:val="clear" w:color="auto" w:fill="auto"/>
            <w:noWrap w:val="0"/>
            <w:vAlign w:val="center"/>
          </w:tcPr>
          <w:p w14:paraId="694F57E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4B93064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0F18B6E1">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07DB2F9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10.335</w:t>
            </w:r>
          </w:p>
        </w:tc>
        <w:tc>
          <w:tcPr>
            <w:tcW w:w="1650" w:type="dxa"/>
            <w:shd w:val="clear" w:color="auto" w:fill="auto"/>
            <w:noWrap w:val="0"/>
            <w:vAlign w:val="center"/>
          </w:tcPr>
          <w:p w14:paraId="375EAA5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6725FA6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10.335</w:t>
            </w:r>
          </w:p>
        </w:tc>
        <w:tc>
          <w:tcPr>
            <w:tcW w:w="1635" w:type="dxa"/>
            <w:noWrap w:val="0"/>
            <w:vAlign w:val="center"/>
          </w:tcPr>
          <w:p w14:paraId="3B532C6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+10.335</w:t>
            </w:r>
          </w:p>
        </w:tc>
      </w:tr>
      <w:tr w14:paraId="13246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69577C0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5C8788AB">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汞及其化合物</w:t>
            </w:r>
          </w:p>
        </w:tc>
        <w:tc>
          <w:tcPr>
            <w:tcW w:w="1761" w:type="dxa"/>
            <w:shd w:val="clear" w:color="auto" w:fill="auto"/>
            <w:noWrap w:val="0"/>
            <w:vAlign w:val="center"/>
          </w:tcPr>
          <w:p w14:paraId="253BC04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4967023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05032244">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1336FC35">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0.004</w:t>
            </w:r>
          </w:p>
        </w:tc>
        <w:tc>
          <w:tcPr>
            <w:tcW w:w="1650" w:type="dxa"/>
            <w:shd w:val="clear" w:color="auto" w:fill="auto"/>
            <w:noWrap w:val="0"/>
            <w:vAlign w:val="center"/>
          </w:tcPr>
          <w:p w14:paraId="73B54D9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0433290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0.004</w:t>
            </w:r>
          </w:p>
        </w:tc>
        <w:tc>
          <w:tcPr>
            <w:tcW w:w="1635" w:type="dxa"/>
            <w:noWrap w:val="0"/>
            <w:vAlign w:val="center"/>
          </w:tcPr>
          <w:p w14:paraId="03B9F97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+0.004</w:t>
            </w:r>
          </w:p>
        </w:tc>
      </w:tr>
      <w:tr w14:paraId="600FF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2083BA1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10514E96">
            <w:pPr>
              <w:keepNext w:val="0"/>
              <w:keepLines w:val="0"/>
              <w:widowControl/>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烟气黑度</w:t>
            </w:r>
          </w:p>
        </w:tc>
        <w:tc>
          <w:tcPr>
            <w:tcW w:w="1761" w:type="dxa"/>
            <w:shd w:val="clear" w:color="auto" w:fill="auto"/>
            <w:noWrap w:val="0"/>
            <w:vAlign w:val="center"/>
          </w:tcPr>
          <w:p w14:paraId="437C908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00B39C3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2D4666C5">
            <w:pPr>
              <w:keepNext w:val="0"/>
              <w:keepLines w:val="0"/>
              <w:pageBreakBefore w:val="0"/>
              <w:widowControl/>
              <w:suppressLineNumbers w:val="0"/>
              <w:tabs>
                <w:tab w:val="left" w:pos="240"/>
                <w:tab w:val="center" w:pos="551"/>
              </w:tabs>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13E1963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50" w:type="dxa"/>
            <w:shd w:val="clear" w:color="auto" w:fill="auto"/>
            <w:noWrap w:val="0"/>
            <w:vAlign w:val="center"/>
          </w:tcPr>
          <w:p w14:paraId="494C7E3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376532F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35" w:type="dxa"/>
            <w:noWrap w:val="0"/>
            <w:vAlign w:val="center"/>
          </w:tcPr>
          <w:p w14:paraId="799E248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r>
      <w:tr w14:paraId="17F24D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restart"/>
            <w:noWrap w:val="0"/>
            <w:vAlign w:val="center"/>
          </w:tcPr>
          <w:p w14:paraId="3B76FFB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废水</w:t>
            </w:r>
          </w:p>
        </w:tc>
        <w:tc>
          <w:tcPr>
            <w:tcW w:w="1845" w:type="dxa"/>
            <w:noWrap w:val="0"/>
            <w:vAlign w:val="center"/>
          </w:tcPr>
          <w:p w14:paraId="210CDAA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COD</w:t>
            </w:r>
          </w:p>
        </w:tc>
        <w:tc>
          <w:tcPr>
            <w:tcW w:w="1761" w:type="dxa"/>
            <w:noWrap w:val="0"/>
            <w:vAlign w:val="center"/>
          </w:tcPr>
          <w:p w14:paraId="646F1C1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5525C27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15AA380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53F4700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0.13</w:t>
            </w:r>
          </w:p>
        </w:tc>
        <w:tc>
          <w:tcPr>
            <w:tcW w:w="1650" w:type="dxa"/>
            <w:noWrap w:val="0"/>
            <w:vAlign w:val="center"/>
          </w:tcPr>
          <w:p w14:paraId="5D93CC6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noWrap w:val="0"/>
            <w:vAlign w:val="center"/>
          </w:tcPr>
          <w:p w14:paraId="14A190B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0.13</w:t>
            </w:r>
          </w:p>
        </w:tc>
        <w:tc>
          <w:tcPr>
            <w:tcW w:w="1635" w:type="dxa"/>
            <w:noWrap w:val="0"/>
            <w:vAlign w:val="center"/>
          </w:tcPr>
          <w:p w14:paraId="45155E1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+0.13</w:t>
            </w:r>
          </w:p>
        </w:tc>
      </w:tr>
      <w:tr w14:paraId="34850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1D2E96D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noWrap w:val="0"/>
            <w:vAlign w:val="center"/>
          </w:tcPr>
          <w:p w14:paraId="47C84002">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氨氮</w:t>
            </w:r>
          </w:p>
        </w:tc>
        <w:tc>
          <w:tcPr>
            <w:tcW w:w="1761" w:type="dxa"/>
            <w:noWrap w:val="0"/>
            <w:vAlign w:val="center"/>
          </w:tcPr>
          <w:p w14:paraId="3F21CA0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50D89AC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6CE257E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7718D17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0.05</w:t>
            </w:r>
          </w:p>
        </w:tc>
        <w:tc>
          <w:tcPr>
            <w:tcW w:w="1650" w:type="dxa"/>
            <w:noWrap w:val="0"/>
            <w:vAlign w:val="center"/>
          </w:tcPr>
          <w:p w14:paraId="6937CCB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noWrap w:val="0"/>
            <w:vAlign w:val="center"/>
          </w:tcPr>
          <w:p w14:paraId="4C57A5F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0.05</w:t>
            </w:r>
          </w:p>
        </w:tc>
        <w:tc>
          <w:tcPr>
            <w:tcW w:w="1635" w:type="dxa"/>
            <w:noWrap w:val="0"/>
            <w:vAlign w:val="center"/>
          </w:tcPr>
          <w:p w14:paraId="33B5390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+0.05</w:t>
            </w:r>
          </w:p>
        </w:tc>
      </w:tr>
      <w:tr w14:paraId="66BAA0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restart"/>
            <w:noWrap w:val="0"/>
            <w:vAlign w:val="center"/>
          </w:tcPr>
          <w:p w14:paraId="7C67142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一般工业固体废物</w:t>
            </w:r>
          </w:p>
        </w:tc>
        <w:tc>
          <w:tcPr>
            <w:tcW w:w="1845" w:type="dxa"/>
            <w:shd w:val="clear" w:color="auto" w:fill="auto"/>
            <w:noWrap w:val="0"/>
            <w:vAlign w:val="center"/>
          </w:tcPr>
          <w:p w14:paraId="444FFA5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废包装物</w:t>
            </w:r>
          </w:p>
        </w:tc>
        <w:tc>
          <w:tcPr>
            <w:tcW w:w="1761" w:type="dxa"/>
            <w:shd w:val="clear" w:color="auto" w:fill="auto"/>
            <w:noWrap w:val="0"/>
            <w:vAlign w:val="center"/>
          </w:tcPr>
          <w:p w14:paraId="5884D8E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7F6DF4C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2F64E51D">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2F4DB5F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w:t>
            </w:r>
          </w:p>
        </w:tc>
        <w:tc>
          <w:tcPr>
            <w:tcW w:w="1650" w:type="dxa"/>
            <w:noWrap w:val="0"/>
            <w:vAlign w:val="center"/>
          </w:tcPr>
          <w:p w14:paraId="4D18C9D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1FABACC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w:t>
            </w:r>
          </w:p>
        </w:tc>
        <w:tc>
          <w:tcPr>
            <w:tcW w:w="1635" w:type="dxa"/>
            <w:shd w:val="clear" w:color="auto" w:fill="auto"/>
            <w:noWrap w:val="0"/>
            <w:vAlign w:val="center"/>
          </w:tcPr>
          <w:p w14:paraId="21FDFAE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w:t>
            </w:r>
          </w:p>
        </w:tc>
      </w:tr>
      <w:tr w14:paraId="17469B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3862693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427DA91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除尘灰</w:t>
            </w:r>
          </w:p>
        </w:tc>
        <w:tc>
          <w:tcPr>
            <w:tcW w:w="1761" w:type="dxa"/>
            <w:shd w:val="clear" w:color="auto" w:fill="auto"/>
            <w:noWrap w:val="0"/>
            <w:vAlign w:val="center"/>
          </w:tcPr>
          <w:p w14:paraId="17E49FD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41CCE22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1BE19AB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2457245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132.759</w:t>
            </w:r>
          </w:p>
        </w:tc>
        <w:tc>
          <w:tcPr>
            <w:tcW w:w="1650" w:type="dxa"/>
            <w:noWrap w:val="0"/>
            <w:vAlign w:val="center"/>
          </w:tcPr>
          <w:p w14:paraId="65C1B23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3CC5C29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132.759</w:t>
            </w:r>
          </w:p>
        </w:tc>
        <w:tc>
          <w:tcPr>
            <w:tcW w:w="1635" w:type="dxa"/>
            <w:shd w:val="clear" w:color="auto" w:fill="auto"/>
            <w:noWrap w:val="0"/>
            <w:vAlign w:val="center"/>
          </w:tcPr>
          <w:p w14:paraId="70D70C0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+132.759</w:t>
            </w:r>
          </w:p>
        </w:tc>
      </w:tr>
      <w:tr w14:paraId="286014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44233AB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0D27F3F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废布袋</w:t>
            </w:r>
          </w:p>
        </w:tc>
        <w:tc>
          <w:tcPr>
            <w:tcW w:w="1761" w:type="dxa"/>
            <w:shd w:val="clear" w:color="auto" w:fill="auto"/>
            <w:noWrap w:val="0"/>
            <w:vAlign w:val="center"/>
          </w:tcPr>
          <w:p w14:paraId="783068B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61F8731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1D6B6D5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0315837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1</w:t>
            </w:r>
          </w:p>
        </w:tc>
        <w:tc>
          <w:tcPr>
            <w:tcW w:w="1650" w:type="dxa"/>
            <w:noWrap w:val="0"/>
            <w:vAlign w:val="center"/>
          </w:tcPr>
          <w:p w14:paraId="4B7BB6E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3247EFD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1</w:t>
            </w:r>
          </w:p>
        </w:tc>
        <w:tc>
          <w:tcPr>
            <w:tcW w:w="1635" w:type="dxa"/>
            <w:shd w:val="clear" w:color="auto" w:fill="auto"/>
            <w:noWrap w:val="0"/>
            <w:vAlign w:val="center"/>
          </w:tcPr>
          <w:p w14:paraId="0CEF779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+1</w:t>
            </w:r>
          </w:p>
        </w:tc>
      </w:tr>
      <w:tr w14:paraId="5AA28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7779F4A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60FF16B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沉泥</w:t>
            </w:r>
          </w:p>
        </w:tc>
        <w:tc>
          <w:tcPr>
            <w:tcW w:w="1761" w:type="dxa"/>
            <w:shd w:val="clear" w:color="auto" w:fill="auto"/>
            <w:noWrap w:val="0"/>
            <w:vAlign w:val="center"/>
          </w:tcPr>
          <w:p w14:paraId="50E319B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5871886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098D43E2">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283950E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3</w:t>
            </w:r>
          </w:p>
        </w:tc>
        <w:tc>
          <w:tcPr>
            <w:tcW w:w="1650" w:type="dxa"/>
            <w:noWrap w:val="0"/>
            <w:vAlign w:val="center"/>
          </w:tcPr>
          <w:p w14:paraId="13188FB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7BB3C04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3</w:t>
            </w:r>
          </w:p>
        </w:tc>
        <w:tc>
          <w:tcPr>
            <w:tcW w:w="1635" w:type="dxa"/>
            <w:shd w:val="clear" w:color="auto" w:fill="auto"/>
            <w:noWrap w:val="0"/>
            <w:vAlign w:val="center"/>
          </w:tcPr>
          <w:p w14:paraId="6814EC6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+3</w:t>
            </w:r>
          </w:p>
        </w:tc>
      </w:tr>
      <w:tr w14:paraId="3AEF3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restart"/>
            <w:noWrap w:val="0"/>
            <w:vAlign w:val="center"/>
          </w:tcPr>
          <w:p w14:paraId="4F0E01F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危险废物</w:t>
            </w:r>
          </w:p>
        </w:tc>
        <w:tc>
          <w:tcPr>
            <w:tcW w:w="1845" w:type="dxa"/>
            <w:shd w:val="clear" w:color="auto" w:fill="auto"/>
            <w:noWrap w:val="0"/>
            <w:vAlign w:val="center"/>
          </w:tcPr>
          <w:p w14:paraId="16FF95B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废润滑油</w:t>
            </w:r>
          </w:p>
        </w:tc>
        <w:tc>
          <w:tcPr>
            <w:tcW w:w="1761" w:type="dxa"/>
            <w:noWrap w:val="0"/>
            <w:vAlign w:val="center"/>
          </w:tcPr>
          <w:p w14:paraId="377DC1D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0DCF6FD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1F94A6D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2ADFDB1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0.03</w:t>
            </w:r>
          </w:p>
        </w:tc>
        <w:tc>
          <w:tcPr>
            <w:tcW w:w="1650" w:type="dxa"/>
            <w:noWrap w:val="0"/>
            <w:vAlign w:val="center"/>
          </w:tcPr>
          <w:p w14:paraId="25DFB77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5DD242B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0.03</w:t>
            </w:r>
          </w:p>
        </w:tc>
        <w:tc>
          <w:tcPr>
            <w:tcW w:w="1635" w:type="dxa"/>
            <w:shd w:val="clear" w:color="auto" w:fill="auto"/>
            <w:noWrap w:val="0"/>
            <w:vAlign w:val="center"/>
          </w:tcPr>
          <w:p w14:paraId="59CF783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+0.03</w:t>
            </w:r>
          </w:p>
        </w:tc>
      </w:tr>
      <w:tr w14:paraId="248FBC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0C7E13D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52D5B19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废液压油</w:t>
            </w:r>
          </w:p>
        </w:tc>
        <w:tc>
          <w:tcPr>
            <w:tcW w:w="1761" w:type="dxa"/>
            <w:shd w:val="clear" w:color="auto" w:fill="auto"/>
            <w:noWrap w:val="0"/>
            <w:vAlign w:val="center"/>
          </w:tcPr>
          <w:p w14:paraId="325098A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035DDF8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6D913EA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029E1EB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0.06</w:t>
            </w:r>
          </w:p>
        </w:tc>
        <w:tc>
          <w:tcPr>
            <w:tcW w:w="1650" w:type="dxa"/>
            <w:noWrap w:val="0"/>
            <w:vAlign w:val="center"/>
          </w:tcPr>
          <w:p w14:paraId="5E4A748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23F20B9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0.06</w:t>
            </w:r>
          </w:p>
        </w:tc>
        <w:tc>
          <w:tcPr>
            <w:tcW w:w="1635" w:type="dxa"/>
            <w:shd w:val="clear" w:color="auto" w:fill="auto"/>
            <w:noWrap w:val="0"/>
            <w:vAlign w:val="center"/>
          </w:tcPr>
          <w:p w14:paraId="03694F0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+0.06</w:t>
            </w:r>
          </w:p>
        </w:tc>
      </w:tr>
      <w:tr w14:paraId="4A1CF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6E66110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507CAE4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废油桶</w:t>
            </w:r>
          </w:p>
        </w:tc>
        <w:tc>
          <w:tcPr>
            <w:tcW w:w="1761" w:type="dxa"/>
            <w:shd w:val="clear" w:color="auto" w:fill="auto"/>
            <w:noWrap w:val="0"/>
            <w:vAlign w:val="center"/>
          </w:tcPr>
          <w:p w14:paraId="120630E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02512A7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44020B3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2141D6A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0.01</w:t>
            </w:r>
          </w:p>
        </w:tc>
        <w:tc>
          <w:tcPr>
            <w:tcW w:w="1650" w:type="dxa"/>
            <w:noWrap w:val="0"/>
            <w:vAlign w:val="center"/>
          </w:tcPr>
          <w:p w14:paraId="793F666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563BE80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0.01</w:t>
            </w:r>
          </w:p>
        </w:tc>
        <w:tc>
          <w:tcPr>
            <w:tcW w:w="1635" w:type="dxa"/>
            <w:shd w:val="clear" w:color="auto" w:fill="auto"/>
            <w:noWrap w:val="0"/>
            <w:vAlign w:val="center"/>
          </w:tcPr>
          <w:p w14:paraId="7677F79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+0.01</w:t>
            </w:r>
          </w:p>
        </w:tc>
      </w:tr>
      <w:tr w14:paraId="2FAC1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4BED83B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4D5C16B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废活性炭</w:t>
            </w:r>
          </w:p>
        </w:tc>
        <w:tc>
          <w:tcPr>
            <w:tcW w:w="1761" w:type="dxa"/>
            <w:shd w:val="clear" w:color="auto" w:fill="auto"/>
            <w:noWrap w:val="0"/>
            <w:vAlign w:val="center"/>
          </w:tcPr>
          <w:p w14:paraId="22C7CF2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1AF2EE0D">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441F951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19A5D72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w:t>
            </w:r>
          </w:p>
        </w:tc>
        <w:tc>
          <w:tcPr>
            <w:tcW w:w="1650" w:type="dxa"/>
            <w:noWrap w:val="0"/>
            <w:vAlign w:val="center"/>
          </w:tcPr>
          <w:p w14:paraId="00C1F04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39A6A91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w:t>
            </w:r>
          </w:p>
        </w:tc>
        <w:tc>
          <w:tcPr>
            <w:tcW w:w="1635" w:type="dxa"/>
            <w:shd w:val="clear" w:color="auto" w:fill="auto"/>
            <w:noWrap w:val="0"/>
            <w:vAlign w:val="center"/>
          </w:tcPr>
          <w:p w14:paraId="53FAAB1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w:t>
            </w:r>
          </w:p>
        </w:tc>
      </w:tr>
      <w:tr w14:paraId="7D637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1E1FB34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3002FDD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污泥</w:t>
            </w:r>
          </w:p>
        </w:tc>
        <w:tc>
          <w:tcPr>
            <w:tcW w:w="1761" w:type="dxa"/>
            <w:shd w:val="clear" w:color="auto" w:fill="auto"/>
            <w:noWrap w:val="0"/>
            <w:vAlign w:val="center"/>
          </w:tcPr>
          <w:p w14:paraId="59374CE4">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7BE8B482">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shd w:val="clear" w:color="auto" w:fill="auto"/>
            <w:noWrap w:val="0"/>
            <w:vAlign w:val="center"/>
          </w:tcPr>
          <w:p w14:paraId="7468D3F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4CCC1FA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w:t>
            </w:r>
          </w:p>
        </w:tc>
        <w:tc>
          <w:tcPr>
            <w:tcW w:w="1650" w:type="dxa"/>
            <w:shd w:val="clear" w:color="auto" w:fill="auto"/>
            <w:noWrap w:val="0"/>
            <w:vAlign w:val="center"/>
          </w:tcPr>
          <w:p w14:paraId="4569F12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78945C91">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w:t>
            </w:r>
          </w:p>
        </w:tc>
        <w:tc>
          <w:tcPr>
            <w:tcW w:w="1635" w:type="dxa"/>
            <w:shd w:val="clear" w:color="auto" w:fill="auto"/>
            <w:noWrap w:val="0"/>
            <w:vAlign w:val="center"/>
          </w:tcPr>
          <w:p w14:paraId="7CDFBC7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w:t>
            </w:r>
          </w:p>
        </w:tc>
      </w:tr>
      <w:tr w14:paraId="582A4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0B9311CD">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2341D89C">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废过滤膜</w:t>
            </w:r>
          </w:p>
        </w:tc>
        <w:tc>
          <w:tcPr>
            <w:tcW w:w="1761" w:type="dxa"/>
            <w:shd w:val="clear" w:color="auto" w:fill="auto"/>
            <w:noWrap w:val="0"/>
            <w:vAlign w:val="center"/>
          </w:tcPr>
          <w:p w14:paraId="17FA9487">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003B696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0F39827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575159B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0.01</w:t>
            </w:r>
          </w:p>
        </w:tc>
        <w:tc>
          <w:tcPr>
            <w:tcW w:w="1650" w:type="dxa"/>
            <w:noWrap w:val="0"/>
            <w:vAlign w:val="center"/>
          </w:tcPr>
          <w:p w14:paraId="2144C67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31D0899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0.01</w:t>
            </w:r>
          </w:p>
        </w:tc>
        <w:tc>
          <w:tcPr>
            <w:tcW w:w="1635" w:type="dxa"/>
            <w:shd w:val="clear" w:color="auto" w:fill="auto"/>
            <w:noWrap w:val="0"/>
            <w:vAlign w:val="center"/>
          </w:tcPr>
          <w:p w14:paraId="73B2A53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+0.01</w:t>
            </w:r>
          </w:p>
        </w:tc>
      </w:tr>
      <w:tr w14:paraId="7FEB1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4335F11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7966F84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废试剂</w:t>
            </w:r>
          </w:p>
        </w:tc>
        <w:tc>
          <w:tcPr>
            <w:tcW w:w="1761" w:type="dxa"/>
            <w:shd w:val="clear" w:color="auto" w:fill="auto"/>
            <w:noWrap w:val="0"/>
            <w:vAlign w:val="center"/>
          </w:tcPr>
          <w:p w14:paraId="3A4D8C5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78AF4D7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7F27827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7A4C949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w:t>
            </w:r>
          </w:p>
        </w:tc>
        <w:tc>
          <w:tcPr>
            <w:tcW w:w="1650" w:type="dxa"/>
            <w:noWrap w:val="0"/>
            <w:vAlign w:val="center"/>
          </w:tcPr>
          <w:p w14:paraId="0BBFAB20">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7C36635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w:t>
            </w:r>
          </w:p>
        </w:tc>
        <w:tc>
          <w:tcPr>
            <w:tcW w:w="1635" w:type="dxa"/>
            <w:shd w:val="clear" w:color="auto" w:fill="auto"/>
            <w:noWrap w:val="0"/>
            <w:vAlign w:val="center"/>
          </w:tcPr>
          <w:p w14:paraId="0B47458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w:t>
            </w:r>
          </w:p>
        </w:tc>
      </w:tr>
      <w:tr w14:paraId="0E4DA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082E75C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6DA603C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废试剂瓶</w:t>
            </w:r>
          </w:p>
        </w:tc>
        <w:tc>
          <w:tcPr>
            <w:tcW w:w="1761" w:type="dxa"/>
            <w:shd w:val="clear" w:color="auto" w:fill="auto"/>
            <w:noWrap w:val="0"/>
            <w:vAlign w:val="center"/>
          </w:tcPr>
          <w:p w14:paraId="3DF80EA9">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1B02E28E">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039C4E4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544F204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0.01</w:t>
            </w:r>
          </w:p>
        </w:tc>
        <w:tc>
          <w:tcPr>
            <w:tcW w:w="1650" w:type="dxa"/>
            <w:noWrap w:val="0"/>
            <w:vAlign w:val="center"/>
          </w:tcPr>
          <w:p w14:paraId="0DF298A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221381F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0.01</w:t>
            </w:r>
          </w:p>
        </w:tc>
        <w:tc>
          <w:tcPr>
            <w:tcW w:w="1635" w:type="dxa"/>
            <w:shd w:val="clear" w:color="auto" w:fill="auto"/>
            <w:noWrap w:val="0"/>
            <w:vAlign w:val="center"/>
          </w:tcPr>
          <w:p w14:paraId="72D63AB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+0.01</w:t>
            </w:r>
          </w:p>
        </w:tc>
      </w:tr>
      <w:tr w14:paraId="42A94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7" w:type="dxa"/>
            <w:vMerge w:val="continue"/>
            <w:noWrap w:val="0"/>
            <w:vAlign w:val="center"/>
          </w:tcPr>
          <w:p w14:paraId="149F96B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p>
        </w:tc>
        <w:tc>
          <w:tcPr>
            <w:tcW w:w="1845" w:type="dxa"/>
            <w:shd w:val="clear" w:color="auto" w:fill="auto"/>
            <w:noWrap w:val="0"/>
            <w:vAlign w:val="center"/>
          </w:tcPr>
          <w:p w14:paraId="32816D1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废催化剂</w:t>
            </w:r>
          </w:p>
        </w:tc>
        <w:tc>
          <w:tcPr>
            <w:tcW w:w="1761" w:type="dxa"/>
            <w:shd w:val="clear" w:color="auto" w:fill="auto"/>
            <w:noWrap w:val="0"/>
            <w:vAlign w:val="center"/>
          </w:tcPr>
          <w:p w14:paraId="087A25CD">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shd w:val="clear" w:color="auto" w:fill="auto"/>
            <w:noWrap w:val="0"/>
            <w:vAlign w:val="center"/>
          </w:tcPr>
          <w:p w14:paraId="56DBDBD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shd w:val="clear" w:color="auto" w:fill="auto"/>
            <w:noWrap w:val="0"/>
            <w:vAlign w:val="center"/>
          </w:tcPr>
          <w:p w14:paraId="4234C583">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shd w:val="clear" w:color="auto" w:fill="auto"/>
            <w:noWrap w:val="0"/>
            <w:vAlign w:val="center"/>
          </w:tcPr>
          <w:p w14:paraId="65DEE58B">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0.1</w:t>
            </w:r>
          </w:p>
        </w:tc>
        <w:tc>
          <w:tcPr>
            <w:tcW w:w="1650" w:type="dxa"/>
            <w:shd w:val="clear" w:color="auto" w:fill="auto"/>
            <w:noWrap w:val="0"/>
            <w:vAlign w:val="center"/>
          </w:tcPr>
          <w:p w14:paraId="5DDC4228">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shd w:val="clear" w:color="auto" w:fill="auto"/>
            <w:noWrap w:val="0"/>
            <w:vAlign w:val="center"/>
          </w:tcPr>
          <w:p w14:paraId="42FA590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0.1</w:t>
            </w:r>
          </w:p>
        </w:tc>
        <w:tc>
          <w:tcPr>
            <w:tcW w:w="1635" w:type="dxa"/>
            <w:shd w:val="clear" w:color="auto" w:fill="auto"/>
            <w:noWrap w:val="0"/>
            <w:vAlign w:val="center"/>
          </w:tcPr>
          <w:p w14:paraId="69777BF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+0.1</w:t>
            </w:r>
          </w:p>
        </w:tc>
      </w:tr>
      <w:tr w14:paraId="3E499B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02" w:type="dxa"/>
            <w:gridSpan w:val="2"/>
            <w:noWrap w:val="0"/>
            <w:vAlign w:val="center"/>
          </w:tcPr>
          <w:p w14:paraId="404A8ED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生活垃圾</w:t>
            </w:r>
          </w:p>
        </w:tc>
        <w:tc>
          <w:tcPr>
            <w:tcW w:w="1761" w:type="dxa"/>
            <w:noWrap w:val="0"/>
            <w:vAlign w:val="center"/>
          </w:tcPr>
          <w:p w14:paraId="70CBFC3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455" w:type="dxa"/>
            <w:noWrap w:val="0"/>
            <w:vAlign w:val="center"/>
          </w:tcPr>
          <w:p w14:paraId="2916369A">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200" w:type="dxa"/>
            <w:noWrap w:val="0"/>
            <w:vAlign w:val="center"/>
          </w:tcPr>
          <w:p w14:paraId="7B9FCADF">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80" w:type="dxa"/>
            <w:noWrap w:val="0"/>
            <w:vAlign w:val="center"/>
          </w:tcPr>
          <w:p w14:paraId="591FAAF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7.5</w:t>
            </w:r>
          </w:p>
        </w:tc>
        <w:tc>
          <w:tcPr>
            <w:tcW w:w="1650" w:type="dxa"/>
            <w:shd w:val="clear" w:color="auto" w:fill="auto"/>
            <w:noWrap w:val="0"/>
            <w:vAlign w:val="center"/>
          </w:tcPr>
          <w:p w14:paraId="5C2A1D7B">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w:t>
            </w:r>
          </w:p>
        </w:tc>
        <w:tc>
          <w:tcPr>
            <w:tcW w:w="1605" w:type="dxa"/>
            <w:noWrap w:val="0"/>
            <w:vAlign w:val="center"/>
          </w:tcPr>
          <w:p w14:paraId="6260EEC6">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7.5</w:t>
            </w:r>
          </w:p>
        </w:tc>
        <w:tc>
          <w:tcPr>
            <w:tcW w:w="1635" w:type="dxa"/>
            <w:shd w:val="clear" w:color="auto" w:fill="auto"/>
            <w:noWrap w:val="0"/>
            <w:vAlign w:val="center"/>
          </w:tcPr>
          <w:p w14:paraId="56B35D7C">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spacing w:val="0"/>
                <w:kern w:val="0"/>
                <w:sz w:val="21"/>
                <w:szCs w:val="21"/>
                <w:highlight w:val="none"/>
                <w:u w:val="none"/>
                <w:lang w:val="en-US" w:eastAsia="zh-CN" w:bidi="ar"/>
                <w14:textFill>
                  <w14:solidFill>
                    <w14:schemeClr w14:val="tx1"/>
                  </w14:solidFill>
                </w14:textFill>
              </w:rPr>
              <w:t>7.5</w:t>
            </w:r>
          </w:p>
        </w:tc>
      </w:tr>
    </w:tbl>
    <w:p w14:paraId="2F4F1C07">
      <w:pPr>
        <w:pageBreakBefore w:val="0"/>
        <w:wordWrap/>
        <w:bidi w:val="0"/>
        <w:adjustRightInd w:val="0"/>
        <w:snapToGrid w:val="0"/>
        <w:rPr>
          <w:rFonts w:hint="default" w:ascii="Times New Roman" w:hAnsi="Times New Roman" w:cs="Times New Roman"/>
          <w:color w:val="000000" w:themeColor="text1"/>
          <w:spacing w:val="0"/>
          <w:sz w:val="24"/>
          <w:highlight w:val="none"/>
          <w14:textFill>
            <w14:solidFill>
              <w14:schemeClr w14:val="tx1"/>
            </w14:solidFill>
          </w14:textFill>
        </w:rPr>
      </w:pP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注：</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⑥</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①</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③</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④</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⑤</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⑦</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⑥</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t>-</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separate"/>
      </w:r>
      <w:r>
        <w:rPr>
          <w:rFonts w:hint="default" w:ascii="Times New Roman" w:hAnsi="Times New Roman" w:cs="Times New Roman"/>
          <w:color w:val="000000" w:themeColor="text1"/>
          <w:spacing w:val="0"/>
          <w:sz w:val="24"/>
          <w:szCs w:val="24"/>
          <w:highlight w:val="none"/>
          <w14:textFill>
            <w14:solidFill>
              <w14:schemeClr w14:val="tx1"/>
            </w14:solidFill>
          </w14:textFill>
        </w:rPr>
        <w:t>①</w:t>
      </w:r>
      <w:r>
        <w:rPr>
          <w:rFonts w:hint="default" w:ascii="Times New Roman" w:hAnsi="Times New Roman" w:cs="Times New Roman"/>
          <w:snapToGrid w:val="0"/>
          <w:color w:val="000000" w:themeColor="text1"/>
          <w:spacing w:val="0"/>
          <w:kern w:val="21"/>
          <w:sz w:val="24"/>
          <w:szCs w:val="24"/>
          <w:highlight w:val="none"/>
          <w14:textFill>
            <w14:solidFill>
              <w14:schemeClr w14:val="tx1"/>
            </w14:solidFill>
          </w14:textFill>
        </w:rPr>
        <w:fldChar w:fldCharType="end"/>
      </w:r>
    </w:p>
    <w:sectPr>
      <w:footerReference r:id="rId7" w:type="default"/>
      <w:pgSz w:w="16838" w:h="11906" w:orient="landscape"/>
      <w:pgMar w:top="1417" w:right="1701" w:bottom="1417"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font404">
    <w:altName w:val="Arial"/>
    <w:panose1 w:val="00000000000000000000"/>
    <w:charset w:val="00"/>
    <w:family w:val="swiss"/>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auto"/>
    <w:pitch w:val="default"/>
    <w:sig w:usb0="00000203" w:usb1="288F0000" w:usb2="0000000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EDCF9">
    <w:pPr>
      <w:pStyle w:val="2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A2D60">
    <w:pPr>
      <w:pStyle w:val="22"/>
      <w:framePr w:wrap="around" w:vAnchor="text" w:hAnchor="margin" w:xAlign="center" w:y="1"/>
      <w:rPr>
        <w:rStyle w:val="34"/>
      </w:rPr>
    </w:pPr>
    <w:r>
      <w:fldChar w:fldCharType="begin"/>
    </w:r>
    <w:r>
      <w:rPr>
        <w:rStyle w:val="34"/>
      </w:rPr>
      <w:instrText xml:space="preserve">PAGE  </w:instrText>
    </w:r>
    <w:r>
      <w:fldChar w:fldCharType="end"/>
    </w:r>
  </w:p>
  <w:p w14:paraId="2AC45FBC">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F9D47">
    <w:pPr>
      <w:pStyle w:val="2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8686">
    <w:pPr>
      <w:pStyle w:val="22"/>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7D7C5">
                          <w:pPr>
                            <w:pStyle w:val="22"/>
                            <w:rPr>
                              <w:rStyle w:val="34"/>
                              <w:rFonts w:ascii="宋体" w:hAnsi="宋体"/>
                              <w:sz w:val="28"/>
                              <w:szCs w:val="28"/>
                            </w:rPr>
                          </w:pPr>
                          <w:r>
                            <w:rPr>
                              <w:rStyle w:val="34"/>
                              <w:rFonts w:hint="eastAsia" w:ascii="宋体" w:hAnsi="宋体"/>
                              <w:sz w:val="28"/>
                              <w:szCs w:val="28"/>
                            </w:rPr>
                            <w:t>—</w:t>
                          </w:r>
                          <w:r>
                            <w:rPr>
                              <w:rStyle w:val="34"/>
                              <w:rFonts w:hint="eastAsia" w:ascii="宋体" w:hAnsi="宋体"/>
                              <w:sz w:val="20"/>
                            </w:rPr>
                            <w:t xml:space="preserve">  </w:t>
                          </w:r>
                          <w:r>
                            <w:rPr>
                              <w:rStyle w:val="34"/>
                              <w:rFonts w:ascii="宋体" w:hAnsi="宋体"/>
                              <w:sz w:val="26"/>
                              <w:szCs w:val="26"/>
                            </w:rPr>
                            <w:fldChar w:fldCharType="begin"/>
                          </w:r>
                          <w:r>
                            <w:rPr>
                              <w:rStyle w:val="34"/>
                              <w:rFonts w:ascii="宋体" w:hAnsi="宋体"/>
                              <w:sz w:val="26"/>
                              <w:szCs w:val="26"/>
                            </w:rPr>
                            <w:instrText xml:space="preserve">PAGE  </w:instrText>
                          </w:r>
                          <w:r>
                            <w:rPr>
                              <w:rStyle w:val="34"/>
                              <w:rFonts w:ascii="宋体" w:hAnsi="宋体"/>
                              <w:sz w:val="26"/>
                              <w:szCs w:val="26"/>
                            </w:rPr>
                            <w:fldChar w:fldCharType="separate"/>
                          </w:r>
                          <w:r>
                            <w:rPr>
                              <w:rStyle w:val="34"/>
                              <w:rFonts w:ascii="宋体" w:hAnsi="宋体"/>
                              <w:sz w:val="26"/>
                              <w:szCs w:val="26"/>
                            </w:rPr>
                            <w:t>9</w:t>
                          </w:r>
                          <w:r>
                            <w:rPr>
                              <w:rStyle w:val="34"/>
                              <w:rFonts w:ascii="宋体" w:hAnsi="宋体"/>
                              <w:sz w:val="26"/>
                              <w:szCs w:val="26"/>
                            </w:rPr>
                            <w:fldChar w:fldCharType="end"/>
                          </w:r>
                          <w:r>
                            <w:rPr>
                              <w:rStyle w:val="34"/>
                              <w:rFonts w:hint="eastAsia" w:ascii="宋体" w:hAnsi="宋体"/>
                              <w:sz w:val="20"/>
                            </w:rPr>
                            <w:t xml:space="preserve">  </w:t>
                          </w:r>
                          <w:r>
                            <w:rPr>
                              <w:rStyle w:val="34"/>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A7D7C5">
                    <w:pPr>
                      <w:pStyle w:val="22"/>
                      <w:rPr>
                        <w:rStyle w:val="34"/>
                        <w:rFonts w:ascii="宋体" w:hAnsi="宋体"/>
                        <w:sz w:val="28"/>
                        <w:szCs w:val="28"/>
                      </w:rPr>
                    </w:pPr>
                    <w:r>
                      <w:rPr>
                        <w:rStyle w:val="34"/>
                        <w:rFonts w:hint="eastAsia" w:ascii="宋体" w:hAnsi="宋体"/>
                        <w:sz w:val="28"/>
                        <w:szCs w:val="28"/>
                      </w:rPr>
                      <w:t>—</w:t>
                    </w:r>
                    <w:r>
                      <w:rPr>
                        <w:rStyle w:val="34"/>
                        <w:rFonts w:hint="eastAsia" w:ascii="宋体" w:hAnsi="宋体"/>
                        <w:sz w:val="20"/>
                      </w:rPr>
                      <w:t xml:space="preserve">  </w:t>
                    </w:r>
                    <w:r>
                      <w:rPr>
                        <w:rStyle w:val="34"/>
                        <w:rFonts w:ascii="宋体" w:hAnsi="宋体"/>
                        <w:sz w:val="26"/>
                        <w:szCs w:val="26"/>
                      </w:rPr>
                      <w:fldChar w:fldCharType="begin"/>
                    </w:r>
                    <w:r>
                      <w:rPr>
                        <w:rStyle w:val="34"/>
                        <w:rFonts w:ascii="宋体" w:hAnsi="宋体"/>
                        <w:sz w:val="26"/>
                        <w:szCs w:val="26"/>
                      </w:rPr>
                      <w:instrText xml:space="preserve">PAGE  </w:instrText>
                    </w:r>
                    <w:r>
                      <w:rPr>
                        <w:rStyle w:val="34"/>
                        <w:rFonts w:ascii="宋体" w:hAnsi="宋体"/>
                        <w:sz w:val="26"/>
                        <w:szCs w:val="26"/>
                      </w:rPr>
                      <w:fldChar w:fldCharType="separate"/>
                    </w:r>
                    <w:r>
                      <w:rPr>
                        <w:rStyle w:val="34"/>
                        <w:rFonts w:ascii="宋体" w:hAnsi="宋体"/>
                        <w:sz w:val="26"/>
                        <w:szCs w:val="26"/>
                      </w:rPr>
                      <w:t>9</w:t>
                    </w:r>
                    <w:r>
                      <w:rPr>
                        <w:rStyle w:val="34"/>
                        <w:rFonts w:ascii="宋体" w:hAnsi="宋体"/>
                        <w:sz w:val="26"/>
                        <w:szCs w:val="26"/>
                      </w:rPr>
                      <w:fldChar w:fldCharType="end"/>
                    </w:r>
                    <w:r>
                      <w:rPr>
                        <w:rStyle w:val="34"/>
                        <w:rFonts w:hint="eastAsia" w:ascii="宋体" w:hAnsi="宋体"/>
                        <w:sz w:val="20"/>
                      </w:rPr>
                      <w:t xml:space="preserve">  </w:t>
                    </w:r>
                    <w:r>
                      <w:rPr>
                        <w:rStyle w:val="34"/>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31F">
    <w:pPr>
      <w:pStyle w:val="22"/>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C4760">
                          <w:pPr>
                            <w:pStyle w:val="22"/>
                            <w:rPr>
                              <w:rStyle w:val="34"/>
                              <w:rFonts w:ascii="宋体" w:hAnsi="宋体"/>
                              <w:sz w:val="28"/>
                              <w:szCs w:val="28"/>
                            </w:rPr>
                          </w:pPr>
                          <w:r>
                            <w:rPr>
                              <w:rStyle w:val="34"/>
                              <w:rFonts w:hint="eastAsia" w:ascii="宋体" w:hAnsi="宋体"/>
                              <w:sz w:val="28"/>
                              <w:szCs w:val="28"/>
                            </w:rPr>
                            <w:t>—</w:t>
                          </w:r>
                          <w:r>
                            <w:rPr>
                              <w:rStyle w:val="34"/>
                              <w:rFonts w:hint="eastAsia" w:ascii="宋体" w:hAnsi="宋体"/>
                              <w:sz w:val="20"/>
                            </w:rPr>
                            <w:t xml:space="preserve">  </w:t>
                          </w:r>
                          <w:r>
                            <w:rPr>
                              <w:rStyle w:val="34"/>
                              <w:rFonts w:ascii="宋体" w:hAnsi="宋体"/>
                              <w:sz w:val="26"/>
                              <w:szCs w:val="26"/>
                            </w:rPr>
                            <w:fldChar w:fldCharType="begin"/>
                          </w:r>
                          <w:r>
                            <w:rPr>
                              <w:rStyle w:val="34"/>
                              <w:rFonts w:ascii="宋体" w:hAnsi="宋体"/>
                              <w:sz w:val="26"/>
                              <w:szCs w:val="26"/>
                            </w:rPr>
                            <w:instrText xml:space="preserve">PAGE  </w:instrText>
                          </w:r>
                          <w:r>
                            <w:rPr>
                              <w:rStyle w:val="34"/>
                              <w:rFonts w:ascii="宋体" w:hAnsi="宋体"/>
                              <w:sz w:val="26"/>
                              <w:szCs w:val="26"/>
                            </w:rPr>
                            <w:fldChar w:fldCharType="separate"/>
                          </w:r>
                          <w:r>
                            <w:rPr>
                              <w:rStyle w:val="34"/>
                              <w:rFonts w:ascii="宋体" w:hAnsi="宋体"/>
                              <w:sz w:val="26"/>
                              <w:szCs w:val="26"/>
                            </w:rPr>
                            <w:t>11</w:t>
                          </w:r>
                          <w:r>
                            <w:rPr>
                              <w:rStyle w:val="34"/>
                              <w:rFonts w:ascii="宋体" w:hAnsi="宋体"/>
                              <w:sz w:val="26"/>
                              <w:szCs w:val="26"/>
                            </w:rPr>
                            <w:fldChar w:fldCharType="end"/>
                          </w:r>
                          <w:r>
                            <w:rPr>
                              <w:rStyle w:val="34"/>
                              <w:rFonts w:hint="eastAsia" w:ascii="宋体" w:hAnsi="宋体"/>
                              <w:sz w:val="20"/>
                            </w:rPr>
                            <w:t xml:space="preserve">  </w:t>
                          </w:r>
                          <w:r>
                            <w:rPr>
                              <w:rStyle w:val="34"/>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BAC4760">
                    <w:pPr>
                      <w:pStyle w:val="22"/>
                      <w:rPr>
                        <w:rStyle w:val="34"/>
                        <w:rFonts w:ascii="宋体" w:hAnsi="宋体"/>
                        <w:sz w:val="28"/>
                        <w:szCs w:val="28"/>
                      </w:rPr>
                    </w:pPr>
                    <w:r>
                      <w:rPr>
                        <w:rStyle w:val="34"/>
                        <w:rFonts w:hint="eastAsia" w:ascii="宋体" w:hAnsi="宋体"/>
                        <w:sz w:val="28"/>
                        <w:szCs w:val="28"/>
                      </w:rPr>
                      <w:t>—</w:t>
                    </w:r>
                    <w:r>
                      <w:rPr>
                        <w:rStyle w:val="34"/>
                        <w:rFonts w:hint="eastAsia" w:ascii="宋体" w:hAnsi="宋体"/>
                        <w:sz w:val="20"/>
                      </w:rPr>
                      <w:t xml:space="preserve">  </w:t>
                    </w:r>
                    <w:r>
                      <w:rPr>
                        <w:rStyle w:val="34"/>
                        <w:rFonts w:ascii="宋体" w:hAnsi="宋体"/>
                        <w:sz w:val="26"/>
                        <w:szCs w:val="26"/>
                      </w:rPr>
                      <w:fldChar w:fldCharType="begin"/>
                    </w:r>
                    <w:r>
                      <w:rPr>
                        <w:rStyle w:val="34"/>
                        <w:rFonts w:ascii="宋体" w:hAnsi="宋体"/>
                        <w:sz w:val="26"/>
                        <w:szCs w:val="26"/>
                      </w:rPr>
                      <w:instrText xml:space="preserve">PAGE  </w:instrText>
                    </w:r>
                    <w:r>
                      <w:rPr>
                        <w:rStyle w:val="34"/>
                        <w:rFonts w:ascii="宋体" w:hAnsi="宋体"/>
                        <w:sz w:val="26"/>
                        <w:szCs w:val="26"/>
                      </w:rPr>
                      <w:fldChar w:fldCharType="separate"/>
                    </w:r>
                    <w:r>
                      <w:rPr>
                        <w:rStyle w:val="34"/>
                        <w:rFonts w:ascii="宋体" w:hAnsi="宋体"/>
                        <w:sz w:val="26"/>
                        <w:szCs w:val="26"/>
                      </w:rPr>
                      <w:t>11</w:t>
                    </w:r>
                    <w:r>
                      <w:rPr>
                        <w:rStyle w:val="34"/>
                        <w:rFonts w:ascii="宋体" w:hAnsi="宋体"/>
                        <w:sz w:val="26"/>
                        <w:szCs w:val="26"/>
                      </w:rPr>
                      <w:fldChar w:fldCharType="end"/>
                    </w:r>
                    <w:r>
                      <w:rPr>
                        <w:rStyle w:val="34"/>
                        <w:rFonts w:hint="eastAsia" w:ascii="宋体" w:hAnsi="宋体"/>
                        <w:sz w:val="20"/>
                      </w:rPr>
                      <w:t xml:space="preserve">  </w:t>
                    </w:r>
                    <w:r>
                      <w:rPr>
                        <w:rStyle w:val="34"/>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83756"/>
    <w:multiLevelType w:val="singleLevel"/>
    <w:tmpl w:val="96283756"/>
    <w:lvl w:ilvl="0" w:tentative="0">
      <w:start w:val="1"/>
      <w:numFmt w:val="lowerLetter"/>
      <w:lvlText w:val="%1)"/>
      <w:lvlJc w:val="left"/>
      <w:pPr>
        <w:tabs>
          <w:tab w:val="left" w:pos="312"/>
        </w:tabs>
      </w:pPr>
    </w:lvl>
  </w:abstractNum>
  <w:abstractNum w:abstractNumId="1">
    <w:nsid w:val="9D69B771"/>
    <w:multiLevelType w:val="singleLevel"/>
    <w:tmpl w:val="9D69B771"/>
    <w:lvl w:ilvl="0" w:tentative="0">
      <w:start w:val="3"/>
      <w:numFmt w:val="decimal"/>
      <w:suff w:val="nothing"/>
      <w:lvlText w:val="%1、"/>
      <w:lvlJc w:val="left"/>
    </w:lvl>
  </w:abstractNum>
  <w:abstractNum w:abstractNumId="2">
    <w:nsid w:val="9F337C99"/>
    <w:multiLevelType w:val="singleLevel"/>
    <w:tmpl w:val="9F337C99"/>
    <w:lvl w:ilvl="0" w:tentative="0">
      <w:start w:val="1"/>
      <w:numFmt w:val="decimal"/>
      <w:pStyle w:val="102"/>
      <w:lvlText w:val="表2.3-%1"/>
      <w:lvlJc w:val="center"/>
      <w:pPr>
        <w:tabs>
          <w:tab w:val="left" w:pos="0"/>
        </w:tabs>
        <w:ind w:left="0" w:leftChars="0" w:firstLine="0" w:firstLineChars="0"/>
      </w:pPr>
      <w:rPr>
        <w:rFonts w:hint="default" w:ascii="宋体" w:hAnsi="宋体" w:eastAsia="宋体" w:cs="宋体"/>
      </w:rPr>
    </w:lvl>
  </w:abstractNum>
  <w:abstractNum w:abstractNumId="3">
    <w:nsid w:val="A6688FCD"/>
    <w:multiLevelType w:val="singleLevel"/>
    <w:tmpl w:val="A6688FCD"/>
    <w:lvl w:ilvl="0" w:tentative="0">
      <w:start w:val="4"/>
      <w:numFmt w:val="decimal"/>
      <w:suff w:val="nothing"/>
      <w:lvlText w:val="%1、"/>
      <w:lvlJc w:val="left"/>
    </w:lvl>
  </w:abstractNum>
  <w:abstractNum w:abstractNumId="4">
    <w:nsid w:val="CFC7C55C"/>
    <w:multiLevelType w:val="singleLevel"/>
    <w:tmpl w:val="CFC7C55C"/>
    <w:lvl w:ilvl="0" w:tentative="0">
      <w:start w:val="1"/>
      <w:numFmt w:val="decimal"/>
      <w:pStyle w:val="103"/>
      <w:lvlText w:val="表3.1-%1"/>
      <w:lvlJc w:val="center"/>
      <w:pPr>
        <w:tabs>
          <w:tab w:val="left" w:pos="0"/>
        </w:tabs>
        <w:ind w:left="0" w:leftChars="0" w:firstLine="0" w:firstLineChars="0"/>
      </w:pPr>
      <w:rPr>
        <w:rFonts w:hint="default" w:ascii="宋体" w:hAnsi="宋体" w:eastAsia="宋体" w:cs="宋体"/>
      </w:rPr>
    </w:lvl>
  </w:abstractNum>
  <w:abstractNum w:abstractNumId="5">
    <w:nsid w:val="F3C3DDE1"/>
    <w:multiLevelType w:val="singleLevel"/>
    <w:tmpl w:val="F3C3DDE1"/>
    <w:lvl w:ilvl="0" w:tentative="0">
      <w:start w:val="1"/>
      <w:numFmt w:val="decimal"/>
      <w:pStyle w:val="108"/>
      <w:lvlText w:val="表5.1-%1"/>
      <w:lvlJc w:val="center"/>
      <w:pPr>
        <w:tabs>
          <w:tab w:val="left" w:pos="0"/>
        </w:tabs>
        <w:ind w:left="0" w:leftChars="0" w:firstLine="0" w:firstLineChars="0"/>
      </w:pPr>
      <w:rPr>
        <w:rFonts w:hint="default" w:ascii="宋体" w:hAnsi="宋体" w:eastAsia="宋体" w:cs="宋体"/>
      </w:rPr>
    </w:lvl>
  </w:abstractNum>
  <w:abstractNum w:abstractNumId="6">
    <w:nsid w:val="00000005"/>
    <w:multiLevelType w:val="multilevel"/>
    <w:tmpl w:val="00000005"/>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851"/>
        </w:tabs>
        <w:ind w:left="851" w:hanging="709"/>
      </w:pPr>
      <w:rPr>
        <w:rFonts w:hint="default" w:ascii="Times New Roman" w:hAnsi="Times New Roman" w:cs="Times New Roman"/>
        <w:b/>
        <w:i w:val="0"/>
        <w:iCs w:val="0"/>
        <w:caps w:val="0"/>
        <w:strike w:val="0"/>
        <w:dstrike w:val="0"/>
        <w:vanish w:val="0"/>
        <w:spacing w:val="0"/>
        <w:position w:val="0"/>
        <w:u w:val="none"/>
        <w:vertAlign w:val="baseline"/>
      </w:rPr>
    </w:lvl>
    <w:lvl w:ilvl="3" w:tentative="0">
      <w:start w:val="1"/>
      <w:numFmt w:val="decimal"/>
      <w:pStyle w:val="7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566785A"/>
    <w:multiLevelType w:val="singleLevel"/>
    <w:tmpl w:val="0566785A"/>
    <w:lvl w:ilvl="0" w:tentative="0">
      <w:start w:val="1"/>
      <w:numFmt w:val="decimal"/>
      <w:pStyle w:val="106"/>
      <w:lvlText w:val="表4.1-%1"/>
      <w:lvlJc w:val="center"/>
      <w:pPr>
        <w:tabs>
          <w:tab w:val="left" w:pos="0"/>
        </w:tabs>
        <w:ind w:left="0" w:leftChars="0" w:firstLine="0" w:firstLineChars="0"/>
      </w:pPr>
      <w:rPr>
        <w:rFonts w:hint="default" w:ascii="宋体" w:hAnsi="宋体" w:eastAsia="宋体" w:cs="宋体"/>
        <w:sz w:val="24"/>
        <w:szCs w:val="24"/>
      </w:rPr>
    </w:lvl>
  </w:abstractNum>
  <w:abstractNum w:abstractNumId="8">
    <w:nsid w:val="1C665822"/>
    <w:multiLevelType w:val="singleLevel"/>
    <w:tmpl w:val="1C665822"/>
    <w:lvl w:ilvl="0" w:tentative="0">
      <w:start w:val="2"/>
      <w:numFmt w:val="decimal"/>
      <w:suff w:val="nothing"/>
      <w:lvlText w:val="%1、"/>
      <w:lvlJc w:val="left"/>
    </w:lvl>
  </w:abstractNum>
  <w:abstractNum w:abstractNumId="9">
    <w:nsid w:val="1EEA9A00"/>
    <w:multiLevelType w:val="singleLevel"/>
    <w:tmpl w:val="1EEA9A00"/>
    <w:lvl w:ilvl="0" w:tentative="0">
      <w:start w:val="1"/>
      <w:numFmt w:val="decimal"/>
      <w:pStyle w:val="99"/>
      <w:lvlText w:val="表2.2-%1"/>
      <w:lvlJc w:val="center"/>
      <w:pPr>
        <w:tabs>
          <w:tab w:val="left" w:pos="0"/>
        </w:tabs>
        <w:ind w:left="0" w:leftChars="0" w:firstLine="0" w:firstLineChars="0"/>
      </w:pPr>
      <w:rPr>
        <w:rFonts w:hint="default" w:ascii="宋体" w:hAnsi="宋体" w:eastAsia="宋体" w:cs="宋体"/>
      </w:rPr>
    </w:lvl>
  </w:abstractNum>
  <w:abstractNum w:abstractNumId="10">
    <w:nsid w:val="44E2535D"/>
    <w:multiLevelType w:val="multilevel"/>
    <w:tmpl w:val="44E2535D"/>
    <w:lvl w:ilvl="0" w:tentative="0">
      <w:start w:val="1"/>
      <w:numFmt w:val="decimal"/>
      <w:lvlText w:val="%1"/>
      <w:lvlJc w:val="left"/>
      <w:pPr>
        <w:tabs>
          <w:tab w:val="left" w:pos="1134"/>
        </w:tabs>
        <w:ind w:left="1134" w:hanging="567"/>
      </w:pPr>
      <w:rPr>
        <w:rFonts w:hint="eastAsia"/>
        <w:color w:val="auto"/>
      </w:rPr>
    </w:lvl>
    <w:lvl w:ilvl="1" w:tentative="0">
      <w:start w:val="1"/>
      <w:numFmt w:val="decimal"/>
      <w:lvlText w:val="%1.%2"/>
      <w:lvlJc w:val="left"/>
      <w:pPr>
        <w:tabs>
          <w:tab w:val="left" w:pos="927"/>
        </w:tabs>
        <w:ind w:left="0" w:firstLine="567"/>
      </w:pPr>
      <w:rPr>
        <w:rFonts w:hint="eastAsia"/>
        <w:color w:val="auto"/>
      </w:rPr>
    </w:lvl>
    <w:lvl w:ilvl="2" w:tentative="0">
      <w:start w:val="1"/>
      <w:numFmt w:val="decimal"/>
      <w:pStyle w:val="109"/>
      <w:lvlText w:val="%1.%2.%3"/>
      <w:lvlJc w:val="left"/>
      <w:pPr>
        <w:tabs>
          <w:tab w:val="left" w:pos="783"/>
        </w:tabs>
        <w:ind w:left="-141" w:firstLine="567"/>
      </w:pPr>
      <w:rPr>
        <w:rFonts w:hint="eastAsia"/>
        <w:color w:val="000000"/>
      </w:rPr>
    </w:lvl>
    <w:lvl w:ilvl="3" w:tentative="0">
      <w:start w:val="1"/>
      <w:numFmt w:val="decimal"/>
      <w:lvlText w:val="%1.%2.%3.%4"/>
      <w:lvlJc w:val="left"/>
      <w:pPr>
        <w:tabs>
          <w:tab w:val="left" w:pos="1630"/>
        </w:tabs>
        <w:ind w:left="1630"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1">
    <w:nsid w:val="59827B6D"/>
    <w:multiLevelType w:val="singleLevel"/>
    <w:tmpl w:val="59827B6D"/>
    <w:lvl w:ilvl="0" w:tentative="0">
      <w:start w:val="1"/>
      <w:numFmt w:val="decimal"/>
      <w:pStyle w:val="105"/>
      <w:lvlText w:val="表3.2-%1"/>
      <w:lvlJc w:val="center"/>
      <w:pPr>
        <w:tabs>
          <w:tab w:val="left" w:pos="0"/>
        </w:tabs>
        <w:ind w:left="0" w:leftChars="0" w:firstLine="0" w:firstLineChars="0"/>
      </w:pPr>
      <w:rPr>
        <w:rFonts w:hint="default" w:ascii="宋体" w:hAnsi="宋体" w:eastAsia="宋体" w:cs="宋体"/>
      </w:rPr>
    </w:lvl>
  </w:abstractNum>
  <w:abstractNum w:abstractNumId="12">
    <w:nsid w:val="73A6226F"/>
    <w:multiLevelType w:val="singleLevel"/>
    <w:tmpl w:val="73A6226F"/>
    <w:lvl w:ilvl="0" w:tentative="0">
      <w:start w:val="1"/>
      <w:numFmt w:val="decimal"/>
      <w:pStyle w:val="100"/>
      <w:lvlText w:val="图2.2-%1"/>
      <w:lvlJc w:val="center"/>
      <w:pPr>
        <w:tabs>
          <w:tab w:val="left" w:pos="0"/>
        </w:tabs>
        <w:ind w:left="0" w:leftChars="0" w:firstLine="0" w:firstLineChars="0"/>
      </w:pPr>
      <w:rPr>
        <w:rFonts w:hint="default" w:ascii="宋体" w:hAnsi="宋体" w:eastAsia="宋体" w:cs="宋体"/>
      </w:rPr>
    </w:lvl>
  </w:abstractNum>
  <w:abstractNum w:abstractNumId="13">
    <w:nsid w:val="7FFC15D0"/>
    <w:multiLevelType w:val="singleLevel"/>
    <w:tmpl w:val="7FFC15D0"/>
    <w:lvl w:ilvl="0" w:tentative="0">
      <w:start w:val="8"/>
      <w:numFmt w:val="decimal"/>
      <w:suff w:val="nothing"/>
      <w:lvlText w:val="%1、"/>
      <w:lvlJc w:val="left"/>
    </w:lvl>
  </w:abstractNum>
  <w:num w:numId="1">
    <w:abstractNumId w:val="6"/>
  </w:num>
  <w:num w:numId="2">
    <w:abstractNumId w:val="9"/>
  </w:num>
  <w:num w:numId="3">
    <w:abstractNumId w:val="12"/>
  </w:num>
  <w:num w:numId="4">
    <w:abstractNumId w:val="2"/>
  </w:num>
  <w:num w:numId="5">
    <w:abstractNumId w:val="4"/>
  </w:num>
  <w:num w:numId="6">
    <w:abstractNumId w:val="11"/>
  </w:num>
  <w:num w:numId="7">
    <w:abstractNumId w:val="7"/>
  </w:num>
  <w:num w:numId="8">
    <w:abstractNumId w:val="5"/>
  </w:num>
  <w:num w:numId="9">
    <w:abstractNumId w:val="10"/>
  </w:num>
  <w:num w:numId="10">
    <w:abstractNumId w:val="3"/>
  </w:num>
  <w:num w:numId="11">
    <w:abstractNumId w:val="8"/>
  </w:num>
  <w:num w:numId="12">
    <w:abstractNumId w:val="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3M2Y5ZjM2N2ZlMzg1NmZlMzNlYTIzNjUzZjg4ZGEifQ=="/>
  </w:docVars>
  <w:rsids>
    <w:rsidRoot w:val="27BC057C"/>
    <w:rsid w:val="000676EF"/>
    <w:rsid w:val="001727BB"/>
    <w:rsid w:val="00335DB3"/>
    <w:rsid w:val="003408E8"/>
    <w:rsid w:val="003A1912"/>
    <w:rsid w:val="006135D9"/>
    <w:rsid w:val="00777087"/>
    <w:rsid w:val="007F6388"/>
    <w:rsid w:val="008F127C"/>
    <w:rsid w:val="008F6B4B"/>
    <w:rsid w:val="009172EF"/>
    <w:rsid w:val="00A005DD"/>
    <w:rsid w:val="00A12202"/>
    <w:rsid w:val="00B57B36"/>
    <w:rsid w:val="00C5491B"/>
    <w:rsid w:val="00CA702A"/>
    <w:rsid w:val="00D76E6B"/>
    <w:rsid w:val="00F86A8B"/>
    <w:rsid w:val="00FA1D9B"/>
    <w:rsid w:val="010049A6"/>
    <w:rsid w:val="01043D64"/>
    <w:rsid w:val="01087F8C"/>
    <w:rsid w:val="01120365"/>
    <w:rsid w:val="0122567D"/>
    <w:rsid w:val="01342726"/>
    <w:rsid w:val="01357F39"/>
    <w:rsid w:val="013D348C"/>
    <w:rsid w:val="01430221"/>
    <w:rsid w:val="01445475"/>
    <w:rsid w:val="0145478B"/>
    <w:rsid w:val="014632E9"/>
    <w:rsid w:val="014B740D"/>
    <w:rsid w:val="015443BD"/>
    <w:rsid w:val="01594DB0"/>
    <w:rsid w:val="016245C6"/>
    <w:rsid w:val="016531CA"/>
    <w:rsid w:val="01664707"/>
    <w:rsid w:val="016759CB"/>
    <w:rsid w:val="016F41B1"/>
    <w:rsid w:val="01710980"/>
    <w:rsid w:val="01777826"/>
    <w:rsid w:val="01800E12"/>
    <w:rsid w:val="018A55FA"/>
    <w:rsid w:val="019470FC"/>
    <w:rsid w:val="019741BA"/>
    <w:rsid w:val="019E074A"/>
    <w:rsid w:val="01A26D26"/>
    <w:rsid w:val="01A937D3"/>
    <w:rsid w:val="01AB58B8"/>
    <w:rsid w:val="01AD1993"/>
    <w:rsid w:val="01B12C3C"/>
    <w:rsid w:val="01CA467D"/>
    <w:rsid w:val="01CC5EE4"/>
    <w:rsid w:val="01D94296"/>
    <w:rsid w:val="01E0027D"/>
    <w:rsid w:val="01E332CD"/>
    <w:rsid w:val="01F128D7"/>
    <w:rsid w:val="01F14418"/>
    <w:rsid w:val="01F20A56"/>
    <w:rsid w:val="01F66E5F"/>
    <w:rsid w:val="01FE5971"/>
    <w:rsid w:val="02084588"/>
    <w:rsid w:val="021B4775"/>
    <w:rsid w:val="021B6523"/>
    <w:rsid w:val="021C29C7"/>
    <w:rsid w:val="02320A55"/>
    <w:rsid w:val="02374C49"/>
    <w:rsid w:val="023B0973"/>
    <w:rsid w:val="025301D3"/>
    <w:rsid w:val="02581ADF"/>
    <w:rsid w:val="025A374E"/>
    <w:rsid w:val="025D0F34"/>
    <w:rsid w:val="025D2311"/>
    <w:rsid w:val="025E466E"/>
    <w:rsid w:val="026138D1"/>
    <w:rsid w:val="02621DD1"/>
    <w:rsid w:val="0271799C"/>
    <w:rsid w:val="027A79BC"/>
    <w:rsid w:val="02A12041"/>
    <w:rsid w:val="02A36FF1"/>
    <w:rsid w:val="02B073DE"/>
    <w:rsid w:val="02BE4F45"/>
    <w:rsid w:val="02C13B7D"/>
    <w:rsid w:val="02C24BF1"/>
    <w:rsid w:val="02D16A76"/>
    <w:rsid w:val="02D34A20"/>
    <w:rsid w:val="02F73A8C"/>
    <w:rsid w:val="02F80A04"/>
    <w:rsid w:val="030A6223"/>
    <w:rsid w:val="031F6B5A"/>
    <w:rsid w:val="03205EA0"/>
    <w:rsid w:val="03216BE1"/>
    <w:rsid w:val="03265180"/>
    <w:rsid w:val="032F0760"/>
    <w:rsid w:val="033256EE"/>
    <w:rsid w:val="03327EBF"/>
    <w:rsid w:val="03527A9E"/>
    <w:rsid w:val="035E78D0"/>
    <w:rsid w:val="03686761"/>
    <w:rsid w:val="036A7762"/>
    <w:rsid w:val="037D44BB"/>
    <w:rsid w:val="038B0D51"/>
    <w:rsid w:val="03956C67"/>
    <w:rsid w:val="03995373"/>
    <w:rsid w:val="03A85B56"/>
    <w:rsid w:val="03AF786B"/>
    <w:rsid w:val="03BF3158"/>
    <w:rsid w:val="03CC3A96"/>
    <w:rsid w:val="03D85012"/>
    <w:rsid w:val="03E079EC"/>
    <w:rsid w:val="03E467CF"/>
    <w:rsid w:val="03EC06EC"/>
    <w:rsid w:val="03EF7C67"/>
    <w:rsid w:val="03F22C8B"/>
    <w:rsid w:val="03FA2E40"/>
    <w:rsid w:val="04093F60"/>
    <w:rsid w:val="04172AD0"/>
    <w:rsid w:val="041F5CFE"/>
    <w:rsid w:val="04226DCF"/>
    <w:rsid w:val="043F1D3E"/>
    <w:rsid w:val="044003E1"/>
    <w:rsid w:val="048F30A9"/>
    <w:rsid w:val="04940A2D"/>
    <w:rsid w:val="04953D31"/>
    <w:rsid w:val="049C65E5"/>
    <w:rsid w:val="04A613C8"/>
    <w:rsid w:val="04A9250C"/>
    <w:rsid w:val="04AA138F"/>
    <w:rsid w:val="04B153D7"/>
    <w:rsid w:val="04B9493F"/>
    <w:rsid w:val="04BD5D20"/>
    <w:rsid w:val="04C43C8D"/>
    <w:rsid w:val="04C94452"/>
    <w:rsid w:val="04CD61FB"/>
    <w:rsid w:val="04CF6B5C"/>
    <w:rsid w:val="04D7644D"/>
    <w:rsid w:val="04FE2105"/>
    <w:rsid w:val="050C5946"/>
    <w:rsid w:val="051B3182"/>
    <w:rsid w:val="051C5317"/>
    <w:rsid w:val="05296D6C"/>
    <w:rsid w:val="052A4F8C"/>
    <w:rsid w:val="052B05FE"/>
    <w:rsid w:val="05351122"/>
    <w:rsid w:val="054F041B"/>
    <w:rsid w:val="055260AE"/>
    <w:rsid w:val="05854B8E"/>
    <w:rsid w:val="058F16E6"/>
    <w:rsid w:val="05942A04"/>
    <w:rsid w:val="05AD38B8"/>
    <w:rsid w:val="05BC001D"/>
    <w:rsid w:val="05C60D1B"/>
    <w:rsid w:val="05E509F9"/>
    <w:rsid w:val="05E86F91"/>
    <w:rsid w:val="05F90AED"/>
    <w:rsid w:val="05FB28F4"/>
    <w:rsid w:val="06037E3B"/>
    <w:rsid w:val="06087F2F"/>
    <w:rsid w:val="061D3482"/>
    <w:rsid w:val="06286479"/>
    <w:rsid w:val="062C0B4B"/>
    <w:rsid w:val="0650493D"/>
    <w:rsid w:val="0653241D"/>
    <w:rsid w:val="0661547E"/>
    <w:rsid w:val="0667442D"/>
    <w:rsid w:val="069F4B19"/>
    <w:rsid w:val="06AA7126"/>
    <w:rsid w:val="06AF3F7F"/>
    <w:rsid w:val="06B31F93"/>
    <w:rsid w:val="06C51577"/>
    <w:rsid w:val="06D15B4F"/>
    <w:rsid w:val="06F8436F"/>
    <w:rsid w:val="0712001C"/>
    <w:rsid w:val="07167743"/>
    <w:rsid w:val="072232C7"/>
    <w:rsid w:val="072919FB"/>
    <w:rsid w:val="072A2376"/>
    <w:rsid w:val="072A42D7"/>
    <w:rsid w:val="07351463"/>
    <w:rsid w:val="07376FA9"/>
    <w:rsid w:val="07524381"/>
    <w:rsid w:val="07567AE2"/>
    <w:rsid w:val="07784208"/>
    <w:rsid w:val="077C15CA"/>
    <w:rsid w:val="077C684E"/>
    <w:rsid w:val="077C7616"/>
    <w:rsid w:val="078003B0"/>
    <w:rsid w:val="07807B52"/>
    <w:rsid w:val="07840B91"/>
    <w:rsid w:val="0787192E"/>
    <w:rsid w:val="07967598"/>
    <w:rsid w:val="079B72BB"/>
    <w:rsid w:val="07A75B08"/>
    <w:rsid w:val="07AB0206"/>
    <w:rsid w:val="07AF2C88"/>
    <w:rsid w:val="07B918B6"/>
    <w:rsid w:val="07C423AA"/>
    <w:rsid w:val="07C92D32"/>
    <w:rsid w:val="07DC531A"/>
    <w:rsid w:val="07DD473F"/>
    <w:rsid w:val="07EE651E"/>
    <w:rsid w:val="07F86CE3"/>
    <w:rsid w:val="080C51DE"/>
    <w:rsid w:val="08131AB9"/>
    <w:rsid w:val="081A3E22"/>
    <w:rsid w:val="08353FB4"/>
    <w:rsid w:val="08415C18"/>
    <w:rsid w:val="084C693E"/>
    <w:rsid w:val="08573A19"/>
    <w:rsid w:val="08585165"/>
    <w:rsid w:val="085B5CE0"/>
    <w:rsid w:val="085C0DB2"/>
    <w:rsid w:val="08622778"/>
    <w:rsid w:val="08720179"/>
    <w:rsid w:val="087A1F0C"/>
    <w:rsid w:val="08817DDB"/>
    <w:rsid w:val="08844C03"/>
    <w:rsid w:val="089044CE"/>
    <w:rsid w:val="08906C34"/>
    <w:rsid w:val="08911A1E"/>
    <w:rsid w:val="08BB5130"/>
    <w:rsid w:val="08DF150A"/>
    <w:rsid w:val="08F356FA"/>
    <w:rsid w:val="0907519E"/>
    <w:rsid w:val="09180421"/>
    <w:rsid w:val="091A426F"/>
    <w:rsid w:val="091C7CC2"/>
    <w:rsid w:val="092C4A84"/>
    <w:rsid w:val="09312893"/>
    <w:rsid w:val="09322D08"/>
    <w:rsid w:val="093818AD"/>
    <w:rsid w:val="094864CF"/>
    <w:rsid w:val="09502133"/>
    <w:rsid w:val="09547069"/>
    <w:rsid w:val="09632679"/>
    <w:rsid w:val="09743F2F"/>
    <w:rsid w:val="0981512E"/>
    <w:rsid w:val="098376B7"/>
    <w:rsid w:val="09847E9F"/>
    <w:rsid w:val="098573F9"/>
    <w:rsid w:val="099948FD"/>
    <w:rsid w:val="099A044F"/>
    <w:rsid w:val="099B69AD"/>
    <w:rsid w:val="099F50B0"/>
    <w:rsid w:val="09A54F75"/>
    <w:rsid w:val="09DB182A"/>
    <w:rsid w:val="09E17719"/>
    <w:rsid w:val="09E35102"/>
    <w:rsid w:val="09E8545E"/>
    <w:rsid w:val="09F13C9D"/>
    <w:rsid w:val="09FC60DE"/>
    <w:rsid w:val="0A08786E"/>
    <w:rsid w:val="0A087A8F"/>
    <w:rsid w:val="0A135CD0"/>
    <w:rsid w:val="0A1D6522"/>
    <w:rsid w:val="0A252635"/>
    <w:rsid w:val="0A2A3D68"/>
    <w:rsid w:val="0A382368"/>
    <w:rsid w:val="0A491074"/>
    <w:rsid w:val="0A4F55D3"/>
    <w:rsid w:val="0A546A76"/>
    <w:rsid w:val="0A6A2AE0"/>
    <w:rsid w:val="0A725751"/>
    <w:rsid w:val="0A771A2E"/>
    <w:rsid w:val="0A7C3D49"/>
    <w:rsid w:val="0A8245A3"/>
    <w:rsid w:val="0A8E0052"/>
    <w:rsid w:val="0A911EC4"/>
    <w:rsid w:val="0A9450C5"/>
    <w:rsid w:val="0AA25921"/>
    <w:rsid w:val="0AA415B9"/>
    <w:rsid w:val="0AB74064"/>
    <w:rsid w:val="0ABA06A7"/>
    <w:rsid w:val="0AC974A3"/>
    <w:rsid w:val="0ACE3DC7"/>
    <w:rsid w:val="0AE00D49"/>
    <w:rsid w:val="0AE47DFA"/>
    <w:rsid w:val="0AE6533E"/>
    <w:rsid w:val="0AF55DE4"/>
    <w:rsid w:val="0B0F441C"/>
    <w:rsid w:val="0B2907C3"/>
    <w:rsid w:val="0B3170F4"/>
    <w:rsid w:val="0B3268CE"/>
    <w:rsid w:val="0B340061"/>
    <w:rsid w:val="0B3D38C7"/>
    <w:rsid w:val="0B457427"/>
    <w:rsid w:val="0B4C36C8"/>
    <w:rsid w:val="0B534F80"/>
    <w:rsid w:val="0B5579B8"/>
    <w:rsid w:val="0B776103"/>
    <w:rsid w:val="0B7843BB"/>
    <w:rsid w:val="0BAA0AE7"/>
    <w:rsid w:val="0BB17598"/>
    <w:rsid w:val="0BB974D9"/>
    <w:rsid w:val="0BBA1B72"/>
    <w:rsid w:val="0BD71CEC"/>
    <w:rsid w:val="0BE20AFE"/>
    <w:rsid w:val="0BFC6D7D"/>
    <w:rsid w:val="0BFC7B03"/>
    <w:rsid w:val="0C07461A"/>
    <w:rsid w:val="0C4B08B3"/>
    <w:rsid w:val="0C544361"/>
    <w:rsid w:val="0C5E024C"/>
    <w:rsid w:val="0C737B2D"/>
    <w:rsid w:val="0C79731D"/>
    <w:rsid w:val="0C8B6E39"/>
    <w:rsid w:val="0C9320DF"/>
    <w:rsid w:val="0CA534EF"/>
    <w:rsid w:val="0CAA6E21"/>
    <w:rsid w:val="0CB16402"/>
    <w:rsid w:val="0CD65D41"/>
    <w:rsid w:val="0CDA1F32"/>
    <w:rsid w:val="0CE43161"/>
    <w:rsid w:val="0CEA193A"/>
    <w:rsid w:val="0D072CB4"/>
    <w:rsid w:val="0D07521B"/>
    <w:rsid w:val="0D2E02D1"/>
    <w:rsid w:val="0D436D01"/>
    <w:rsid w:val="0D476841"/>
    <w:rsid w:val="0D6C0D06"/>
    <w:rsid w:val="0D780B3D"/>
    <w:rsid w:val="0D84349B"/>
    <w:rsid w:val="0DAD21F4"/>
    <w:rsid w:val="0DBA5806"/>
    <w:rsid w:val="0DBC64F9"/>
    <w:rsid w:val="0DCD49A0"/>
    <w:rsid w:val="0DDF0D4D"/>
    <w:rsid w:val="0DEF5120"/>
    <w:rsid w:val="0DF87AFC"/>
    <w:rsid w:val="0DF972D8"/>
    <w:rsid w:val="0E0F1E8A"/>
    <w:rsid w:val="0E1B5D2A"/>
    <w:rsid w:val="0E1C3C40"/>
    <w:rsid w:val="0E303356"/>
    <w:rsid w:val="0E4D1166"/>
    <w:rsid w:val="0E4E3549"/>
    <w:rsid w:val="0E4F4DF6"/>
    <w:rsid w:val="0E502225"/>
    <w:rsid w:val="0E531533"/>
    <w:rsid w:val="0E6371AE"/>
    <w:rsid w:val="0E7055D9"/>
    <w:rsid w:val="0E7B7E96"/>
    <w:rsid w:val="0EAF49F4"/>
    <w:rsid w:val="0EB34EA8"/>
    <w:rsid w:val="0EBB3568"/>
    <w:rsid w:val="0EC872C9"/>
    <w:rsid w:val="0ED6742F"/>
    <w:rsid w:val="0EDA4E92"/>
    <w:rsid w:val="0EDE0270"/>
    <w:rsid w:val="0EE14991"/>
    <w:rsid w:val="0EE21107"/>
    <w:rsid w:val="0EFC1388"/>
    <w:rsid w:val="0F0D0E63"/>
    <w:rsid w:val="0F0D1B90"/>
    <w:rsid w:val="0F1B6994"/>
    <w:rsid w:val="0F362BEE"/>
    <w:rsid w:val="0F4B2E27"/>
    <w:rsid w:val="0F543134"/>
    <w:rsid w:val="0F5735A2"/>
    <w:rsid w:val="0F5D25B0"/>
    <w:rsid w:val="0F5F52A2"/>
    <w:rsid w:val="0F633F37"/>
    <w:rsid w:val="0F6C38D2"/>
    <w:rsid w:val="0F711651"/>
    <w:rsid w:val="0F714169"/>
    <w:rsid w:val="0F7B3C4D"/>
    <w:rsid w:val="0F9B713D"/>
    <w:rsid w:val="0FA062BA"/>
    <w:rsid w:val="0FA367EE"/>
    <w:rsid w:val="0FA66238"/>
    <w:rsid w:val="0FAF584D"/>
    <w:rsid w:val="0FC71E5B"/>
    <w:rsid w:val="0FCE72CB"/>
    <w:rsid w:val="0FDB4A1B"/>
    <w:rsid w:val="0FDC279C"/>
    <w:rsid w:val="0FDE52C0"/>
    <w:rsid w:val="0FE33433"/>
    <w:rsid w:val="0FE95EB3"/>
    <w:rsid w:val="0FEE3E4F"/>
    <w:rsid w:val="0FEF04B5"/>
    <w:rsid w:val="100454CE"/>
    <w:rsid w:val="10105C54"/>
    <w:rsid w:val="10144ED4"/>
    <w:rsid w:val="101C3B92"/>
    <w:rsid w:val="101F3682"/>
    <w:rsid w:val="1020320A"/>
    <w:rsid w:val="10341FD6"/>
    <w:rsid w:val="103765FB"/>
    <w:rsid w:val="103E1D5B"/>
    <w:rsid w:val="103F1B00"/>
    <w:rsid w:val="10413988"/>
    <w:rsid w:val="1043262A"/>
    <w:rsid w:val="10433D31"/>
    <w:rsid w:val="10530C8A"/>
    <w:rsid w:val="10532A37"/>
    <w:rsid w:val="10545A22"/>
    <w:rsid w:val="105D6B55"/>
    <w:rsid w:val="106F460A"/>
    <w:rsid w:val="107221A9"/>
    <w:rsid w:val="10884CD3"/>
    <w:rsid w:val="10952620"/>
    <w:rsid w:val="109914F0"/>
    <w:rsid w:val="10A26DCF"/>
    <w:rsid w:val="10BE0149"/>
    <w:rsid w:val="10C306AD"/>
    <w:rsid w:val="10C37190"/>
    <w:rsid w:val="10CE108F"/>
    <w:rsid w:val="10CE27CF"/>
    <w:rsid w:val="10D15E50"/>
    <w:rsid w:val="10D6013A"/>
    <w:rsid w:val="10E85B69"/>
    <w:rsid w:val="10F90EB5"/>
    <w:rsid w:val="11120EF4"/>
    <w:rsid w:val="11150A5C"/>
    <w:rsid w:val="112C24FB"/>
    <w:rsid w:val="11582800"/>
    <w:rsid w:val="115D26B4"/>
    <w:rsid w:val="115E401D"/>
    <w:rsid w:val="116200F6"/>
    <w:rsid w:val="11651569"/>
    <w:rsid w:val="11773C1A"/>
    <w:rsid w:val="117B6106"/>
    <w:rsid w:val="117E6AA5"/>
    <w:rsid w:val="118378A9"/>
    <w:rsid w:val="11847593"/>
    <w:rsid w:val="118854EE"/>
    <w:rsid w:val="118F520E"/>
    <w:rsid w:val="119E1BE6"/>
    <w:rsid w:val="11B3789C"/>
    <w:rsid w:val="11B73D44"/>
    <w:rsid w:val="11B76605"/>
    <w:rsid w:val="11BE1D2E"/>
    <w:rsid w:val="11BF428A"/>
    <w:rsid w:val="11C34AD9"/>
    <w:rsid w:val="11C73682"/>
    <w:rsid w:val="11E566AF"/>
    <w:rsid w:val="11F36520"/>
    <w:rsid w:val="11F41D0E"/>
    <w:rsid w:val="11FF376C"/>
    <w:rsid w:val="12104AF6"/>
    <w:rsid w:val="12105B77"/>
    <w:rsid w:val="1214097F"/>
    <w:rsid w:val="121600C2"/>
    <w:rsid w:val="1216504A"/>
    <w:rsid w:val="122E5DFF"/>
    <w:rsid w:val="12322796"/>
    <w:rsid w:val="123D7776"/>
    <w:rsid w:val="124811CB"/>
    <w:rsid w:val="126B1B45"/>
    <w:rsid w:val="126D455A"/>
    <w:rsid w:val="128E5DAE"/>
    <w:rsid w:val="129228C5"/>
    <w:rsid w:val="12B55D3A"/>
    <w:rsid w:val="12CE102C"/>
    <w:rsid w:val="12D360E9"/>
    <w:rsid w:val="12DC3D3B"/>
    <w:rsid w:val="130530FC"/>
    <w:rsid w:val="130C1DDD"/>
    <w:rsid w:val="13272F7A"/>
    <w:rsid w:val="1338403D"/>
    <w:rsid w:val="134D2A88"/>
    <w:rsid w:val="135374E6"/>
    <w:rsid w:val="13646057"/>
    <w:rsid w:val="13714F7E"/>
    <w:rsid w:val="13874CCF"/>
    <w:rsid w:val="13905D49"/>
    <w:rsid w:val="13924EA9"/>
    <w:rsid w:val="13A20852"/>
    <w:rsid w:val="13BB389C"/>
    <w:rsid w:val="13C1429E"/>
    <w:rsid w:val="13F73625"/>
    <w:rsid w:val="13FA2C77"/>
    <w:rsid w:val="13FC06E2"/>
    <w:rsid w:val="14003B19"/>
    <w:rsid w:val="140C320A"/>
    <w:rsid w:val="141D3BDB"/>
    <w:rsid w:val="142078F5"/>
    <w:rsid w:val="142441A9"/>
    <w:rsid w:val="14292D22"/>
    <w:rsid w:val="1431328D"/>
    <w:rsid w:val="14373B18"/>
    <w:rsid w:val="143C77F7"/>
    <w:rsid w:val="144752C9"/>
    <w:rsid w:val="144B7762"/>
    <w:rsid w:val="14520786"/>
    <w:rsid w:val="14663AF8"/>
    <w:rsid w:val="147C26C8"/>
    <w:rsid w:val="14836181"/>
    <w:rsid w:val="14861800"/>
    <w:rsid w:val="148854B3"/>
    <w:rsid w:val="148925B1"/>
    <w:rsid w:val="14983FE1"/>
    <w:rsid w:val="14994211"/>
    <w:rsid w:val="149F15E6"/>
    <w:rsid w:val="14A405FA"/>
    <w:rsid w:val="14AB4EA5"/>
    <w:rsid w:val="14BD2EBA"/>
    <w:rsid w:val="14D12E33"/>
    <w:rsid w:val="14D632E4"/>
    <w:rsid w:val="14DD0791"/>
    <w:rsid w:val="14EA24B1"/>
    <w:rsid w:val="14EF5F49"/>
    <w:rsid w:val="14F95FFA"/>
    <w:rsid w:val="14FA4979"/>
    <w:rsid w:val="15161CD5"/>
    <w:rsid w:val="151933B7"/>
    <w:rsid w:val="151D6F8B"/>
    <w:rsid w:val="152224A2"/>
    <w:rsid w:val="15687FFA"/>
    <w:rsid w:val="15710946"/>
    <w:rsid w:val="157B34A2"/>
    <w:rsid w:val="157C7A8C"/>
    <w:rsid w:val="15A648CC"/>
    <w:rsid w:val="15A81C3F"/>
    <w:rsid w:val="15AB4D37"/>
    <w:rsid w:val="15AF4B16"/>
    <w:rsid w:val="15B07105"/>
    <w:rsid w:val="15B15734"/>
    <w:rsid w:val="15B326F6"/>
    <w:rsid w:val="15D21CC7"/>
    <w:rsid w:val="15D74CE1"/>
    <w:rsid w:val="15E27294"/>
    <w:rsid w:val="15F30C58"/>
    <w:rsid w:val="16054378"/>
    <w:rsid w:val="160A188E"/>
    <w:rsid w:val="162E0EDA"/>
    <w:rsid w:val="16481B85"/>
    <w:rsid w:val="167C6809"/>
    <w:rsid w:val="16820535"/>
    <w:rsid w:val="169575F2"/>
    <w:rsid w:val="16A03C93"/>
    <w:rsid w:val="16A448E1"/>
    <w:rsid w:val="16AC4F7E"/>
    <w:rsid w:val="16B23F8B"/>
    <w:rsid w:val="16B729CE"/>
    <w:rsid w:val="16C224D9"/>
    <w:rsid w:val="16C414C6"/>
    <w:rsid w:val="16C41D43"/>
    <w:rsid w:val="16CB631F"/>
    <w:rsid w:val="16CD23C8"/>
    <w:rsid w:val="16CE25F0"/>
    <w:rsid w:val="16EB0539"/>
    <w:rsid w:val="16F271C0"/>
    <w:rsid w:val="16F275FE"/>
    <w:rsid w:val="16F92ED0"/>
    <w:rsid w:val="16FF3B53"/>
    <w:rsid w:val="17027FCB"/>
    <w:rsid w:val="17045BDD"/>
    <w:rsid w:val="170667DF"/>
    <w:rsid w:val="17421C1B"/>
    <w:rsid w:val="1743049C"/>
    <w:rsid w:val="175231B1"/>
    <w:rsid w:val="17550A86"/>
    <w:rsid w:val="176A3A4F"/>
    <w:rsid w:val="176A4D41"/>
    <w:rsid w:val="17704912"/>
    <w:rsid w:val="17707CA3"/>
    <w:rsid w:val="177339DB"/>
    <w:rsid w:val="177A281E"/>
    <w:rsid w:val="177A774E"/>
    <w:rsid w:val="177C5A4F"/>
    <w:rsid w:val="177D48DA"/>
    <w:rsid w:val="177F5234"/>
    <w:rsid w:val="17807ED6"/>
    <w:rsid w:val="178342FD"/>
    <w:rsid w:val="17845583"/>
    <w:rsid w:val="178504AD"/>
    <w:rsid w:val="178D5376"/>
    <w:rsid w:val="179B7A92"/>
    <w:rsid w:val="17A63802"/>
    <w:rsid w:val="17C1288B"/>
    <w:rsid w:val="17C45D11"/>
    <w:rsid w:val="17D5530A"/>
    <w:rsid w:val="17D555D2"/>
    <w:rsid w:val="17DB2AAD"/>
    <w:rsid w:val="17EE1257"/>
    <w:rsid w:val="180F356D"/>
    <w:rsid w:val="18100CDD"/>
    <w:rsid w:val="181141F9"/>
    <w:rsid w:val="18161601"/>
    <w:rsid w:val="182A0B88"/>
    <w:rsid w:val="182A4BCF"/>
    <w:rsid w:val="182F14A1"/>
    <w:rsid w:val="18324BFA"/>
    <w:rsid w:val="184762F8"/>
    <w:rsid w:val="18496B0E"/>
    <w:rsid w:val="184D3B8D"/>
    <w:rsid w:val="18507680"/>
    <w:rsid w:val="185A16FC"/>
    <w:rsid w:val="185A2B9D"/>
    <w:rsid w:val="18627BAE"/>
    <w:rsid w:val="1869477B"/>
    <w:rsid w:val="186A4F8A"/>
    <w:rsid w:val="18947F07"/>
    <w:rsid w:val="189C1169"/>
    <w:rsid w:val="189C385F"/>
    <w:rsid w:val="189D7427"/>
    <w:rsid w:val="189E0EDD"/>
    <w:rsid w:val="18A96C53"/>
    <w:rsid w:val="18AB40DC"/>
    <w:rsid w:val="18B176C4"/>
    <w:rsid w:val="18C354F3"/>
    <w:rsid w:val="18EB7E0E"/>
    <w:rsid w:val="19035B0A"/>
    <w:rsid w:val="190D61D7"/>
    <w:rsid w:val="191915B7"/>
    <w:rsid w:val="19270397"/>
    <w:rsid w:val="19296DBB"/>
    <w:rsid w:val="192C5299"/>
    <w:rsid w:val="1936737F"/>
    <w:rsid w:val="195D2E5A"/>
    <w:rsid w:val="19805192"/>
    <w:rsid w:val="19822E1E"/>
    <w:rsid w:val="19833E4E"/>
    <w:rsid w:val="19871BB9"/>
    <w:rsid w:val="19881796"/>
    <w:rsid w:val="19912429"/>
    <w:rsid w:val="199326A0"/>
    <w:rsid w:val="19A33B3F"/>
    <w:rsid w:val="19AE3B11"/>
    <w:rsid w:val="19C5529B"/>
    <w:rsid w:val="19CB1AB8"/>
    <w:rsid w:val="19E15CD3"/>
    <w:rsid w:val="19E74A0B"/>
    <w:rsid w:val="19F96931"/>
    <w:rsid w:val="1A1B3843"/>
    <w:rsid w:val="1A285CC2"/>
    <w:rsid w:val="1A2E1092"/>
    <w:rsid w:val="1A321880"/>
    <w:rsid w:val="1A7C004F"/>
    <w:rsid w:val="1A8746DD"/>
    <w:rsid w:val="1A8A7D68"/>
    <w:rsid w:val="1A8F0ACA"/>
    <w:rsid w:val="1A951111"/>
    <w:rsid w:val="1A9A1682"/>
    <w:rsid w:val="1AA03612"/>
    <w:rsid w:val="1AA9696A"/>
    <w:rsid w:val="1AAD5205"/>
    <w:rsid w:val="1ABA1AEC"/>
    <w:rsid w:val="1ABD44B3"/>
    <w:rsid w:val="1ABE6601"/>
    <w:rsid w:val="1AC47DBE"/>
    <w:rsid w:val="1AC56AAA"/>
    <w:rsid w:val="1AC90C24"/>
    <w:rsid w:val="1ADF1D04"/>
    <w:rsid w:val="1AE856E5"/>
    <w:rsid w:val="1B0E60F2"/>
    <w:rsid w:val="1B22355D"/>
    <w:rsid w:val="1B244054"/>
    <w:rsid w:val="1B3A3979"/>
    <w:rsid w:val="1B3D2BD7"/>
    <w:rsid w:val="1B44538D"/>
    <w:rsid w:val="1B4C0E0E"/>
    <w:rsid w:val="1B4E306E"/>
    <w:rsid w:val="1B57631A"/>
    <w:rsid w:val="1B60451D"/>
    <w:rsid w:val="1B6917F3"/>
    <w:rsid w:val="1B7951CD"/>
    <w:rsid w:val="1B97225F"/>
    <w:rsid w:val="1B9E3FF5"/>
    <w:rsid w:val="1BA402E8"/>
    <w:rsid w:val="1BAC2707"/>
    <w:rsid w:val="1BB54FCD"/>
    <w:rsid w:val="1BB91789"/>
    <w:rsid w:val="1BC0538B"/>
    <w:rsid w:val="1BC25997"/>
    <w:rsid w:val="1BC65801"/>
    <w:rsid w:val="1BD257C7"/>
    <w:rsid w:val="1BD43E96"/>
    <w:rsid w:val="1BD9517E"/>
    <w:rsid w:val="1BE1195D"/>
    <w:rsid w:val="1BFE5281"/>
    <w:rsid w:val="1C0B46FD"/>
    <w:rsid w:val="1C0F19B1"/>
    <w:rsid w:val="1C281B11"/>
    <w:rsid w:val="1C3D7694"/>
    <w:rsid w:val="1C47749A"/>
    <w:rsid w:val="1C4F4249"/>
    <w:rsid w:val="1C6E09AC"/>
    <w:rsid w:val="1C7956EE"/>
    <w:rsid w:val="1C7B60E4"/>
    <w:rsid w:val="1CA4734B"/>
    <w:rsid w:val="1CA65481"/>
    <w:rsid w:val="1CB62852"/>
    <w:rsid w:val="1CC7757C"/>
    <w:rsid w:val="1CCC1893"/>
    <w:rsid w:val="1CD43891"/>
    <w:rsid w:val="1CF30708"/>
    <w:rsid w:val="1CF36E58"/>
    <w:rsid w:val="1CF43F94"/>
    <w:rsid w:val="1CFB3A40"/>
    <w:rsid w:val="1CFC11B5"/>
    <w:rsid w:val="1D0322CA"/>
    <w:rsid w:val="1D151A35"/>
    <w:rsid w:val="1D1C5820"/>
    <w:rsid w:val="1D1F46FD"/>
    <w:rsid w:val="1D344A76"/>
    <w:rsid w:val="1D467E21"/>
    <w:rsid w:val="1D49152C"/>
    <w:rsid w:val="1D4A4435"/>
    <w:rsid w:val="1D4E0C6B"/>
    <w:rsid w:val="1D552DD9"/>
    <w:rsid w:val="1D5A2E9B"/>
    <w:rsid w:val="1D5A67C4"/>
    <w:rsid w:val="1D6054B6"/>
    <w:rsid w:val="1D615A1B"/>
    <w:rsid w:val="1D7472FE"/>
    <w:rsid w:val="1D9235FE"/>
    <w:rsid w:val="1D93460F"/>
    <w:rsid w:val="1D951428"/>
    <w:rsid w:val="1DA022A7"/>
    <w:rsid w:val="1DB65512"/>
    <w:rsid w:val="1DC72EE8"/>
    <w:rsid w:val="1DCA10D2"/>
    <w:rsid w:val="1DCE02C4"/>
    <w:rsid w:val="1DD2442A"/>
    <w:rsid w:val="1DE75D86"/>
    <w:rsid w:val="1DF0665E"/>
    <w:rsid w:val="1DF6785B"/>
    <w:rsid w:val="1E1660C5"/>
    <w:rsid w:val="1E1D1717"/>
    <w:rsid w:val="1E1E0E8E"/>
    <w:rsid w:val="1E3D1F13"/>
    <w:rsid w:val="1E583547"/>
    <w:rsid w:val="1E6612BD"/>
    <w:rsid w:val="1E6C6FD1"/>
    <w:rsid w:val="1E9476E5"/>
    <w:rsid w:val="1E99287B"/>
    <w:rsid w:val="1E9B231F"/>
    <w:rsid w:val="1EAA7370"/>
    <w:rsid w:val="1EAD7383"/>
    <w:rsid w:val="1EB7155F"/>
    <w:rsid w:val="1EC1223D"/>
    <w:rsid w:val="1ECA36B2"/>
    <w:rsid w:val="1EDD3261"/>
    <w:rsid w:val="1F02538B"/>
    <w:rsid w:val="1F036880"/>
    <w:rsid w:val="1F0D6202"/>
    <w:rsid w:val="1F1F466D"/>
    <w:rsid w:val="1F234D71"/>
    <w:rsid w:val="1F2A2A0A"/>
    <w:rsid w:val="1F2F371D"/>
    <w:rsid w:val="1F375C42"/>
    <w:rsid w:val="1F603215"/>
    <w:rsid w:val="1F6B1D17"/>
    <w:rsid w:val="1F6F6FAB"/>
    <w:rsid w:val="1F794576"/>
    <w:rsid w:val="1F917194"/>
    <w:rsid w:val="1F953961"/>
    <w:rsid w:val="1FA03D88"/>
    <w:rsid w:val="1FA510B1"/>
    <w:rsid w:val="1FAA3C51"/>
    <w:rsid w:val="1FAC43CA"/>
    <w:rsid w:val="1FB60FA2"/>
    <w:rsid w:val="1FB66DB5"/>
    <w:rsid w:val="1FBB23F4"/>
    <w:rsid w:val="1FBC512C"/>
    <w:rsid w:val="1FC60979"/>
    <w:rsid w:val="1FDE0E64"/>
    <w:rsid w:val="1FDE16B0"/>
    <w:rsid w:val="1FE33C5E"/>
    <w:rsid w:val="1FE741BD"/>
    <w:rsid w:val="1FF52F4D"/>
    <w:rsid w:val="1FF929A4"/>
    <w:rsid w:val="1FFE1AA9"/>
    <w:rsid w:val="20092605"/>
    <w:rsid w:val="2028035C"/>
    <w:rsid w:val="202924D9"/>
    <w:rsid w:val="202A5A1B"/>
    <w:rsid w:val="202C347C"/>
    <w:rsid w:val="204C7185"/>
    <w:rsid w:val="207D1B71"/>
    <w:rsid w:val="2087689D"/>
    <w:rsid w:val="208C6FB6"/>
    <w:rsid w:val="208F215E"/>
    <w:rsid w:val="20924301"/>
    <w:rsid w:val="209323E7"/>
    <w:rsid w:val="20A21E92"/>
    <w:rsid w:val="20A32455"/>
    <w:rsid w:val="20B11E2E"/>
    <w:rsid w:val="20B55473"/>
    <w:rsid w:val="20C4005A"/>
    <w:rsid w:val="20C712F0"/>
    <w:rsid w:val="20E04189"/>
    <w:rsid w:val="20EE1732"/>
    <w:rsid w:val="20EF4650"/>
    <w:rsid w:val="21075D77"/>
    <w:rsid w:val="210C5CAC"/>
    <w:rsid w:val="210F0ED5"/>
    <w:rsid w:val="211F0A45"/>
    <w:rsid w:val="211F6116"/>
    <w:rsid w:val="21257B43"/>
    <w:rsid w:val="213117D2"/>
    <w:rsid w:val="213E5911"/>
    <w:rsid w:val="213F3B84"/>
    <w:rsid w:val="214967B1"/>
    <w:rsid w:val="215C04DF"/>
    <w:rsid w:val="216043CC"/>
    <w:rsid w:val="21675EF1"/>
    <w:rsid w:val="217070E8"/>
    <w:rsid w:val="21765333"/>
    <w:rsid w:val="219434DF"/>
    <w:rsid w:val="21A250ED"/>
    <w:rsid w:val="21AF0D0A"/>
    <w:rsid w:val="21AF2E44"/>
    <w:rsid w:val="21B51F63"/>
    <w:rsid w:val="21C054A8"/>
    <w:rsid w:val="21C716AD"/>
    <w:rsid w:val="21C900E9"/>
    <w:rsid w:val="21CE369D"/>
    <w:rsid w:val="21D849BD"/>
    <w:rsid w:val="21EA1D42"/>
    <w:rsid w:val="21F874DC"/>
    <w:rsid w:val="22087C6F"/>
    <w:rsid w:val="220A4192"/>
    <w:rsid w:val="220D0F7D"/>
    <w:rsid w:val="22152C1C"/>
    <w:rsid w:val="22280ABD"/>
    <w:rsid w:val="223B29F7"/>
    <w:rsid w:val="223C209D"/>
    <w:rsid w:val="225C445A"/>
    <w:rsid w:val="22752190"/>
    <w:rsid w:val="227855A0"/>
    <w:rsid w:val="22AD4512"/>
    <w:rsid w:val="22BD6FFE"/>
    <w:rsid w:val="22C94675"/>
    <w:rsid w:val="22E26348"/>
    <w:rsid w:val="22E43910"/>
    <w:rsid w:val="22E9008C"/>
    <w:rsid w:val="23156745"/>
    <w:rsid w:val="2324581F"/>
    <w:rsid w:val="2347297E"/>
    <w:rsid w:val="234B6811"/>
    <w:rsid w:val="234D7183"/>
    <w:rsid w:val="23690E57"/>
    <w:rsid w:val="237D0994"/>
    <w:rsid w:val="238941F7"/>
    <w:rsid w:val="23985E0A"/>
    <w:rsid w:val="23A048FA"/>
    <w:rsid w:val="23AD0B4F"/>
    <w:rsid w:val="23B90AE8"/>
    <w:rsid w:val="23C14D25"/>
    <w:rsid w:val="23CE5C35"/>
    <w:rsid w:val="23D45C4D"/>
    <w:rsid w:val="23D6243C"/>
    <w:rsid w:val="23DA120E"/>
    <w:rsid w:val="23DC627B"/>
    <w:rsid w:val="23E67336"/>
    <w:rsid w:val="23FC7B0B"/>
    <w:rsid w:val="24030E99"/>
    <w:rsid w:val="24150831"/>
    <w:rsid w:val="2415596F"/>
    <w:rsid w:val="241C0C7B"/>
    <w:rsid w:val="24213B0D"/>
    <w:rsid w:val="24275637"/>
    <w:rsid w:val="242A6F61"/>
    <w:rsid w:val="24420C03"/>
    <w:rsid w:val="24496226"/>
    <w:rsid w:val="244B4916"/>
    <w:rsid w:val="244B7C89"/>
    <w:rsid w:val="244C69C1"/>
    <w:rsid w:val="24500F96"/>
    <w:rsid w:val="2453384A"/>
    <w:rsid w:val="245D5529"/>
    <w:rsid w:val="247439BE"/>
    <w:rsid w:val="247D50F0"/>
    <w:rsid w:val="24970F3F"/>
    <w:rsid w:val="24A05F1B"/>
    <w:rsid w:val="24AE5D36"/>
    <w:rsid w:val="24B73D42"/>
    <w:rsid w:val="24BC2677"/>
    <w:rsid w:val="24D618C8"/>
    <w:rsid w:val="24E26372"/>
    <w:rsid w:val="24EE492F"/>
    <w:rsid w:val="24FC6A74"/>
    <w:rsid w:val="251C63BD"/>
    <w:rsid w:val="25243613"/>
    <w:rsid w:val="252738F3"/>
    <w:rsid w:val="25392ECE"/>
    <w:rsid w:val="253A4D8F"/>
    <w:rsid w:val="25494086"/>
    <w:rsid w:val="254F01E3"/>
    <w:rsid w:val="25544AFA"/>
    <w:rsid w:val="255E2861"/>
    <w:rsid w:val="25684104"/>
    <w:rsid w:val="25740381"/>
    <w:rsid w:val="258E4D49"/>
    <w:rsid w:val="258F2285"/>
    <w:rsid w:val="259150A0"/>
    <w:rsid w:val="25916A22"/>
    <w:rsid w:val="259D531E"/>
    <w:rsid w:val="25CA542E"/>
    <w:rsid w:val="25F614EA"/>
    <w:rsid w:val="261267FB"/>
    <w:rsid w:val="26153568"/>
    <w:rsid w:val="261F3D33"/>
    <w:rsid w:val="261F5F38"/>
    <w:rsid w:val="26224673"/>
    <w:rsid w:val="264128F4"/>
    <w:rsid w:val="265754CC"/>
    <w:rsid w:val="265A7C04"/>
    <w:rsid w:val="265D2286"/>
    <w:rsid w:val="26630315"/>
    <w:rsid w:val="26635FC2"/>
    <w:rsid w:val="2666137C"/>
    <w:rsid w:val="266F6CBA"/>
    <w:rsid w:val="26703CDA"/>
    <w:rsid w:val="2674607E"/>
    <w:rsid w:val="2678501F"/>
    <w:rsid w:val="267D41D1"/>
    <w:rsid w:val="269339D0"/>
    <w:rsid w:val="26A01231"/>
    <w:rsid w:val="26AC3444"/>
    <w:rsid w:val="26B83B6B"/>
    <w:rsid w:val="26C012C4"/>
    <w:rsid w:val="26CA2C18"/>
    <w:rsid w:val="26D05A8B"/>
    <w:rsid w:val="26DF66DC"/>
    <w:rsid w:val="26E107B9"/>
    <w:rsid w:val="26E74671"/>
    <w:rsid w:val="26EE5371"/>
    <w:rsid w:val="26F62122"/>
    <w:rsid w:val="26F929A7"/>
    <w:rsid w:val="26FE2F45"/>
    <w:rsid w:val="26FF55EB"/>
    <w:rsid w:val="27041728"/>
    <w:rsid w:val="271C0C45"/>
    <w:rsid w:val="272959F0"/>
    <w:rsid w:val="272C3440"/>
    <w:rsid w:val="274C5945"/>
    <w:rsid w:val="275001B3"/>
    <w:rsid w:val="27562E4F"/>
    <w:rsid w:val="275C5679"/>
    <w:rsid w:val="276332FD"/>
    <w:rsid w:val="276E5610"/>
    <w:rsid w:val="277A49B4"/>
    <w:rsid w:val="278A0BF8"/>
    <w:rsid w:val="27A06FCB"/>
    <w:rsid w:val="27A42E6A"/>
    <w:rsid w:val="27AD46F9"/>
    <w:rsid w:val="27B1652A"/>
    <w:rsid w:val="27BC057C"/>
    <w:rsid w:val="27C72B40"/>
    <w:rsid w:val="27E17CF5"/>
    <w:rsid w:val="27F05293"/>
    <w:rsid w:val="27F1749E"/>
    <w:rsid w:val="28037792"/>
    <w:rsid w:val="280450AE"/>
    <w:rsid w:val="2807385F"/>
    <w:rsid w:val="28146AE3"/>
    <w:rsid w:val="28177609"/>
    <w:rsid w:val="281C679F"/>
    <w:rsid w:val="281E774D"/>
    <w:rsid w:val="284067B9"/>
    <w:rsid w:val="284872A2"/>
    <w:rsid w:val="28580CFF"/>
    <w:rsid w:val="28646DAA"/>
    <w:rsid w:val="286E3DAD"/>
    <w:rsid w:val="287C746C"/>
    <w:rsid w:val="28804DEA"/>
    <w:rsid w:val="28840DC2"/>
    <w:rsid w:val="28846321"/>
    <w:rsid w:val="28861624"/>
    <w:rsid w:val="28872114"/>
    <w:rsid w:val="28904999"/>
    <w:rsid w:val="2892752B"/>
    <w:rsid w:val="289A390E"/>
    <w:rsid w:val="28AB7D51"/>
    <w:rsid w:val="28BF4C6A"/>
    <w:rsid w:val="28BF7EA4"/>
    <w:rsid w:val="291177F4"/>
    <w:rsid w:val="2913590F"/>
    <w:rsid w:val="29226C37"/>
    <w:rsid w:val="29242128"/>
    <w:rsid w:val="29295B33"/>
    <w:rsid w:val="29347D47"/>
    <w:rsid w:val="294B266D"/>
    <w:rsid w:val="295F5DDF"/>
    <w:rsid w:val="296279CD"/>
    <w:rsid w:val="29634DE2"/>
    <w:rsid w:val="29685EB7"/>
    <w:rsid w:val="297824C6"/>
    <w:rsid w:val="29794CE7"/>
    <w:rsid w:val="2981603C"/>
    <w:rsid w:val="29832616"/>
    <w:rsid w:val="298A6BE6"/>
    <w:rsid w:val="29996E7D"/>
    <w:rsid w:val="299A54A0"/>
    <w:rsid w:val="299B03A6"/>
    <w:rsid w:val="299C6625"/>
    <w:rsid w:val="299E0444"/>
    <w:rsid w:val="29A80CAE"/>
    <w:rsid w:val="29B85E9D"/>
    <w:rsid w:val="29C643E5"/>
    <w:rsid w:val="29DF4E41"/>
    <w:rsid w:val="29F028DE"/>
    <w:rsid w:val="2A07545B"/>
    <w:rsid w:val="2A190F8B"/>
    <w:rsid w:val="2A1D2C18"/>
    <w:rsid w:val="2A221D46"/>
    <w:rsid w:val="2A3147DF"/>
    <w:rsid w:val="2A3E10F6"/>
    <w:rsid w:val="2A4127A9"/>
    <w:rsid w:val="2A4333B6"/>
    <w:rsid w:val="2A4A5FAE"/>
    <w:rsid w:val="2A6C2FBD"/>
    <w:rsid w:val="2A7221EF"/>
    <w:rsid w:val="2A73664D"/>
    <w:rsid w:val="2AB3287E"/>
    <w:rsid w:val="2ABC1DA2"/>
    <w:rsid w:val="2ABC7349"/>
    <w:rsid w:val="2AC86208"/>
    <w:rsid w:val="2ACD12CB"/>
    <w:rsid w:val="2ADB21E7"/>
    <w:rsid w:val="2AE35AC1"/>
    <w:rsid w:val="2B035C23"/>
    <w:rsid w:val="2B065713"/>
    <w:rsid w:val="2B073965"/>
    <w:rsid w:val="2B0A6D2B"/>
    <w:rsid w:val="2B176893"/>
    <w:rsid w:val="2B193EDC"/>
    <w:rsid w:val="2B22254D"/>
    <w:rsid w:val="2B47413D"/>
    <w:rsid w:val="2B4B6A75"/>
    <w:rsid w:val="2B576A56"/>
    <w:rsid w:val="2B67768C"/>
    <w:rsid w:val="2B6D7540"/>
    <w:rsid w:val="2B784770"/>
    <w:rsid w:val="2B7D5675"/>
    <w:rsid w:val="2B8072E9"/>
    <w:rsid w:val="2B812C29"/>
    <w:rsid w:val="2B9371E7"/>
    <w:rsid w:val="2B9474BA"/>
    <w:rsid w:val="2B956876"/>
    <w:rsid w:val="2BA33B3B"/>
    <w:rsid w:val="2BA7364A"/>
    <w:rsid w:val="2BA92139"/>
    <w:rsid w:val="2BAD160F"/>
    <w:rsid w:val="2BB77950"/>
    <w:rsid w:val="2BC52ED8"/>
    <w:rsid w:val="2BD63337"/>
    <w:rsid w:val="2BFB4B4C"/>
    <w:rsid w:val="2BFD5834"/>
    <w:rsid w:val="2C00452C"/>
    <w:rsid w:val="2C1B6084"/>
    <w:rsid w:val="2C1C3987"/>
    <w:rsid w:val="2C1D4EFC"/>
    <w:rsid w:val="2C236389"/>
    <w:rsid w:val="2C3A1B18"/>
    <w:rsid w:val="2C520837"/>
    <w:rsid w:val="2C5A11A6"/>
    <w:rsid w:val="2C650EBD"/>
    <w:rsid w:val="2C70224A"/>
    <w:rsid w:val="2C7821A5"/>
    <w:rsid w:val="2C7E7649"/>
    <w:rsid w:val="2C7F0C34"/>
    <w:rsid w:val="2C937E86"/>
    <w:rsid w:val="2C993FFA"/>
    <w:rsid w:val="2C995878"/>
    <w:rsid w:val="2C9E4A60"/>
    <w:rsid w:val="2CB00B43"/>
    <w:rsid w:val="2CB25F83"/>
    <w:rsid w:val="2CC02B50"/>
    <w:rsid w:val="2CC02E9F"/>
    <w:rsid w:val="2CC13F3F"/>
    <w:rsid w:val="2CC60665"/>
    <w:rsid w:val="2CC8326F"/>
    <w:rsid w:val="2CCA1EAC"/>
    <w:rsid w:val="2CCF03A6"/>
    <w:rsid w:val="2CF50D3B"/>
    <w:rsid w:val="2D2D6F87"/>
    <w:rsid w:val="2D3761A0"/>
    <w:rsid w:val="2D4F33A1"/>
    <w:rsid w:val="2D502C75"/>
    <w:rsid w:val="2D585044"/>
    <w:rsid w:val="2D72505E"/>
    <w:rsid w:val="2D8C1F00"/>
    <w:rsid w:val="2D92404F"/>
    <w:rsid w:val="2D9E1C33"/>
    <w:rsid w:val="2DB806C6"/>
    <w:rsid w:val="2DB853C9"/>
    <w:rsid w:val="2DB94FB8"/>
    <w:rsid w:val="2DCC436C"/>
    <w:rsid w:val="2DCD2829"/>
    <w:rsid w:val="2DCE6AAD"/>
    <w:rsid w:val="2DDE64D3"/>
    <w:rsid w:val="2E240497"/>
    <w:rsid w:val="2E275FB7"/>
    <w:rsid w:val="2E2D7373"/>
    <w:rsid w:val="2E2F3996"/>
    <w:rsid w:val="2E313848"/>
    <w:rsid w:val="2E3A423F"/>
    <w:rsid w:val="2E407CF3"/>
    <w:rsid w:val="2E567EA4"/>
    <w:rsid w:val="2E5D32CE"/>
    <w:rsid w:val="2E5E7798"/>
    <w:rsid w:val="2E6474A4"/>
    <w:rsid w:val="2E647587"/>
    <w:rsid w:val="2E6D46C1"/>
    <w:rsid w:val="2E6E57E5"/>
    <w:rsid w:val="2E8942BA"/>
    <w:rsid w:val="2E8C1B35"/>
    <w:rsid w:val="2E980181"/>
    <w:rsid w:val="2E9D4BBE"/>
    <w:rsid w:val="2EBC619B"/>
    <w:rsid w:val="2EBD258D"/>
    <w:rsid w:val="2EBE6818"/>
    <w:rsid w:val="2EBF15B9"/>
    <w:rsid w:val="2EC74D52"/>
    <w:rsid w:val="2ECF07FE"/>
    <w:rsid w:val="2EE9548C"/>
    <w:rsid w:val="2EED1DD2"/>
    <w:rsid w:val="2EF064BE"/>
    <w:rsid w:val="2EFA4720"/>
    <w:rsid w:val="2F050B6B"/>
    <w:rsid w:val="2F170295"/>
    <w:rsid w:val="2F3513FF"/>
    <w:rsid w:val="2F381955"/>
    <w:rsid w:val="2F3D70DB"/>
    <w:rsid w:val="2F430861"/>
    <w:rsid w:val="2F460DF1"/>
    <w:rsid w:val="2F4A2D1D"/>
    <w:rsid w:val="2F4F1C26"/>
    <w:rsid w:val="2F533E23"/>
    <w:rsid w:val="2F656F11"/>
    <w:rsid w:val="2F6740E2"/>
    <w:rsid w:val="2F687F19"/>
    <w:rsid w:val="2F790ECF"/>
    <w:rsid w:val="2F843EDE"/>
    <w:rsid w:val="2F860051"/>
    <w:rsid w:val="2F8C388C"/>
    <w:rsid w:val="2F977254"/>
    <w:rsid w:val="2F9B00C6"/>
    <w:rsid w:val="2FAF5E16"/>
    <w:rsid w:val="2FB51CA7"/>
    <w:rsid w:val="2FC17E64"/>
    <w:rsid w:val="2FC82F97"/>
    <w:rsid w:val="2FCF098B"/>
    <w:rsid w:val="2FD363B7"/>
    <w:rsid w:val="2FE20D03"/>
    <w:rsid w:val="2FE32A85"/>
    <w:rsid w:val="301954F2"/>
    <w:rsid w:val="30316DFD"/>
    <w:rsid w:val="30336319"/>
    <w:rsid w:val="303625F7"/>
    <w:rsid w:val="303776AB"/>
    <w:rsid w:val="304401C4"/>
    <w:rsid w:val="30457914"/>
    <w:rsid w:val="30526EE3"/>
    <w:rsid w:val="3054158E"/>
    <w:rsid w:val="30663F8B"/>
    <w:rsid w:val="307A0610"/>
    <w:rsid w:val="307E236D"/>
    <w:rsid w:val="307F526F"/>
    <w:rsid w:val="30827326"/>
    <w:rsid w:val="308E41C8"/>
    <w:rsid w:val="30944ED7"/>
    <w:rsid w:val="309537C1"/>
    <w:rsid w:val="309D71BE"/>
    <w:rsid w:val="30B023A9"/>
    <w:rsid w:val="30B64908"/>
    <w:rsid w:val="30C6126D"/>
    <w:rsid w:val="30CA4BC6"/>
    <w:rsid w:val="30EB3484"/>
    <w:rsid w:val="30F605DC"/>
    <w:rsid w:val="30F86C4F"/>
    <w:rsid w:val="30FC50D6"/>
    <w:rsid w:val="310F034D"/>
    <w:rsid w:val="311C63B9"/>
    <w:rsid w:val="31264419"/>
    <w:rsid w:val="313076BB"/>
    <w:rsid w:val="315A7DAB"/>
    <w:rsid w:val="31694DC5"/>
    <w:rsid w:val="317F14A3"/>
    <w:rsid w:val="319D2821"/>
    <w:rsid w:val="31A13542"/>
    <w:rsid w:val="31AF440F"/>
    <w:rsid w:val="31B90880"/>
    <w:rsid w:val="31CD127F"/>
    <w:rsid w:val="31EE479C"/>
    <w:rsid w:val="31F50C79"/>
    <w:rsid w:val="31F6681D"/>
    <w:rsid w:val="31FD6E89"/>
    <w:rsid w:val="31FF2491"/>
    <w:rsid w:val="323E60BE"/>
    <w:rsid w:val="324F2C04"/>
    <w:rsid w:val="3258069B"/>
    <w:rsid w:val="32787551"/>
    <w:rsid w:val="32881309"/>
    <w:rsid w:val="329B4993"/>
    <w:rsid w:val="32A075A1"/>
    <w:rsid w:val="32A81391"/>
    <w:rsid w:val="32AB12E7"/>
    <w:rsid w:val="32AB516F"/>
    <w:rsid w:val="32B13F86"/>
    <w:rsid w:val="32B4146C"/>
    <w:rsid w:val="32CC732F"/>
    <w:rsid w:val="32D861D6"/>
    <w:rsid w:val="32E31531"/>
    <w:rsid w:val="32F25B13"/>
    <w:rsid w:val="32F50547"/>
    <w:rsid w:val="32F515CF"/>
    <w:rsid w:val="32F87C64"/>
    <w:rsid w:val="32FD11AA"/>
    <w:rsid w:val="330F231A"/>
    <w:rsid w:val="33423AAA"/>
    <w:rsid w:val="335D6DD4"/>
    <w:rsid w:val="33633703"/>
    <w:rsid w:val="33676949"/>
    <w:rsid w:val="336B25B7"/>
    <w:rsid w:val="336D5F81"/>
    <w:rsid w:val="337A29C2"/>
    <w:rsid w:val="338256F2"/>
    <w:rsid w:val="33836A41"/>
    <w:rsid w:val="33841024"/>
    <w:rsid w:val="3384243F"/>
    <w:rsid w:val="33885404"/>
    <w:rsid w:val="339D3A31"/>
    <w:rsid w:val="33A0580A"/>
    <w:rsid w:val="33AB19C8"/>
    <w:rsid w:val="33BA5CAD"/>
    <w:rsid w:val="33CD3272"/>
    <w:rsid w:val="33D85DD8"/>
    <w:rsid w:val="33DE7071"/>
    <w:rsid w:val="33E02FA5"/>
    <w:rsid w:val="33EE3FEB"/>
    <w:rsid w:val="34144FF8"/>
    <w:rsid w:val="341801C7"/>
    <w:rsid w:val="3424765A"/>
    <w:rsid w:val="34266879"/>
    <w:rsid w:val="34266F66"/>
    <w:rsid w:val="343264A8"/>
    <w:rsid w:val="343659F0"/>
    <w:rsid w:val="34474DD2"/>
    <w:rsid w:val="34724719"/>
    <w:rsid w:val="347F1EAE"/>
    <w:rsid w:val="347F20F6"/>
    <w:rsid w:val="34831C4D"/>
    <w:rsid w:val="34897199"/>
    <w:rsid w:val="348C0FCB"/>
    <w:rsid w:val="34945D7D"/>
    <w:rsid w:val="349618B6"/>
    <w:rsid w:val="34A033DC"/>
    <w:rsid w:val="34A958F1"/>
    <w:rsid w:val="34B006CB"/>
    <w:rsid w:val="34B1229B"/>
    <w:rsid w:val="34C302F5"/>
    <w:rsid w:val="34C53F49"/>
    <w:rsid w:val="34C87B17"/>
    <w:rsid w:val="34CF5C86"/>
    <w:rsid w:val="34D10144"/>
    <w:rsid w:val="34EE25E4"/>
    <w:rsid w:val="34EE6B10"/>
    <w:rsid w:val="34F4018E"/>
    <w:rsid w:val="34F476CB"/>
    <w:rsid w:val="34F52688"/>
    <w:rsid w:val="35020B0F"/>
    <w:rsid w:val="351E7F46"/>
    <w:rsid w:val="35350B70"/>
    <w:rsid w:val="353829EA"/>
    <w:rsid w:val="355B54E0"/>
    <w:rsid w:val="35820320"/>
    <w:rsid w:val="358773FE"/>
    <w:rsid w:val="35895ADC"/>
    <w:rsid w:val="35964CD2"/>
    <w:rsid w:val="359734EA"/>
    <w:rsid w:val="35A91D00"/>
    <w:rsid w:val="35BE324A"/>
    <w:rsid w:val="35CC7E47"/>
    <w:rsid w:val="35DB48F6"/>
    <w:rsid w:val="35E06138"/>
    <w:rsid w:val="35E25AA5"/>
    <w:rsid w:val="35E45738"/>
    <w:rsid w:val="35EB1B74"/>
    <w:rsid w:val="35F0533D"/>
    <w:rsid w:val="35F54433"/>
    <w:rsid w:val="36021FB2"/>
    <w:rsid w:val="3613002A"/>
    <w:rsid w:val="36154A5C"/>
    <w:rsid w:val="362117BA"/>
    <w:rsid w:val="362B7A9D"/>
    <w:rsid w:val="362C24D2"/>
    <w:rsid w:val="363C010B"/>
    <w:rsid w:val="364B627D"/>
    <w:rsid w:val="366305E3"/>
    <w:rsid w:val="3667350A"/>
    <w:rsid w:val="368225D6"/>
    <w:rsid w:val="368D729F"/>
    <w:rsid w:val="36923807"/>
    <w:rsid w:val="36940CCE"/>
    <w:rsid w:val="3699013D"/>
    <w:rsid w:val="369D109D"/>
    <w:rsid w:val="36A51BE5"/>
    <w:rsid w:val="36A77C22"/>
    <w:rsid w:val="36AF2DCE"/>
    <w:rsid w:val="36B10C29"/>
    <w:rsid w:val="36BA5B8B"/>
    <w:rsid w:val="36C648BB"/>
    <w:rsid w:val="36D23C54"/>
    <w:rsid w:val="36D6155B"/>
    <w:rsid w:val="36D72983"/>
    <w:rsid w:val="36DC4CDE"/>
    <w:rsid w:val="36E07CEA"/>
    <w:rsid w:val="36E43726"/>
    <w:rsid w:val="373662CD"/>
    <w:rsid w:val="374C6834"/>
    <w:rsid w:val="37544090"/>
    <w:rsid w:val="37597714"/>
    <w:rsid w:val="375A354D"/>
    <w:rsid w:val="376E08C8"/>
    <w:rsid w:val="378C277F"/>
    <w:rsid w:val="37976BD4"/>
    <w:rsid w:val="37A2006A"/>
    <w:rsid w:val="37AC6251"/>
    <w:rsid w:val="37B54749"/>
    <w:rsid w:val="37B839F7"/>
    <w:rsid w:val="37F81E08"/>
    <w:rsid w:val="3811407E"/>
    <w:rsid w:val="381E7493"/>
    <w:rsid w:val="38275996"/>
    <w:rsid w:val="38345AA0"/>
    <w:rsid w:val="38412A0D"/>
    <w:rsid w:val="3845473E"/>
    <w:rsid w:val="3855690A"/>
    <w:rsid w:val="3856727A"/>
    <w:rsid w:val="385B53B3"/>
    <w:rsid w:val="38804D57"/>
    <w:rsid w:val="38864C2A"/>
    <w:rsid w:val="388F0AF6"/>
    <w:rsid w:val="38903289"/>
    <w:rsid w:val="38987B0B"/>
    <w:rsid w:val="389D72E9"/>
    <w:rsid w:val="38BD5663"/>
    <w:rsid w:val="38C13103"/>
    <w:rsid w:val="38CD519D"/>
    <w:rsid w:val="38D54C85"/>
    <w:rsid w:val="38DA1A7F"/>
    <w:rsid w:val="38E20FC3"/>
    <w:rsid w:val="38E31E4B"/>
    <w:rsid w:val="38E93448"/>
    <w:rsid w:val="38F3708A"/>
    <w:rsid w:val="38FF7405"/>
    <w:rsid w:val="39064309"/>
    <w:rsid w:val="39096EFE"/>
    <w:rsid w:val="390A4620"/>
    <w:rsid w:val="39141096"/>
    <w:rsid w:val="3929229B"/>
    <w:rsid w:val="392C27E9"/>
    <w:rsid w:val="392D1953"/>
    <w:rsid w:val="393125F0"/>
    <w:rsid w:val="393314C2"/>
    <w:rsid w:val="3936358D"/>
    <w:rsid w:val="393F5063"/>
    <w:rsid w:val="394E71E4"/>
    <w:rsid w:val="394F4F9C"/>
    <w:rsid w:val="39557773"/>
    <w:rsid w:val="395F2BBE"/>
    <w:rsid w:val="39742378"/>
    <w:rsid w:val="397939A0"/>
    <w:rsid w:val="398D7C20"/>
    <w:rsid w:val="399F370E"/>
    <w:rsid w:val="39AF7EAE"/>
    <w:rsid w:val="39B06389"/>
    <w:rsid w:val="39B153E5"/>
    <w:rsid w:val="39BC3A0F"/>
    <w:rsid w:val="39BE57AC"/>
    <w:rsid w:val="39BF13CF"/>
    <w:rsid w:val="39D21558"/>
    <w:rsid w:val="39D47E00"/>
    <w:rsid w:val="39DB63EB"/>
    <w:rsid w:val="39E66A26"/>
    <w:rsid w:val="3A010485"/>
    <w:rsid w:val="3A051D20"/>
    <w:rsid w:val="3A10692D"/>
    <w:rsid w:val="3A2A105D"/>
    <w:rsid w:val="3A2E0253"/>
    <w:rsid w:val="3A334E1F"/>
    <w:rsid w:val="3A3E3897"/>
    <w:rsid w:val="3A50143B"/>
    <w:rsid w:val="3A535B40"/>
    <w:rsid w:val="3A566C6D"/>
    <w:rsid w:val="3A5C55AF"/>
    <w:rsid w:val="3A612966"/>
    <w:rsid w:val="3A667F7C"/>
    <w:rsid w:val="3A687850"/>
    <w:rsid w:val="3A6B21D4"/>
    <w:rsid w:val="3A6C5593"/>
    <w:rsid w:val="3A8328DC"/>
    <w:rsid w:val="3A89187D"/>
    <w:rsid w:val="3A946D67"/>
    <w:rsid w:val="3A9B7B97"/>
    <w:rsid w:val="3A9F4B2D"/>
    <w:rsid w:val="3AA961C0"/>
    <w:rsid w:val="3AAC3BE1"/>
    <w:rsid w:val="3AB318F1"/>
    <w:rsid w:val="3AC17E89"/>
    <w:rsid w:val="3ACD28EF"/>
    <w:rsid w:val="3ADA11E7"/>
    <w:rsid w:val="3AFB535E"/>
    <w:rsid w:val="3AFE025C"/>
    <w:rsid w:val="3B33394A"/>
    <w:rsid w:val="3B435FF1"/>
    <w:rsid w:val="3B4D1411"/>
    <w:rsid w:val="3B654579"/>
    <w:rsid w:val="3B690CE6"/>
    <w:rsid w:val="3B6E533A"/>
    <w:rsid w:val="3B704F85"/>
    <w:rsid w:val="3B9C5D8F"/>
    <w:rsid w:val="3B9E47D0"/>
    <w:rsid w:val="3B9E6656"/>
    <w:rsid w:val="3BA01608"/>
    <w:rsid w:val="3BBE06F5"/>
    <w:rsid w:val="3BC00188"/>
    <w:rsid w:val="3BC27434"/>
    <w:rsid w:val="3BCC681F"/>
    <w:rsid w:val="3BD0452C"/>
    <w:rsid w:val="3BD6423F"/>
    <w:rsid w:val="3BEE0229"/>
    <w:rsid w:val="3BFA5C1E"/>
    <w:rsid w:val="3BFB0FD7"/>
    <w:rsid w:val="3C145EE2"/>
    <w:rsid w:val="3C146FBF"/>
    <w:rsid w:val="3C2E3419"/>
    <w:rsid w:val="3C2E68D4"/>
    <w:rsid w:val="3C2F132E"/>
    <w:rsid w:val="3C36114F"/>
    <w:rsid w:val="3C417A73"/>
    <w:rsid w:val="3C4226CD"/>
    <w:rsid w:val="3C5C55ED"/>
    <w:rsid w:val="3C5E2BE8"/>
    <w:rsid w:val="3C74072E"/>
    <w:rsid w:val="3C7A2133"/>
    <w:rsid w:val="3C805325"/>
    <w:rsid w:val="3CA15877"/>
    <w:rsid w:val="3CA30C81"/>
    <w:rsid w:val="3CB74ABF"/>
    <w:rsid w:val="3CBA60AA"/>
    <w:rsid w:val="3CBE5E4E"/>
    <w:rsid w:val="3CCC096D"/>
    <w:rsid w:val="3CE26B1F"/>
    <w:rsid w:val="3CF950D8"/>
    <w:rsid w:val="3CFD6976"/>
    <w:rsid w:val="3D0D48DC"/>
    <w:rsid w:val="3D1802E0"/>
    <w:rsid w:val="3D326924"/>
    <w:rsid w:val="3D3A1978"/>
    <w:rsid w:val="3D3A4001"/>
    <w:rsid w:val="3D3C762A"/>
    <w:rsid w:val="3D5A56FC"/>
    <w:rsid w:val="3D5F66E9"/>
    <w:rsid w:val="3D61654F"/>
    <w:rsid w:val="3D6B2A0B"/>
    <w:rsid w:val="3D715596"/>
    <w:rsid w:val="3D801355"/>
    <w:rsid w:val="3D910366"/>
    <w:rsid w:val="3D952D73"/>
    <w:rsid w:val="3D974402"/>
    <w:rsid w:val="3D9A118C"/>
    <w:rsid w:val="3DA719EC"/>
    <w:rsid w:val="3DA849BB"/>
    <w:rsid w:val="3DAA0180"/>
    <w:rsid w:val="3DB63E3C"/>
    <w:rsid w:val="3DC1483A"/>
    <w:rsid w:val="3DC34237"/>
    <w:rsid w:val="3DC97FA9"/>
    <w:rsid w:val="3DCA1388"/>
    <w:rsid w:val="3DD02951"/>
    <w:rsid w:val="3DE643E6"/>
    <w:rsid w:val="3DEC3353"/>
    <w:rsid w:val="3E1C2E2C"/>
    <w:rsid w:val="3E3E276E"/>
    <w:rsid w:val="3E630A5B"/>
    <w:rsid w:val="3E6A631C"/>
    <w:rsid w:val="3E7C7EF8"/>
    <w:rsid w:val="3E8A1E51"/>
    <w:rsid w:val="3E940479"/>
    <w:rsid w:val="3E993C6D"/>
    <w:rsid w:val="3EA07B60"/>
    <w:rsid w:val="3EAC192F"/>
    <w:rsid w:val="3EBF1A75"/>
    <w:rsid w:val="3EC377C7"/>
    <w:rsid w:val="3ECC6F32"/>
    <w:rsid w:val="3ED2600A"/>
    <w:rsid w:val="3ED73C1B"/>
    <w:rsid w:val="3EE660E7"/>
    <w:rsid w:val="3EE67E2E"/>
    <w:rsid w:val="3F0C150F"/>
    <w:rsid w:val="3F0C2ADC"/>
    <w:rsid w:val="3F2820C4"/>
    <w:rsid w:val="3F3770E4"/>
    <w:rsid w:val="3F3F5F8A"/>
    <w:rsid w:val="3F400D9C"/>
    <w:rsid w:val="3F480736"/>
    <w:rsid w:val="3F484D73"/>
    <w:rsid w:val="3F485EA2"/>
    <w:rsid w:val="3F5A1EAB"/>
    <w:rsid w:val="3F5C4C7D"/>
    <w:rsid w:val="3F5F26C5"/>
    <w:rsid w:val="3F795743"/>
    <w:rsid w:val="3F8B6B62"/>
    <w:rsid w:val="3FA532F5"/>
    <w:rsid w:val="3FB05F21"/>
    <w:rsid w:val="3FB3556E"/>
    <w:rsid w:val="3FB459AA"/>
    <w:rsid w:val="3FBB0A63"/>
    <w:rsid w:val="3FBE0164"/>
    <w:rsid w:val="3FC34F8D"/>
    <w:rsid w:val="3FD876AC"/>
    <w:rsid w:val="3FE331F1"/>
    <w:rsid w:val="3FE51083"/>
    <w:rsid w:val="3FE86311"/>
    <w:rsid w:val="3FEC5A75"/>
    <w:rsid w:val="3FFE4E53"/>
    <w:rsid w:val="40061FE5"/>
    <w:rsid w:val="40091DB3"/>
    <w:rsid w:val="40267F92"/>
    <w:rsid w:val="402D1936"/>
    <w:rsid w:val="402E640F"/>
    <w:rsid w:val="403E789F"/>
    <w:rsid w:val="404822D9"/>
    <w:rsid w:val="405E01B9"/>
    <w:rsid w:val="406A776F"/>
    <w:rsid w:val="4071434A"/>
    <w:rsid w:val="40740832"/>
    <w:rsid w:val="409C6F7A"/>
    <w:rsid w:val="40A32E8E"/>
    <w:rsid w:val="40B34D31"/>
    <w:rsid w:val="40B3719E"/>
    <w:rsid w:val="40B93AD3"/>
    <w:rsid w:val="40BE4791"/>
    <w:rsid w:val="40C33A32"/>
    <w:rsid w:val="40C973DC"/>
    <w:rsid w:val="40D4166E"/>
    <w:rsid w:val="40DB77A7"/>
    <w:rsid w:val="40DE086C"/>
    <w:rsid w:val="40ED5997"/>
    <w:rsid w:val="40F048AD"/>
    <w:rsid w:val="412A5860"/>
    <w:rsid w:val="412B3B40"/>
    <w:rsid w:val="41426993"/>
    <w:rsid w:val="4147087B"/>
    <w:rsid w:val="414C1F59"/>
    <w:rsid w:val="415B021B"/>
    <w:rsid w:val="415B77B2"/>
    <w:rsid w:val="415D20AA"/>
    <w:rsid w:val="41601DC9"/>
    <w:rsid w:val="41654A29"/>
    <w:rsid w:val="41783674"/>
    <w:rsid w:val="418754D0"/>
    <w:rsid w:val="418C2DE8"/>
    <w:rsid w:val="418D6271"/>
    <w:rsid w:val="419010A3"/>
    <w:rsid w:val="41917096"/>
    <w:rsid w:val="4192568C"/>
    <w:rsid w:val="41AE2E72"/>
    <w:rsid w:val="41B102F9"/>
    <w:rsid w:val="41B17D2F"/>
    <w:rsid w:val="41C25F84"/>
    <w:rsid w:val="41D17F21"/>
    <w:rsid w:val="41E474FA"/>
    <w:rsid w:val="41EB4255"/>
    <w:rsid w:val="41F06C53"/>
    <w:rsid w:val="41F65417"/>
    <w:rsid w:val="41F67D45"/>
    <w:rsid w:val="42072F7D"/>
    <w:rsid w:val="42096476"/>
    <w:rsid w:val="420B45BF"/>
    <w:rsid w:val="421C1733"/>
    <w:rsid w:val="422402CC"/>
    <w:rsid w:val="422C3091"/>
    <w:rsid w:val="42332CD8"/>
    <w:rsid w:val="42460D62"/>
    <w:rsid w:val="42515E95"/>
    <w:rsid w:val="4267663F"/>
    <w:rsid w:val="42840396"/>
    <w:rsid w:val="428435A7"/>
    <w:rsid w:val="428A0717"/>
    <w:rsid w:val="428B2524"/>
    <w:rsid w:val="429368FC"/>
    <w:rsid w:val="42AE4FF2"/>
    <w:rsid w:val="42B14D94"/>
    <w:rsid w:val="42B555FD"/>
    <w:rsid w:val="42B846C0"/>
    <w:rsid w:val="42C75FD8"/>
    <w:rsid w:val="42C844E6"/>
    <w:rsid w:val="42F071A0"/>
    <w:rsid w:val="42F36DF4"/>
    <w:rsid w:val="42FD534A"/>
    <w:rsid w:val="430A3F45"/>
    <w:rsid w:val="430F64F0"/>
    <w:rsid w:val="43150C49"/>
    <w:rsid w:val="4318257A"/>
    <w:rsid w:val="43281573"/>
    <w:rsid w:val="432B35CB"/>
    <w:rsid w:val="43500EB5"/>
    <w:rsid w:val="4357204A"/>
    <w:rsid w:val="4358476D"/>
    <w:rsid w:val="435B1C03"/>
    <w:rsid w:val="43611B47"/>
    <w:rsid w:val="436459FB"/>
    <w:rsid w:val="436C5DC6"/>
    <w:rsid w:val="436F7EA2"/>
    <w:rsid w:val="437D4206"/>
    <w:rsid w:val="438A63A7"/>
    <w:rsid w:val="439C45AB"/>
    <w:rsid w:val="43A416DE"/>
    <w:rsid w:val="43B43182"/>
    <w:rsid w:val="43C81ACF"/>
    <w:rsid w:val="43CD15C3"/>
    <w:rsid w:val="43D16EBE"/>
    <w:rsid w:val="43D86E75"/>
    <w:rsid w:val="43E03B8F"/>
    <w:rsid w:val="43EF2D90"/>
    <w:rsid w:val="43F52B6F"/>
    <w:rsid w:val="44040B43"/>
    <w:rsid w:val="440E48D4"/>
    <w:rsid w:val="440F138B"/>
    <w:rsid w:val="440F3D4C"/>
    <w:rsid w:val="441F0FC9"/>
    <w:rsid w:val="442A7E20"/>
    <w:rsid w:val="44310D96"/>
    <w:rsid w:val="44383ABF"/>
    <w:rsid w:val="44427550"/>
    <w:rsid w:val="444E6462"/>
    <w:rsid w:val="44504C57"/>
    <w:rsid w:val="4452548A"/>
    <w:rsid w:val="445B6C8E"/>
    <w:rsid w:val="44600B55"/>
    <w:rsid w:val="44675A15"/>
    <w:rsid w:val="44722AAC"/>
    <w:rsid w:val="447609BD"/>
    <w:rsid w:val="448D78C3"/>
    <w:rsid w:val="448E4BCB"/>
    <w:rsid w:val="449F6DB6"/>
    <w:rsid w:val="44B93124"/>
    <w:rsid w:val="44C923EF"/>
    <w:rsid w:val="44D107C0"/>
    <w:rsid w:val="44D54D0E"/>
    <w:rsid w:val="44DE5F3F"/>
    <w:rsid w:val="44E30D0C"/>
    <w:rsid w:val="44EA20E3"/>
    <w:rsid w:val="44EB5F80"/>
    <w:rsid w:val="44ED2C3A"/>
    <w:rsid w:val="44F74EF7"/>
    <w:rsid w:val="45055514"/>
    <w:rsid w:val="45082AE1"/>
    <w:rsid w:val="4522507F"/>
    <w:rsid w:val="452667FE"/>
    <w:rsid w:val="453740AB"/>
    <w:rsid w:val="454866E9"/>
    <w:rsid w:val="455025D6"/>
    <w:rsid w:val="45510190"/>
    <w:rsid w:val="45537492"/>
    <w:rsid w:val="45603EFF"/>
    <w:rsid w:val="45726271"/>
    <w:rsid w:val="45733266"/>
    <w:rsid w:val="457D1B16"/>
    <w:rsid w:val="458B7853"/>
    <w:rsid w:val="459B014A"/>
    <w:rsid w:val="459D774B"/>
    <w:rsid w:val="45A637AA"/>
    <w:rsid w:val="45AB54CC"/>
    <w:rsid w:val="45AC4B0C"/>
    <w:rsid w:val="45B13822"/>
    <w:rsid w:val="45BE6FBC"/>
    <w:rsid w:val="45C65937"/>
    <w:rsid w:val="45DD0B12"/>
    <w:rsid w:val="45EA140C"/>
    <w:rsid w:val="46014874"/>
    <w:rsid w:val="460944EB"/>
    <w:rsid w:val="460D28A5"/>
    <w:rsid w:val="4616349F"/>
    <w:rsid w:val="464A3D8B"/>
    <w:rsid w:val="465271CC"/>
    <w:rsid w:val="46634247"/>
    <w:rsid w:val="466474ED"/>
    <w:rsid w:val="467562CD"/>
    <w:rsid w:val="468442D3"/>
    <w:rsid w:val="46917588"/>
    <w:rsid w:val="469846CE"/>
    <w:rsid w:val="46A460B4"/>
    <w:rsid w:val="46A92426"/>
    <w:rsid w:val="46AC51A9"/>
    <w:rsid w:val="46AE3361"/>
    <w:rsid w:val="46B37C6E"/>
    <w:rsid w:val="46B451E4"/>
    <w:rsid w:val="46B712B7"/>
    <w:rsid w:val="46C75D73"/>
    <w:rsid w:val="46C80B2F"/>
    <w:rsid w:val="46CC37DE"/>
    <w:rsid w:val="46CF7974"/>
    <w:rsid w:val="46D33557"/>
    <w:rsid w:val="46D83FB0"/>
    <w:rsid w:val="46DD2824"/>
    <w:rsid w:val="46DF04CD"/>
    <w:rsid w:val="46E07CC4"/>
    <w:rsid w:val="46F27649"/>
    <w:rsid w:val="46FA6640"/>
    <w:rsid w:val="471051AE"/>
    <w:rsid w:val="47175038"/>
    <w:rsid w:val="472D65F9"/>
    <w:rsid w:val="47302028"/>
    <w:rsid w:val="47363628"/>
    <w:rsid w:val="473B73CC"/>
    <w:rsid w:val="47481D69"/>
    <w:rsid w:val="47625AF0"/>
    <w:rsid w:val="476B0933"/>
    <w:rsid w:val="477D2BED"/>
    <w:rsid w:val="479870CB"/>
    <w:rsid w:val="47C01BDF"/>
    <w:rsid w:val="47CB4CF3"/>
    <w:rsid w:val="47CD3664"/>
    <w:rsid w:val="47D37A32"/>
    <w:rsid w:val="47D93185"/>
    <w:rsid w:val="47DF5C5E"/>
    <w:rsid w:val="47E0603D"/>
    <w:rsid w:val="47F95BF5"/>
    <w:rsid w:val="4800731A"/>
    <w:rsid w:val="4827319F"/>
    <w:rsid w:val="482E723D"/>
    <w:rsid w:val="48310D5F"/>
    <w:rsid w:val="48431A61"/>
    <w:rsid w:val="484813CE"/>
    <w:rsid w:val="484B5DCE"/>
    <w:rsid w:val="484C2ED9"/>
    <w:rsid w:val="4857036B"/>
    <w:rsid w:val="488115F5"/>
    <w:rsid w:val="488C4596"/>
    <w:rsid w:val="489B5EEE"/>
    <w:rsid w:val="48A377D9"/>
    <w:rsid w:val="48A85C94"/>
    <w:rsid w:val="48B97822"/>
    <w:rsid w:val="48D7290D"/>
    <w:rsid w:val="48D8429F"/>
    <w:rsid w:val="48EA7AE0"/>
    <w:rsid w:val="490D33BE"/>
    <w:rsid w:val="49232A97"/>
    <w:rsid w:val="492434DC"/>
    <w:rsid w:val="49244F0A"/>
    <w:rsid w:val="494B16BA"/>
    <w:rsid w:val="49582748"/>
    <w:rsid w:val="49645890"/>
    <w:rsid w:val="49792C0D"/>
    <w:rsid w:val="49870EBA"/>
    <w:rsid w:val="4993047E"/>
    <w:rsid w:val="49A37D9C"/>
    <w:rsid w:val="49B85465"/>
    <w:rsid w:val="49BA6EF6"/>
    <w:rsid w:val="49BC0881"/>
    <w:rsid w:val="49C02BD5"/>
    <w:rsid w:val="49C6057F"/>
    <w:rsid w:val="49C96DEF"/>
    <w:rsid w:val="49D73408"/>
    <w:rsid w:val="49D80339"/>
    <w:rsid w:val="49DB1DED"/>
    <w:rsid w:val="49E470EA"/>
    <w:rsid w:val="49E8275C"/>
    <w:rsid w:val="49F11610"/>
    <w:rsid w:val="49F1698A"/>
    <w:rsid w:val="49F36EFC"/>
    <w:rsid w:val="49FA2EAA"/>
    <w:rsid w:val="49FA488F"/>
    <w:rsid w:val="49FD7C2A"/>
    <w:rsid w:val="4A031344"/>
    <w:rsid w:val="4A0A1791"/>
    <w:rsid w:val="4A0A4886"/>
    <w:rsid w:val="4A134DF9"/>
    <w:rsid w:val="4A2041E8"/>
    <w:rsid w:val="4A2220B2"/>
    <w:rsid w:val="4A4A0D02"/>
    <w:rsid w:val="4A5B218A"/>
    <w:rsid w:val="4A6E3220"/>
    <w:rsid w:val="4A6E6B45"/>
    <w:rsid w:val="4A705680"/>
    <w:rsid w:val="4A724054"/>
    <w:rsid w:val="4A724258"/>
    <w:rsid w:val="4A777878"/>
    <w:rsid w:val="4A7F14DC"/>
    <w:rsid w:val="4A90190B"/>
    <w:rsid w:val="4A981C28"/>
    <w:rsid w:val="4A9C6DAC"/>
    <w:rsid w:val="4AA70577"/>
    <w:rsid w:val="4AAA6145"/>
    <w:rsid w:val="4AB06842"/>
    <w:rsid w:val="4ADD1FCA"/>
    <w:rsid w:val="4AE90539"/>
    <w:rsid w:val="4AFE493B"/>
    <w:rsid w:val="4B143DD5"/>
    <w:rsid w:val="4B245A16"/>
    <w:rsid w:val="4B2E6FA6"/>
    <w:rsid w:val="4B3612A5"/>
    <w:rsid w:val="4B4D44FC"/>
    <w:rsid w:val="4B5160DF"/>
    <w:rsid w:val="4B5475B5"/>
    <w:rsid w:val="4B672DB7"/>
    <w:rsid w:val="4B6810D4"/>
    <w:rsid w:val="4B772DCA"/>
    <w:rsid w:val="4B992A1D"/>
    <w:rsid w:val="4B9D7F75"/>
    <w:rsid w:val="4BBA6470"/>
    <w:rsid w:val="4BBC06C8"/>
    <w:rsid w:val="4BC1132D"/>
    <w:rsid w:val="4BD2793C"/>
    <w:rsid w:val="4BD71E47"/>
    <w:rsid w:val="4BEA65CB"/>
    <w:rsid w:val="4BF363E7"/>
    <w:rsid w:val="4BF55634"/>
    <w:rsid w:val="4BFC429C"/>
    <w:rsid w:val="4C004D59"/>
    <w:rsid w:val="4C0D46FC"/>
    <w:rsid w:val="4C1215AF"/>
    <w:rsid w:val="4C212211"/>
    <w:rsid w:val="4C3E63F3"/>
    <w:rsid w:val="4C423987"/>
    <w:rsid w:val="4C4D3945"/>
    <w:rsid w:val="4C59006C"/>
    <w:rsid w:val="4C66207E"/>
    <w:rsid w:val="4C693860"/>
    <w:rsid w:val="4C737A95"/>
    <w:rsid w:val="4C7F2695"/>
    <w:rsid w:val="4C8A31B1"/>
    <w:rsid w:val="4C947304"/>
    <w:rsid w:val="4C9E1B38"/>
    <w:rsid w:val="4CA4593E"/>
    <w:rsid w:val="4CCB7F4D"/>
    <w:rsid w:val="4CD971A6"/>
    <w:rsid w:val="4CE44AFE"/>
    <w:rsid w:val="4CE95658"/>
    <w:rsid w:val="4CF7330E"/>
    <w:rsid w:val="4CF74417"/>
    <w:rsid w:val="4CFD66C8"/>
    <w:rsid w:val="4D057181"/>
    <w:rsid w:val="4D355CB8"/>
    <w:rsid w:val="4D3953E4"/>
    <w:rsid w:val="4D3E3C58"/>
    <w:rsid w:val="4D456FDA"/>
    <w:rsid w:val="4D467EC5"/>
    <w:rsid w:val="4D5C3245"/>
    <w:rsid w:val="4D5D55B7"/>
    <w:rsid w:val="4D7D4C7E"/>
    <w:rsid w:val="4D7E6193"/>
    <w:rsid w:val="4D8427B7"/>
    <w:rsid w:val="4D8536F5"/>
    <w:rsid w:val="4D86128B"/>
    <w:rsid w:val="4D8A7636"/>
    <w:rsid w:val="4D8E53C8"/>
    <w:rsid w:val="4D9A1430"/>
    <w:rsid w:val="4DAA2302"/>
    <w:rsid w:val="4DC23687"/>
    <w:rsid w:val="4DD2398E"/>
    <w:rsid w:val="4DD908F3"/>
    <w:rsid w:val="4DE049AF"/>
    <w:rsid w:val="4DE61F79"/>
    <w:rsid w:val="4DE80E76"/>
    <w:rsid w:val="4DE85E82"/>
    <w:rsid w:val="4DED20EF"/>
    <w:rsid w:val="4DF329B8"/>
    <w:rsid w:val="4DF41AF0"/>
    <w:rsid w:val="4DF65273"/>
    <w:rsid w:val="4DFB3ED6"/>
    <w:rsid w:val="4E0D3DF7"/>
    <w:rsid w:val="4E1325DE"/>
    <w:rsid w:val="4E26691A"/>
    <w:rsid w:val="4E2A3A16"/>
    <w:rsid w:val="4E2B581A"/>
    <w:rsid w:val="4E2C309D"/>
    <w:rsid w:val="4E41068C"/>
    <w:rsid w:val="4E453DD6"/>
    <w:rsid w:val="4E5465EA"/>
    <w:rsid w:val="4E6438C9"/>
    <w:rsid w:val="4E6600A1"/>
    <w:rsid w:val="4E6B6615"/>
    <w:rsid w:val="4E987E61"/>
    <w:rsid w:val="4EB1136E"/>
    <w:rsid w:val="4EB16E1F"/>
    <w:rsid w:val="4EB3158A"/>
    <w:rsid w:val="4EC15808"/>
    <w:rsid w:val="4ECE7596"/>
    <w:rsid w:val="4ECF5C98"/>
    <w:rsid w:val="4EDE412D"/>
    <w:rsid w:val="4EDE5FB9"/>
    <w:rsid w:val="4EF31987"/>
    <w:rsid w:val="4EFC7A91"/>
    <w:rsid w:val="4EFE0798"/>
    <w:rsid w:val="4F0A5FD9"/>
    <w:rsid w:val="4F161B19"/>
    <w:rsid w:val="4F3B7778"/>
    <w:rsid w:val="4F3D7977"/>
    <w:rsid w:val="4F4C4907"/>
    <w:rsid w:val="4F5148FF"/>
    <w:rsid w:val="4F5D2E56"/>
    <w:rsid w:val="4F606746"/>
    <w:rsid w:val="4F63056D"/>
    <w:rsid w:val="4F633F26"/>
    <w:rsid w:val="4F6D2E51"/>
    <w:rsid w:val="4F6F1C0C"/>
    <w:rsid w:val="4F7164D6"/>
    <w:rsid w:val="4F731E45"/>
    <w:rsid w:val="4FA915F2"/>
    <w:rsid w:val="4FAD0DDC"/>
    <w:rsid w:val="4FB11A3F"/>
    <w:rsid w:val="4FB13295"/>
    <w:rsid w:val="4FB37F52"/>
    <w:rsid w:val="4FC44A0F"/>
    <w:rsid w:val="4FC7149F"/>
    <w:rsid w:val="4FC763EB"/>
    <w:rsid w:val="4FD23A73"/>
    <w:rsid w:val="4FE04FF2"/>
    <w:rsid w:val="4FF22CC4"/>
    <w:rsid w:val="50183E64"/>
    <w:rsid w:val="502450EF"/>
    <w:rsid w:val="50385602"/>
    <w:rsid w:val="504830C4"/>
    <w:rsid w:val="504962AB"/>
    <w:rsid w:val="504C16B2"/>
    <w:rsid w:val="504E69C8"/>
    <w:rsid w:val="50550363"/>
    <w:rsid w:val="505E018D"/>
    <w:rsid w:val="506A5B6F"/>
    <w:rsid w:val="50722D7F"/>
    <w:rsid w:val="507864F7"/>
    <w:rsid w:val="50800518"/>
    <w:rsid w:val="50842060"/>
    <w:rsid w:val="509711B5"/>
    <w:rsid w:val="50A810E0"/>
    <w:rsid w:val="50A81F79"/>
    <w:rsid w:val="50AC6291"/>
    <w:rsid w:val="50B25872"/>
    <w:rsid w:val="50B37B2B"/>
    <w:rsid w:val="50D60883"/>
    <w:rsid w:val="50D906DB"/>
    <w:rsid w:val="50FB04B6"/>
    <w:rsid w:val="50FD57CD"/>
    <w:rsid w:val="51081365"/>
    <w:rsid w:val="51146F86"/>
    <w:rsid w:val="51296FCA"/>
    <w:rsid w:val="51297310"/>
    <w:rsid w:val="513921A2"/>
    <w:rsid w:val="51535EBF"/>
    <w:rsid w:val="51804551"/>
    <w:rsid w:val="51872A62"/>
    <w:rsid w:val="51913CF4"/>
    <w:rsid w:val="519531C9"/>
    <w:rsid w:val="51A50A0C"/>
    <w:rsid w:val="51B328CB"/>
    <w:rsid w:val="51CF1B21"/>
    <w:rsid w:val="51E418B2"/>
    <w:rsid w:val="51F2662E"/>
    <w:rsid w:val="51FD366E"/>
    <w:rsid w:val="52000520"/>
    <w:rsid w:val="52067C23"/>
    <w:rsid w:val="520D50C0"/>
    <w:rsid w:val="52124682"/>
    <w:rsid w:val="521F5461"/>
    <w:rsid w:val="52275C91"/>
    <w:rsid w:val="522F29EC"/>
    <w:rsid w:val="52352217"/>
    <w:rsid w:val="523A157F"/>
    <w:rsid w:val="523A2E2B"/>
    <w:rsid w:val="525A0F12"/>
    <w:rsid w:val="525A7C85"/>
    <w:rsid w:val="525B7B11"/>
    <w:rsid w:val="525E1D9E"/>
    <w:rsid w:val="525E559C"/>
    <w:rsid w:val="5268538D"/>
    <w:rsid w:val="526C3CBB"/>
    <w:rsid w:val="52773494"/>
    <w:rsid w:val="529A6866"/>
    <w:rsid w:val="52A31916"/>
    <w:rsid w:val="52AC4104"/>
    <w:rsid w:val="52B42180"/>
    <w:rsid w:val="52CE48C2"/>
    <w:rsid w:val="52D3069D"/>
    <w:rsid w:val="52DC1592"/>
    <w:rsid w:val="52DE7E21"/>
    <w:rsid w:val="52F35C1E"/>
    <w:rsid w:val="52F677AF"/>
    <w:rsid w:val="52F83A10"/>
    <w:rsid w:val="52F870A5"/>
    <w:rsid w:val="52FC3E22"/>
    <w:rsid w:val="52FE08FA"/>
    <w:rsid w:val="53051C89"/>
    <w:rsid w:val="53061DFB"/>
    <w:rsid w:val="532510B4"/>
    <w:rsid w:val="532707AB"/>
    <w:rsid w:val="53333325"/>
    <w:rsid w:val="533562D5"/>
    <w:rsid w:val="533A7719"/>
    <w:rsid w:val="53463D73"/>
    <w:rsid w:val="53763210"/>
    <w:rsid w:val="5377553F"/>
    <w:rsid w:val="537B3524"/>
    <w:rsid w:val="537E2A73"/>
    <w:rsid w:val="538B778A"/>
    <w:rsid w:val="538D363B"/>
    <w:rsid w:val="53953263"/>
    <w:rsid w:val="53A40CA5"/>
    <w:rsid w:val="53A755D9"/>
    <w:rsid w:val="53B251D2"/>
    <w:rsid w:val="53BA27A7"/>
    <w:rsid w:val="53BF0324"/>
    <w:rsid w:val="53C22AC5"/>
    <w:rsid w:val="53DB5EC4"/>
    <w:rsid w:val="53E37A3A"/>
    <w:rsid w:val="53EC6C77"/>
    <w:rsid w:val="540229FA"/>
    <w:rsid w:val="540930BB"/>
    <w:rsid w:val="540A62DE"/>
    <w:rsid w:val="540E72EB"/>
    <w:rsid w:val="541423BD"/>
    <w:rsid w:val="541C65F7"/>
    <w:rsid w:val="54206AD1"/>
    <w:rsid w:val="542A3C12"/>
    <w:rsid w:val="542A75B1"/>
    <w:rsid w:val="54452B11"/>
    <w:rsid w:val="5450409C"/>
    <w:rsid w:val="546A78BE"/>
    <w:rsid w:val="546E1F10"/>
    <w:rsid w:val="54732C0A"/>
    <w:rsid w:val="547533EC"/>
    <w:rsid w:val="5479403B"/>
    <w:rsid w:val="54831978"/>
    <w:rsid w:val="54910E24"/>
    <w:rsid w:val="54A47015"/>
    <w:rsid w:val="54A92AE8"/>
    <w:rsid w:val="54AC07E3"/>
    <w:rsid w:val="54B0031A"/>
    <w:rsid w:val="54B55930"/>
    <w:rsid w:val="54B5597E"/>
    <w:rsid w:val="54B7563D"/>
    <w:rsid w:val="54B933DE"/>
    <w:rsid w:val="54BD4C32"/>
    <w:rsid w:val="54C60A56"/>
    <w:rsid w:val="54D64588"/>
    <w:rsid w:val="54DE4933"/>
    <w:rsid w:val="54DF0005"/>
    <w:rsid w:val="54EF303A"/>
    <w:rsid w:val="5512337D"/>
    <w:rsid w:val="55215C1D"/>
    <w:rsid w:val="55254CAE"/>
    <w:rsid w:val="55370E25"/>
    <w:rsid w:val="553E1844"/>
    <w:rsid w:val="554350F6"/>
    <w:rsid w:val="55463B3D"/>
    <w:rsid w:val="55491314"/>
    <w:rsid w:val="55543ECF"/>
    <w:rsid w:val="555D63FD"/>
    <w:rsid w:val="55757F75"/>
    <w:rsid w:val="557A5019"/>
    <w:rsid w:val="557B4484"/>
    <w:rsid w:val="55A55847"/>
    <w:rsid w:val="55B26ACB"/>
    <w:rsid w:val="55D87B28"/>
    <w:rsid w:val="55D91CBB"/>
    <w:rsid w:val="55E907B0"/>
    <w:rsid w:val="56055A84"/>
    <w:rsid w:val="56261C7C"/>
    <w:rsid w:val="56464886"/>
    <w:rsid w:val="564D3E88"/>
    <w:rsid w:val="56633C22"/>
    <w:rsid w:val="566C7903"/>
    <w:rsid w:val="566F33C0"/>
    <w:rsid w:val="56773BE6"/>
    <w:rsid w:val="56851078"/>
    <w:rsid w:val="56885D1A"/>
    <w:rsid w:val="56AD0524"/>
    <w:rsid w:val="56AD68BF"/>
    <w:rsid w:val="56B42991"/>
    <w:rsid w:val="56B52B6B"/>
    <w:rsid w:val="56DA6BFE"/>
    <w:rsid w:val="56EE7DAA"/>
    <w:rsid w:val="56F52106"/>
    <w:rsid w:val="57016B3C"/>
    <w:rsid w:val="57045B11"/>
    <w:rsid w:val="5706756D"/>
    <w:rsid w:val="57081A21"/>
    <w:rsid w:val="570B50E8"/>
    <w:rsid w:val="570E728E"/>
    <w:rsid w:val="570E73CC"/>
    <w:rsid w:val="570F1328"/>
    <w:rsid w:val="5714519D"/>
    <w:rsid w:val="57215CD5"/>
    <w:rsid w:val="572D021D"/>
    <w:rsid w:val="57435475"/>
    <w:rsid w:val="574E1435"/>
    <w:rsid w:val="57550741"/>
    <w:rsid w:val="57551807"/>
    <w:rsid w:val="577A74D3"/>
    <w:rsid w:val="577E64AD"/>
    <w:rsid w:val="577F08F8"/>
    <w:rsid w:val="578F4D77"/>
    <w:rsid w:val="57936E9C"/>
    <w:rsid w:val="57947A7F"/>
    <w:rsid w:val="57965AAA"/>
    <w:rsid w:val="57A777B2"/>
    <w:rsid w:val="57BA4848"/>
    <w:rsid w:val="57BF5B6D"/>
    <w:rsid w:val="57DC0994"/>
    <w:rsid w:val="580734C4"/>
    <w:rsid w:val="581C4068"/>
    <w:rsid w:val="582E0F04"/>
    <w:rsid w:val="582F7907"/>
    <w:rsid w:val="58315A6F"/>
    <w:rsid w:val="586D1846"/>
    <w:rsid w:val="58780B5E"/>
    <w:rsid w:val="587955AE"/>
    <w:rsid w:val="58835DB9"/>
    <w:rsid w:val="58955A7B"/>
    <w:rsid w:val="58A67A6A"/>
    <w:rsid w:val="58B04040"/>
    <w:rsid w:val="58BA208C"/>
    <w:rsid w:val="58C4539C"/>
    <w:rsid w:val="58CE76C2"/>
    <w:rsid w:val="58DB0827"/>
    <w:rsid w:val="58E961AD"/>
    <w:rsid w:val="58F66F46"/>
    <w:rsid w:val="5903187D"/>
    <w:rsid w:val="590E0ECC"/>
    <w:rsid w:val="591F781C"/>
    <w:rsid w:val="593A020E"/>
    <w:rsid w:val="593A5ADA"/>
    <w:rsid w:val="593C217C"/>
    <w:rsid w:val="593D2E55"/>
    <w:rsid w:val="59411F8B"/>
    <w:rsid w:val="59484625"/>
    <w:rsid w:val="595270E7"/>
    <w:rsid w:val="59617D56"/>
    <w:rsid w:val="59682F71"/>
    <w:rsid w:val="596A0A97"/>
    <w:rsid w:val="59762160"/>
    <w:rsid w:val="598926A9"/>
    <w:rsid w:val="59973902"/>
    <w:rsid w:val="599E6CEB"/>
    <w:rsid w:val="59A2668D"/>
    <w:rsid w:val="59AA1619"/>
    <w:rsid w:val="59BC63AE"/>
    <w:rsid w:val="59BF0F4F"/>
    <w:rsid w:val="59C02B17"/>
    <w:rsid w:val="59D14FBA"/>
    <w:rsid w:val="59D3150D"/>
    <w:rsid w:val="59E411A1"/>
    <w:rsid w:val="59EE1099"/>
    <w:rsid w:val="59F250EE"/>
    <w:rsid w:val="5A020EDB"/>
    <w:rsid w:val="5A0C5FF2"/>
    <w:rsid w:val="5A1206F1"/>
    <w:rsid w:val="5A1B2858"/>
    <w:rsid w:val="5A1D5B0A"/>
    <w:rsid w:val="5A20384C"/>
    <w:rsid w:val="5A343545"/>
    <w:rsid w:val="5A407D45"/>
    <w:rsid w:val="5A4A4EE1"/>
    <w:rsid w:val="5A524773"/>
    <w:rsid w:val="5A52683F"/>
    <w:rsid w:val="5A542041"/>
    <w:rsid w:val="5A594B67"/>
    <w:rsid w:val="5A670ED1"/>
    <w:rsid w:val="5A6E0091"/>
    <w:rsid w:val="5A6E5425"/>
    <w:rsid w:val="5AC43474"/>
    <w:rsid w:val="5AEF6D32"/>
    <w:rsid w:val="5B001B34"/>
    <w:rsid w:val="5B0361B7"/>
    <w:rsid w:val="5B0762F5"/>
    <w:rsid w:val="5B092A10"/>
    <w:rsid w:val="5B0F5FAB"/>
    <w:rsid w:val="5B3C0479"/>
    <w:rsid w:val="5B464905"/>
    <w:rsid w:val="5B491553"/>
    <w:rsid w:val="5B531B79"/>
    <w:rsid w:val="5B6F7249"/>
    <w:rsid w:val="5B753EBC"/>
    <w:rsid w:val="5B7C39C4"/>
    <w:rsid w:val="5B8B37BD"/>
    <w:rsid w:val="5B943DCD"/>
    <w:rsid w:val="5BA75496"/>
    <w:rsid w:val="5BA95CCA"/>
    <w:rsid w:val="5BBA7FA7"/>
    <w:rsid w:val="5BBC5C03"/>
    <w:rsid w:val="5BD36809"/>
    <w:rsid w:val="5BDE0EA1"/>
    <w:rsid w:val="5BE562EF"/>
    <w:rsid w:val="5BF8273F"/>
    <w:rsid w:val="5BF87C0F"/>
    <w:rsid w:val="5C0640A2"/>
    <w:rsid w:val="5C0B5C41"/>
    <w:rsid w:val="5C164632"/>
    <w:rsid w:val="5C1E3E0E"/>
    <w:rsid w:val="5C3214C8"/>
    <w:rsid w:val="5C3D01C9"/>
    <w:rsid w:val="5C4E23DA"/>
    <w:rsid w:val="5C4F1C13"/>
    <w:rsid w:val="5C612C6D"/>
    <w:rsid w:val="5C62392D"/>
    <w:rsid w:val="5C684378"/>
    <w:rsid w:val="5C685E7C"/>
    <w:rsid w:val="5C7C6DC6"/>
    <w:rsid w:val="5C904E42"/>
    <w:rsid w:val="5C91336D"/>
    <w:rsid w:val="5CD66C71"/>
    <w:rsid w:val="5CDB5AAC"/>
    <w:rsid w:val="5CDD375B"/>
    <w:rsid w:val="5CE22482"/>
    <w:rsid w:val="5CEB0EC9"/>
    <w:rsid w:val="5CFA0384"/>
    <w:rsid w:val="5D027239"/>
    <w:rsid w:val="5D081FD3"/>
    <w:rsid w:val="5D0A5C67"/>
    <w:rsid w:val="5D0E2612"/>
    <w:rsid w:val="5D0E6F4B"/>
    <w:rsid w:val="5D0F6CD8"/>
    <w:rsid w:val="5D17627C"/>
    <w:rsid w:val="5D2074E0"/>
    <w:rsid w:val="5D2B415D"/>
    <w:rsid w:val="5D2E578A"/>
    <w:rsid w:val="5D344F91"/>
    <w:rsid w:val="5D36720B"/>
    <w:rsid w:val="5D3F048D"/>
    <w:rsid w:val="5D4E6EAC"/>
    <w:rsid w:val="5D51003C"/>
    <w:rsid w:val="5D605A83"/>
    <w:rsid w:val="5D680CEF"/>
    <w:rsid w:val="5D951FA5"/>
    <w:rsid w:val="5D974791"/>
    <w:rsid w:val="5D98770A"/>
    <w:rsid w:val="5D9A142E"/>
    <w:rsid w:val="5DA463E6"/>
    <w:rsid w:val="5DA622BA"/>
    <w:rsid w:val="5DB84F61"/>
    <w:rsid w:val="5DC577D7"/>
    <w:rsid w:val="5DCC3149"/>
    <w:rsid w:val="5DFA5E15"/>
    <w:rsid w:val="5DFB2AAE"/>
    <w:rsid w:val="5E0232DB"/>
    <w:rsid w:val="5E162C1D"/>
    <w:rsid w:val="5E1D4B4F"/>
    <w:rsid w:val="5E1E00A2"/>
    <w:rsid w:val="5E2670E5"/>
    <w:rsid w:val="5E335FB3"/>
    <w:rsid w:val="5E341234"/>
    <w:rsid w:val="5E360CD6"/>
    <w:rsid w:val="5E38798F"/>
    <w:rsid w:val="5E451099"/>
    <w:rsid w:val="5E465559"/>
    <w:rsid w:val="5E504646"/>
    <w:rsid w:val="5E534495"/>
    <w:rsid w:val="5E771000"/>
    <w:rsid w:val="5E8D2045"/>
    <w:rsid w:val="5E953066"/>
    <w:rsid w:val="5E9658A5"/>
    <w:rsid w:val="5E9B435E"/>
    <w:rsid w:val="5EA04F5B"/>
    <w:rsid w:val="5EA71C4C"/>
    <w:rsid w:val="5EA82C2F"/>
    <w:rsid w:val="5EB12EB5"/>
    <w:rsid w:val="5EBB6DAF"/>
    <w:rsid w:val="5ECE7D1A"/>
    <w:rsid w:val="5ECF44FB"/>
    <w:rsid w:val="5ED23600"/>
    <w:rsid w:val="5ED81A8D"/>
    <w:rsid w:val="5EE017FC"/>
    <w:rsid w:val="5EE16246"/>
    <w:rsid w:val="5EE7353F"/>
    <w:rsid w:val="5EFA496A"/>
    <w:rsid w:val="5F0B14B8"/>
    <w:rsid w:val="5F2E3949"/>
    <w:rsid w:val="5F3C7AB5"/>
    <w:rsid w:val="5F447F7A"/>
    <w:rsid w:val="5F482DB8"/>
    <w:rsid w:val="5F4942D2"/>
    <w:rsid w:val="5F4F1F2A"/>
    <w:rsid w:val="5F5246AB"/>
    <w:rsid w:val="5F7A713C"/>
    <w:rsid w:val="5F7F2ECD"/>
    <w:rsid w:val="5F8274C2"/>
    <w:rsid w:val="5F873E4D"/>
    <w:rsid w:val="5F88708A"/>
    <w:rsid w:val="5F943CFE"/>
    <w:rsid w:val="5F9C3975"/>
    <w:rsid w:val="5FAC4F21"/>
    <w:rsid w:val="5FAF0198"/>
    <w:rsid w:val="5FBB47EC"/>
    <w:rsid w:val="5FBD2D1A"/>
    <w:rsid w:val="5FC11498"/>
    <w:rsid w:val="5FCA6734"/>
    <w:rsid w:val="5FD1023A"/>
    <w:rsid w:val="5FF261D0"/>
    <w:rsid w:val="5FFD7442"/>
    <w:rsid w:val="600516EA"/>
    <w:rsid w:val="600A2FD4"/>
    <w:rsid w:val="600C0046"/>
    <w:rsid w:val="601377D0"/>
    <w:rsid w:val="60165644"/>
    <w:rsid w:val="60196F2D"/>
    <w:rsid w:val="60243AEA"/>
    <w:rsid w:val="602A2D2E"/>
    <w:rsid w:val="605A3813"/>
    <w:rsid w:val="605D0790"/>
    <w:rsid w:val="60800F1F"/>
    <w:rsid w:val="608A6410"/>
    <w:rsid w:val="609062F7"/>
    <w:rsid w:val="60995B36"/>
    <w:rsid w:val="60AB1D7D"/>
    <w:rsid w:val="60B109F8"/>
    <w:rsid w:val="60B3202E"/>
    <w:rsid w:val="60B47CD2"/>
    <w:rsid w:val="60B92C30"/>
    <w:rsid w:val="60C5218C"/>
    <w:rsid w:val="60E06B2F"/>
    <w:rsid w:val="60E2185B"/>
    <w:rsid w:val="60E501E3"/>
    <w:rsid w:val="60ED0FA2"/>
    <w:rsid w:val="60F34C5A"/>
    <w:rsid w:val="60FE6993"/>
    <w:rsid w:val="61095B74"/>
    <w:rsid w:val="611A1CA6"/>
    <w:rsid w:val="61263995"/>
    <w:rsid w:val="613959E4"/>
    <w:rsid w:val="61614670"/>
    <w:rsid w:val="6171498D"/>
    <w:rsid w:val="61775760"/>
    <w:rsid w:val="617C4A37"/>
    <w:rsid w:val="6192690C"/>
    <w:rsid w:val="6196316E"/>
    <w:rsid w:val="61A26423"/>
    <w:rsid w:val="61A470B1"/>
    <w:rsid w:val="61A52C35"/>
    <w:rsid w:val="61AF3E33"/>
    <w:rsid w:val="61B2635B"/>
    <w:rsid w:val="61B90C8A"/>
    <w:rsid w:val="61D92952"/>
    <w:rsid w:val="61DA4549"/>
    <w:rsid w:val="61DA57CC"/>
    <w:rsid w:val="61E43255"/>
    <w:rsid w:val="61E647CA"/>
    <w:rsid w:val="61EA7CA9"/>
    <w:rsid w:val="61F35FBA"/>
    <w:rsid w:val="6214518D"/>
    <w:rsid w:val="62151015"/>
    <w:rsid w:val="621C442D"/>
    <w:rsid w:val="62223FEE"/>
    <w:rsid w:val="62255A72"/>
    <w:rsid w:val="623E51B7"/>
    <w:rsid w:val="62402CDD"/>
    <w:rsid w:val="6247406C"/>
    <w:rsid w:val="62480A7C"/>
    <w:rsid w:val="626553F3"/>
    <w:rsid w:val="62695FBD"/>
    <w:rsid w:val="626C7D1C"/>
    <w:rsid w:val="627356FB"/>
    <w:rsid w:val="627629D0"/>
    <w:rsid w:val="62797E8F"/>
    <w:rsid w:val="628726BA"/>
    <w:rsid w:val="628C2858"/>
    <w:rsid w:val="62941C65"/>
    <w:rsid w:val="62946B85"/>
    <w:rsid w:val="629F29E4"/>
    <w:rsid w:val="62A23C91"/>
    <w:rsid w:val="62AC0344"/>
    <w:rsid w:val="62B90F05"/>
    <w:rsid w:val="62D464E4"/>
    <w:rsid w:val="62D766D7"/>
    <w:rsid w:val="62E8404B"/>
    <w:rsid w:val="6309470F"/>
    <w:rsid w:val="631B23B9"/>
    <w:rsid w:val="63204C58"/>
    <w:rsid w:val="63260125"/>
    <w:rsid w:val="633B4B61"/>
    <w:rsid w:val="635D3B18"/>
    <w:rsid w:val="6362156C"/>
    <w:rsid w:val="63701241"/>
    <w:rsid w:val="637648FA"/>
    <w:rsid w:val="63770107"/>
    <w:rsid w:val="63893169"/>
    <w:rsid w:val="639E6C0B"/>
    <w:rsid w:val="63A015D2"/>
    <w:rsid w:val="63B158FA"/>
    <w:rsid w:val="63C9199B"/>
    <w:rsid w:val="63D556AC"/>
    <w:rsid w:val="63D91E4A"/>
    <w:rsid w:val="63E66E46"/>
    <w:rsid w:val="63EA5E3C"/>
    <w:rsid w:val="63F2095E"/>
    <w:rsid w:val="63FF3867"/>
    <w:rsid w:val="641B5E82"/>
    <w:rsid w:val="6423351E"/>
    <w:rsid w:val="642510A7"/>
    <w:rsid w:val="643A2AA9"/>
    <w:rsid w:val="643A2EF8"/>
    <w:rsid w:val="644274E9"/>
    <w:rsid w:val="64551164"/>
    <w:rsid w:val="646D2CF0"/>
    <w:rsid w:val="646E2478"/>
    <w:rsid w:val="64773AF5"/>
    <w:rsid w:val="647838E3"/>
    <w:rsid w:val="647F5120"/>
    <w:rsid w:val="6489182A"/>
    <w:rsid w:val="64A53594"/>
    <w:rsid w:val="64B451AC"/>
    <w:rsid w:val="64C1333A"/>
    <w:rsid w:val="64DA3B22"/>
    <w:rsid w:val="64DF0243"/>
    <w:rsid w:val="64E041E0"/>
    <w:rsid w:val="64E140F9"/>
    <w:rsid w:val="64E51CBF"/>
    <w:rsid w:val="64E708AE"/>
    <w:rsid w:val="64E822EE"/>
    <w:rsid w:val="64EA33D4"/>
    <w:rsid w:val="64ED07CF"/>
    <w:rsid w:val="65027821"/>
    <w:rsid w:val="65054324"/>
    <w:rsid w:val="650561F8"/>
    <w:rsid w:val="6522134E"/>
    <w:rsid w:val="65255681"/>
    <w:rsid w:val="65281B7D"/>
    <w:rsid w:val="652B61E8"/>
    <w:rsid w:val="653270FD"/>
    <w:rsid w:val="65346F12"/>
    <w:rsid w:val="653D14FE"/>
    <w:rsid w:val="65424FBE"/>
    <w:rsid w:val="6561620F"/>
    <w:rsid w:val="658232AB"/>
    <w:rsid w:val="65824000"/>
    <w:rsid w:val="65907AD8"/>
    <w:rsid w:val="65932035"/>
    <w:rsid w:val="659945A9"/>
    <w:rsid w:val="659F781E"/>
    <w:rsid w:val="65A43FA4"/>
    <w:rsid w:val="65A77C53"/>
    <w:rsid w:val="65BA22A9"/>
    <w:rsid w:val="65D15E0B"/>
    <w:rsid w:val="65D646FA"/>
    <w:rsid w:val="65D820BB"/>
    <w:rsid w:val="65DF5FBB"/>
    <w:rsid w:val="65E23DDE"/>
    <w:rsid w:val="65F42C76"/>
    <w:rsid w:val="65F57D34"/>
    <w:rsid w:val="660A30B3"/>
    <w:rsid w:val="662242CD"/>
    <w:rsid w:val="66291CDA"/>
    <w:rsid w:val="664151E2"/>
    <w:rsid w:val="664152F0"/>
    <w:rsid w:val="664A50B2"/>
    <w:rsid w:val="66597B01"/>
    <w:rsid w:val="66643978"/>
    <w:rsid w:val="66762AC1"/>
    <w:rsid w:val="668321B5"/>
    <w:rsid w:val="66844E25"/>
    <w:rsid w:val="66A650D9"/>
    <w:rsid w:val="66AA72DE"/>
    <w:rsid w:val="66AE2609"/>
    <w:rsid w:val="66B13CDB"/>
    <w:rsid w:val="66B47B66"/>
    <w:rsid w:val="66B5531C"/>
    <w:rsid w:val="66C63150"/>
    <w:rsid w:val="66D02156"/>
    <w:rsid w:val="66D0628B"/>
    <w:rsid w:val="66E669AB"/>
    <w:rsid w:val="66E943AC"/>
    <w:rsid w:val="66EE7EE5"/>
    <w:rsid w:val="66F07317"/>
    <w:rsid w:val="670B328B"/>
    <w:rsid w:val="67120A0C"/>
    <w:rsid w:val="67203C86"/>
    <w:rsid w:val="67234E41"/>
    <w:rsid w:val="67346E2D"/>
    <w:rsid w:val="67355187"/>
    <w:rsid w:val="67401B1D"/>
    <w:rsid w:val="67412917"/>
    <w:rsid w:val="67423054"/>
    <w:rsid w:val="67443D60"/>
    <w:rsid w:val="674974CF"/>
    <w:rsid w:val="674F239B"/>
    <w:rsid w:val="676409F1"/>
    <w:rsid w:val="676526E1"/>
    <w:rsid w:val="67705A51"/>
    <w:rsid w:val="67720794"/>
    <w:rsid w:val="678003B2"/>
    <w:rsid w:val="67853431"/>
    <w:rsid w:val="679F3C18"/>
    <w:rsid w:val="67AB270C"/>
    <w:rsid w:val="67B0326B"/>
    <w:rsid w:val="67CD5013"/>
    <w:rsid w:val="67CE31CD"/>
    <w:rsid w:val="67DA7730"/>
    <w:rsid w:val="67E20393"/>
    <w:rsid w:val="67EA3645"/>
    <w:rsid w:val="67EB2974"/>
    <w:rsid w:val="67F07124"/>
    <w:rsid w:val="67F56318"/>
    <w:rsid w:val="680B5B3B"/>
    <w:rsid w:val="6817003C"/>
    <w:rsid w:val="681F22A4"/>
    <w:rsid w:val="682A74DA"/>
    <w:rsid w:val="682B3622"/>
    <w:rsid w:val="682E3221"/>
    <w:rsid w:val="682F1F33"/>
    <w:rsid w:val="683000E3"/>
    <w:rsid w:val="684B3B51"/>
    <w:rsid w:val="684E5009"/>
    <w:rsid w:val="68672D87"/>
    <w:rsid w:val="687961AF"/>
    <w:rsid w:val="68894380"/>
    <w:rsid w:val="68AA79E1"/>
    <w:rsid w:val="68AC7DA2"/>
    <w:rsid w:val="68B36C32"/>
    <w:rsid w:val="68B57855"/>
    <w:rsid w:val="68B8141F"/>
    <w:rsid w:val="68C172DC"/>
    <w:rsid w:val="68C8573E"/>
    <w:rsid w:val="68CE677E"/>
    <w:rsid w:val="68DA68EF"/>
    <w:rsid w:val="68E11616"/>
    <w:rsid w:val="68E20FA1"/>
    <w:rsid w:val="68F310CB"/>
    <w:rsid w:val="68FA0F01"/>
    <w:rsid w:val="69036813"/>
    <w:rsid w:val="6905258B"/>
    <w:rsid w:val="69394768"/>
    <w:rsid w:val="693C3AD3"/>
    <w:rsid w:val="6949649F"/>
    <w:rsid w:val="694D34D6"/>
    <w:rsid w:val="695B1B08"/>
    <w:rsid w:val="696F6D88"/>
    <w:rsid w:val="697607B9"/>
    <w:rsid w:val="697C2D44"/>
    <w:rsid w:val="69831382"/>
    <w:rsid w:val="69837BFB"/>
    <w:rsid w:val="69997DC2"/>
    <w:rsid w:val="699B6A4B"/>
    <w:rsid w:val="699F5783"/>
    <w:rsid w:val="69A7485B"/>
    <w:rsid w:val="69C325B1"/>
    <w:rsid w:val="69DA57C5"/>
    <w:rsid w:val="69E32EE4"/>
    <w:rsid w:val="69EB5A0B"/>
    <w:rsid w:val="69F1471C"/>
    <w:rsid w:val="69FD29CC"/>
    <w:rsid w:val="69FF06CA"/>
    <w:rsid w:val="6A042842"/>
    <w:rsid w:val="6A067577"/>
    <w:rsid w:val="6A145579"/>
    <w:rsid w:val="6A195F19"/>
    <w:rsid w:val="6A2709FD"/>
    <w:rsid w:val="6A36510E"/>
    <w:rsid w:val="6A4844E6"/>
    <w:rsid w:val="6A86594D"/>
    <w:rsid w:val="6A961D8A"/>
    <w:rsid w:val="6A9A746F"/>
    <w:rsid w:val="6A9E074B"/>
    <w:rsid w:val="6AA21D2B"/>
    <w:rsid w:val="6AA83747"/>
    <w:rsid w:val="6AC278F1"/>
    <w:rsid w:val="6ACD51F3"/>
    <w:rsid w:val="6AD0151F"/>
    <w:rsid w:val="6AF810DC"/>
    <w:rsid w:val="6B083D57"/>
    <w:rsid w:val="6B0B3DBE"/>
    <w:rsid w:val="6B136FFE"/>
    <w:rsid w:val="6B1F2D9F"/>
    <w:rsid w:val="6B285639"/>
    <w:rsid w:val="6B3158B9"/>
    <w:rsid w:val="6B376C47"/>
    <w:rsid w:val="6B39480A"/>
    <w:rsid w:val="6B4D62A9"/>
    <w:rsid w:val="6B5D5731"/>
    <w:rsid w:val="6B6401F9"/>
    <w:rsid w:val="6B6E0E7B"/>
    <w:rsid w:val="6B735ED1"/>
    <w:rsid w:val="6BA4220D"/>
    <w:rsid w:val="6BA64445"/>
    <w:rsid w:val="6BAA0A3B"/>
    <w:rsid w:val="6BB12556"/>
    <w:rsid w:val="6BCD7415"/>
    <w:rsid w:val="6BD943AE"/>
    <w:rsid w:val="6BDD32F9"/>
    <w:rsid w:val="6BE21670"/>
    <w:rsid w:val="6BE40D3D"/>
    <w:rsid w:val="6BF8331C"/>
    <w:rsid w:val="6BF92F13"/>
    <w:rsid w:val="6BFE12A5"/>
    <w:rsid w:val="6C187155"/>
    <w:rsid w:val="6C241E40"/>
    <w:rsid w:val="6C2A54D6"/>
    <w:rsid w:val="6C2A78E3"/>
    <w:rsid w:val="6C305B70"/>
    <w:rsid w:val="6C573E18"/>
    <w:rsid w:val="6C7C6802"/>
    <w:rsid w:val="6C861C34"/>
    <w:rsid w:val="6C8807E5"/>
    <w:rsid w:val="6C8838C4"/>
    <w:rsid w:val="6C97799E"/>
    <w:rsid w:val="6CAB205B"/>
    <w:rsid w:val="6CAD5934"/>
    <w:rsid w:val="6CD3787D"/>
    <w:rsid w:val="6CD9461F"/>
    <w:rsid w:val="6CE948E8"/>
    <w:rsid w:val="6D0274C3"/>
    <w:rsid w:val="6D042B59"/>
    <w:rsid w:val="6D0621D5"/>
    <w:rsid w:val="6D063DEC"/>
    <w:rsid w:val="6D186E2C"/>
    <w:rsid w:val="6D321704"/>
    <w:rsid w:val="6D5C2C40"/>
    <w:rsid w:val="6D5C7675"/>
    <w:rsid w:val="6D6774BC"/>
    <w:rsid w:val="6D6D1AF8"/>
    <w:rsid w:val="6D6F4477"/>
    <w:rsid w:val="6D7012D9"/>
    <w:rsid w:val="6D7D74F5"/>
    <w:rsid w:val="6D843973"/>
    <w:rsid w:val="6D8B40BC"/>
    <w:rsid w:val="6D8B47B6"/>
    <w:rsid w:val="6D917625"/>
    <w:rsid w:val="6D936847"/>
    <w:rsid w:val="6DB77362"/>
    <w:rsid w:val="6DC34AC2"/>
    <w:rsid w:val="6DCA46EF"/>
    <w:rsid w:val="6DCB3FF3"/>
    <w:rsid w:val="6DCC5A67"/>
    <w:rsid w:val="6DCD677D"/>
    <w:rsid w:val="6DD16EDF"/>
    <w:rsid w:val="6DDD5863"/>
    <w:rsid w:val="6DE90512"/>
    <w:rsid w:val="6DF1132F"/>
    <w:rsid w:val="6DF409B6"/>
    <w:rsid w:val="6E105346"/>
    <w:rsid w:val="6E18466E"/>
    <w:rsid w:val="6E28235D"/>
    <w:rsid w:val="6E556F12"/>
    <w:rsid w:val="6E562C0D"/>
    <w:rsid w:val="6E6164B5"/>
    <w:rsid w:val="6E64323B"/>
    <w:rsid w:val="6E657ED4"/>
    <w:rsid w:val="6E6A2437"/>
    <w:rsid w:val="6E900B48"/>
    <w:rsid w:val="6E920B00"/>
    <w:rsid w:val="6E960668"/>
    <w:rsid w:val="6EB15E1B"/>
    <w:rsid w:val="6EB5615B"/>
    <w:rsid w:val="6EC319E3"/>
    <w:rsid w:val="6ECE341F"/>
    <w:rsid w:val="6ED52532"/>
    <w:rsid w:val="6ED62B75"/>
    <w:rsid w:val="6EDB52E8"/>
    <w:rsid w:val="6EE92007"/>
    <w:rsid w:val="6EF72976"/>
    <w:rsid w:val="6F006B08"/>
    <w:rsid w:val="6F0926A9"/>
    <w:rsid w:val="6F0C4BE1"/>
    <w:rsid w:val="6F0E24A9"/>
    <w:rsid w:val="6F2E1A19"/>
    <w:rsid w:val="6F4B2104"/>
    <w:rsid w:val="6F5A2F04"/>
    <w:rsid w:val="6F5F387C"/>
    <w:rsid w:val="6F6238B6"/>
    <w:rsid w:val="6F683873"/>
    <w:rsid w:val="6F69477C"/>
    <w:rsid w:val="6F6A7315"/>
    <w:rsid w:val="6F6B4556"/>
    <w:rsid w:val="6F712800"/>
    <w:rsid w:val="6F795A80"/>
    <w:rsid w:val="6F7A62B1"/>
    <w:rsid w:val="6F7E5E06"/>
    <w:rsid w:val="6F841490"/>
    <w:rsid w:val="6F874D9A"/>
    <w:rsid w:val="6F8E5486"/>
    <w:rsid w:val="6F8E6D50"/>
    <w:rsid w:val="6F9D6324"/>
    <w:rsid w:val="6FAA5EC5"/>
    <w:rsid w:val="6FBF1755"/>
    <w:rsid w:val="6FBF79A3"/>
    <w:rsid w:val="6FC056FC"/>
    <w:rsid w:val="6FD0372C"/>
    <w:rsid w:val="6FD46CF9"/>
    <w:rsid w:val="6FD66216"/>
    <w:rsid w:val="6FDA4620"/>
    <w:rsid w:val="6FE664BA"/>
    <w:rsid w:val="6FEC4D1D"/>
    <w:rsid w:val="6FFB23FC"/>
    <w:rsid w:val="6FFB3D4D"/>
    <w:rsid w:val="70045B49"/>
    <w:rsid w:val="70065D43"/>
    <w:rsid w:val="70071F54"/>
    <w:rsid w:val="70155BFF"/>
    <w:rsid w:val="701A5252"/>
    <w:rsid w:val="7025246C"/>
    <w:rsid w:val="70281CDA"/>
    <w:rsid w:val="702C4DB0"/>
    <w:rsid w:val="702D2277"/>
    <w:rsid w:val="70390326"/>
    <w:rsid w:val="703A79CC"/>
    <w:rsid w:val="703F3FC4"/>
    <w:rsid w:val="70554441"/>
    <w:rsid w:val="70581BF6"/>
    <w:rsid w:val="705878A5"/>
    <w:rsid w:val="70641311"/>
    <w:rsid w:val="707115E3"/>
    <w:rsid w:val="707815CA"/>
    <w:rsid w:val="70790109"/>
    <w:rsid w:val="70902959"/>
    <w:rsid w:val="709365E8"/>
    <w:rsid w:val="70B06C2C"/>
    <w:rsid w:val="70B328CC"/>
    <w:rsid w:val="70BA6434"/>
    <w:rsid w:val="70C04EFA"/>
    <w:rsid w:val="70D0411F"/>
    <w:rsid w:val="70D100C8"/>
    <w:rsid w:val="70D11F02"/>
    <w:rsid w:val="70E31798"/>
    <w:rsid w:val="71024C63"/>
    <w:rsid w:val="7110021D"/>
    <w:rsid w:val="71272D64"/>
    <w:rsid w:val="71327A38"/>
    <w:rsid w:val="71465561"/>
    <w:rsid w:val="714D58C5"/>
    <w:rsid w:val="714E53B8"/>
    <w:rsid w:val="717A446D"/>
    <w:rsid w:val="718F7C23"/>
    <w:rsid w:val="719B521D"/>
    <w:rsid w:val="71A70E6D"/>
    <w:rsid w:val="71B34532"/>
    <w:rsid w:val="71B90886"/>
    <w:rsid w:val="71C86E21"/>
    <w:rsid w:val="71CA5501"/>
    <w:rsid w:val="71CE59E7"/>
    <w:rsid w:val="71D70E6B"/>
    <w:rsid w:val="71DD3413"/>
    <w:rsid w:val="71E068BE"/>
    <w:rsid w:val="71E6292F"/>
    <w:rsid w:val="71E8790C"/>
    <w:rsid w:val="71F66A8B"/>
    <w:rsid w:val="71FB09CF"/>
    <w:rsid w:val="71FF7A69"/>
    <w:rsid w:val="720E56EF"/>
    <w:rsid w:val="721B395D"/>
    <w:rsid w:val="722A42BA"/>
    <w:rsid w:val="72300312"/>
    <w:rsid w:val="72407397"/>
    <w:rsid w:val="7247574A"/>
    <w:rsid w:val="724C22D0"/>
    <w:rsid w:val="724C62EE"/>
    <w:rsid w:val="725060A3"/>
    <w:rsid w:val="72544CC4"/>
    <w:rsid w:val="726026FD"/>
    <w:rsid w:val="72603562"/>
    <w:rsid w:val="726508B3"/>
    <w:rsid w:val="726F0849"/>
    <w:rsid w:val="729170B9"/>
    <w:rsid w:val="72985AC0"/>
    <w:rsid w:val="72B36823"/>
    <w:rsid w:val="72B4047A"/>
    <w:rsid w:val="72CC762E"/>
    <w:rsid w:val="72E04B6D"/>
    <w:rsid w:val="72E256EB"/>
    <w:rsid w:val="72E83591"/>
    <w:rsid w:val="72F04207"/>
    <w:rsid w:val="731643D2"/>
    <w:rsid w:val="73196B42"/>
    <w:rsid w:val="73201CE1"/>
    <w:rsid w:val="732D2E0A"/>
    <w:rsid w:val="732E6CE0"/>
    <w:rsid w:val="7338490D"/>
    <w:rsid w:val="733B00FA"/>
    <w:rsid w:val="735D377E"/>
    <w:rsid w:val="73655E68"/>
    <w:rsid w:val="73806593"/>
    <w:rsid w:val="73872338"/>
    <w:rsid w:val="73994EC5"/>
    <w:rsid w:val="73A11102"/>
    <w:rsid w:val="73A86B71"/>
    <w:rsid w:val="73B35B6C"/>
    <w:rsid w:val="73C7415C"/>
    <w:rsid w:val="73DC213A"/>
    <w:rsid w:val="73FB689D"/>
    <w:rsid w:val="74043A9C"/>
    <w:rsid w:val="74065EC5"/>
    <w:rsid w:val="74244A97"/>
    <w:rsid w:val="743256FD"/>
    <w:rsid w:val="74380DB0"/>
    <w:rsid w:val="743B33FB"/>
    <w:rsid w:val="74425E31"/>
    <w:rsid w:val="74600D5C"/>
    <w:rsid w:val="746A1E3C"/>
    <w:rsid w:val="74735936"/>
    <w:rsid w:val="748B033D"/>
    <w:rsid w:val="749E3976"/>
    <w:rsid w:val="74A52989"/>
    <w:rsid w:val="74A56529"/>
    <w:rsid w:val="74B136FE"/>
    <w:rsid w:val="74B4020F"/>
    <w:rsid w:val="74BD03B6"/>
    <w:rsid w:val="74D663E4"/>
    <w:rsid w:val="74DB56B1"/>
    <w:rsid w:val="74EC3113"/>
    <w:rsid w:val="74F336AE"/>
    <w:rsid w:val="74F54431"/>
    <w:rsid w:val="75085382"/>
    <w:rsid w:val="75096B83"/>
    <w:rsid w:val="7514757F"/>
    <w:rsid w:val="75185A60"/>
    <w:rsid w:val="75383CE8"/>
    <w:rsid w:val="75411AB8"/>
    <w:rsid w:val="7557708C"/>
    <w:rsid w:val="75743840"/>
    <w:rsid w:val="75826E82"/>
    <w:rsid w:val="75864C51"/>
    <w:rsid w:val="7587070C"/>
    <w:rsid w:val="758A724F"/>
    <w:rsid w:val="758E5018"/>
    <w:rsid w:val="7595733B"/>
    <w:rsid w:val="759C1DEA"/>
    <w:rsid w:val="75AF3950"/>
    <w:rsid w:val="75B10415"/>
    <w:rsid w:val="75BA7C90"/>
    <w:rsid w:val="75C27356"/>
    <w:rsid w:val="75C4179D"/>
    <w:rsid w:val="75EF4F42"/>
    <w:rsid w:val="75F5268D"/>
    <w:rsid w:val="76144E3D"/>
    <w:rsid w:val="763A0001"/>
    <w:rsid w:val="763F1313"/>
    <w:rsid w:val="76432944"/>
    <w:rsid w:val="76531DC0"/>
    <w:rsid w:val="766823AB"/>
    <w:rsid w:val="767B0330"/>
    <w:rsid w:val="769E5DCD"/>
    <w:rsid w:val="76A550CC"/>
    <w:rsid w:val="76B45CFE"/>
    <w:rsid w:val="76BB697E"/>
    <w:rsid w:val="76C9191D"/>
    <w:rsid w:val="76CA4E14"/>
    <w:rsid w:val="76D45C74"/>
    <w:rsid w:val="76D959CB"/>
    <w:rsid w:val="76E934EC"/>
    <w:rsid w:val="76EA0822"/>
    <w:rsid w:val="76FA1F58"/>
    <w:rsid w:val="770168C4"/>
    <w:rsid w:val="77023251"/>
    <w:rsid w:val="770F783D"/>
    <w:rsid w:val="771140A6"/>
    <w:rsid w:val="77260D7C"/>
    <w:rsid w:val="77261D20"/>
    <w:rsid w:val="772A3442"/>
    <w:rsid w:val="773B5E39"/>
    <w:rsid w:val="773E046E"/>
    <w:rsid w:val="775E019A"/>
    <w:rsid w:val="77672662"/>
    <w:rsid w:val="7784722E"/>
    <w:rsid w:val="77867EAC"/>
    <w:rsid w:val="778C7E2B"/>
    <w:rsid w:val="7792287D"/>
    <w:rsid w:val="77943F72"/>
    <w:rsid w:val="77B71EF1"/>
    <w:rsid w:val="77B86EDF"/>
    <w:rsid w:val="77C4506C"/>
    <w:rsid w:val="77C85851"/>
    <w:rsid w:val="77CD6D0E"/>
    <w:rsid w:val="77DB2874"/>
    <w:rsid w:val="77E252A5"/>
    <w:rsid w:val="77EA751B"/>
    <w:rsid w:val="78076D42"/>
    <w:rsid w:val="780C5D5D"/>
    <w:rsid w:val="780F0D30"/>
    <w:rsid w:val="78122AC0"/>
    <w:rsid w:val="78131CF2"/>
    <w:rsid w:val="78133014"/>
    <w:rsid w:val="7818622B"/>
    <w:rsid w:val="782035B3"/>
    <w:rsid w:val="78211F55"/>
    <w:rsid w:val="7833200F"/>
    <w:rsid w:val="783D1BA4"/>
    <w:rsid w:val="78494AD7"/>
    <w:rsid w:val="785245C4"/>
    <w:rsid w:val="7858453C"/>
    <w:rsid w:val="786F18B4"/>
    <w:rsid w:val="78755D0B"/>
    <w:rsid w:val="787A7FBD"/>
    <w:rsid w:val="787C0FFB"/>
    <w:rsid w:val="787F78E9"/>
    <w:rsid w:val="789A7911"/>
    <w:rsid w:val="789D4BB2"/>
    <w:rsid w:val="78A27DF6"/>
    <w:rsid w:val="78A9623C"/>
    <w:rsid w:val="78B43685"/>
    <w:rsid w:val="78CC1EFA"/>
    <w:rsid w:val="78D17AC6"/>
    <w:rsid w:val="78E55F35"/>
    <w:rsid w:val="78EA7F04"/>
    <w:rsid w:val="78F15151"/>
    <w:rsid w:val="78F27BB9"/>
    <w:rsid w:val="78F73C42"/>
    <w:rsid w:val="78FD2C6D"/>
    <w:rsid w:val="79025B65"/>
    <w:rsid w:val="790C4ED4"/>
    <w:rsid w:val="79206F6D"/>
    <w:rsid w:val="79214581"/>
    <w:rsid w:val="793A6280"/>
    <w:rsid w:val="793D3019"/>
    <w:rsid w:val="79483050"/>
    <w:rsid w:val="794979EA"/>
    <w:rsid w:val="794E22C0"/>
    <w:rsid w:val="795B487A"/>
    <w:rsid w:val="79643897"/>
    <w:rsid w:val="797F1734"/>
    <w:rsid w:val="79865022"/>
    <w:rsid w:val="79C36276"/>
    <w:rsid w:val="79D22DF5"/>
    <w:rsid w:val="79D252FC"/>
    <w:rsid w:val="79E341AE"/>
    <w:rsid w:val="79EB37FE"/>
    <w:rsid w:val="79EE773C"/>
    <w:rsid w:val="7A0F33CE"/>
    <w:rsid w:val="7A18128E"/>
    <w:rsid w:val="7A21001D"/>
    <w:rsid w:val="7A231B3E"/>
    <w:rsid w:val="7A29070F"/>
    <w:rsid w:val="7A401C74"/>
    <w:rsid w:val="7A590988"/>
    <w:rsid w:val="7A652E89"/>
    <w:rsid w:val="7A774F67"/>
    <w:rsid w:val="7A793379"/>
    <w:rsid w:val="7A7A1A34"/>
    <w:rsid w:val="7A8B42CE"/>
    <w:rsid w:val="7AB43199"/>
    <w:rsid w:val="7AC83418"/>
    <w:rsid w:val="7ACE0F4C"/>
    <w:rsid w:val="7ADC6930"/>
    <w:rsid w:val="7ADE01B6"/>
    <w:rsid w:val="7AE14E9D"/>
    <w:rsid w:val="7B176E1F"/>
    <w:rsid w:val="7B342BF2"/>
    <w:rsid w:val="7B3D07A1"/>
    <w:rsid w:val="7B407452"/>
    <w:rsid w:val="7B41120A"/>
    <w:rsid w:val="7B4E6013"/>
    <w:rsid w:val="7B5427AE"/>
    <w:rsid w:val="7B5C38F7"/>
    <w:rsid w:val="7B6073F1"/>
    <w:rsid w:val="7B653785"/>
    <w:rsid w:val="7B687797"/>
    <w:rsid w:val="7B711D34"/>
    <w:rsid w:val="7B7535A0"/>
    <w:rsid w:val="7B781275"/>
    <w:rsid w:val="7B781CCE"/>
    <w:rsid w:val="7B8E4163"/>
    <w:rsid w:val="7B990205"/>
    <w:rsid w:val="7BB6285B"/>
    <w:rsid w:val="7BCE2CB0"/>
    <w:rsid w:val="7BD04A71"/>
    <w:rsid w:val="7BDC0C14"/>
    <w:rsid w:val="7BDD39EC"/>
    <w:rsid w:val="7BEB2A59"/>
    <w:rsid w:val="7BED5710"/>
    <w:rsid w:val="7C245FB3"/>
    <w:rsid w:val="7C262267"/>
    <w:rsid w:val="7C336FB7"/>
    <w:rsid w:val="7C347E5B"/>
    <w:rsid w:val="7C4C3A2A"/>
    <w:rsid w:val="7C540CFE"/>
    <w:rsid w:val="7C70169C"/>
    <w:rsid w:val="7C890850"/>
    <w:rsid w:val="7C9B0A75"/>
    <w:rsid w:val="7CA70EAA"/>
    <w:rsid w:val="7CB43CE8"/>
    <w:rsid w:val="7CBB200E"/>
    <w:rsid w:val="7CC32560"/>
    <w:rsid w:val="7CCB73F0"/>
    <w:rsid w:val="7CF520A5"/>
    <w:rsid w:val="7CFC1141"/>
    <w:rsid w:val="7D066BB5"/>
    <w:rsid w:val="7D0809F6"/>
    <w:rsid w:val="7D0E05DF"/>
    <w:rsid w:val="7D123C2C"/>
    <w:rsid w:val="7D1433FD"/>
    <w:rsid w:val="7D2E248C"/>
    <w:rsid w:val="7D496A92"/>
    <w:rsid w:val="7D647102"/>
    <w:rsid w:val="7D676E47"/>
    <w:rsid w:val="7D6C73AF"/>
    <w:rsid w:val="7D7004C1"/>
    <w:rsid w:val="7DB41296"/>
    <w:rsid w:val="7DB67EA0"/>
    <w:rsid w:val="7DBD154F"/>
    <w:rsid w:val="7DC1351F"/>
    <w:rsid w:val="7DD20532"/>
    <w:rsid w:val="7DD66C15"/>
    <w:rsid w:val="7DDC134B"/>
    <w:rsid w:val="7DDC7162"/>
    <w:rsid w:val="7DE34016"/>
    <w:rsid w:val="7DE5777F"/>
    <w:rsid w:val="7DFD5ACF"/>
    <w:rsid w:val="7E211CBF"/>
    <w:rsid w:val="7E22523F"/>
    <w:rsid w:val="7E370CB4"/>
    <w:rsid w:val="7E397EE7"/>
    <w:rsid w:val="7E3F25D0"/>
    <w:rsid w:val="7E4E29A2"/>
    <w:rsid w:val="7E523F18"/>
    <w:rsid w:val="7E5D3707"/>
    <w:rsid w:val="7E617E0B"/>
    <w:rsid w:val="7E6701E5"/>
    <w:rsid w:val="7E720327"/>
    <w:rsid w:val="7E7A2465"/>
    <w:rsid w:val="7E946EE4"/>
    <w:rsid w:val="7EA00B3B"/>
    <w:rsid w:val="7EA32619"/>
    <w:rsid w:val="7EA637B8"/>
    <w:rsid w:val="7EA6705B"/>
    <w:rsid w:val="7EAF627A"/>
    <w:rsid w:val="7EB9291F"/>
    <w:rsid w:val="7ED14DAF"/>
    <w:rsid w:val="7EE50A3C"/>
    <w:rsid w:val="7EE73977"/>
    <w:rsid w:val="7EF51E65"/>
    <w:rsid w:val="7EF5722B"/>
    <w:rsid w:val="7F115E99"/>
    <w:rsid w:val="7F21045A"/>
    <w:rsid w:val="7F2231BA"/>
    <w:rsid w:val="7F255AFC"/>
    <w:rsid w:val="7F324EE7"/>
    <w:rsid w:val="7F494EF7"/>
    <w:rsid w:val="7F5E15AD"/>
    <w:rsid w:val="7F714308"/>
    <w:rsid w:val="7F714A1D"/>
    <w:rsid w:val="7F72412A"/>
    <w:rsid w:val="7F767489"/>
    <w:rsid w:val="7F7678E7"/>
    <w:rsid w:val="7F7E04B7"/>
    <w:rsid w:val="7F82256B"/>
    <w:rsid w:val="7F8A7BB1"/>
    <w:rsid w:val="7F9146D3"/>
    <w:rsid w:val="7F9A0952"/>
    <w:rsid w:val="7F9C6481"/>
    <w:rsid w:val="7F9E404F"/>
    <w:rsid w:val="7FCC7507"/>
    <w:rsid w:val="7FD2636B"/>
    <w:rsid w:val="7FD87473"/>
    <w:rsid w:val="7FE767E0"/>
    <w:rsid w:val="7FEA1617"/>
    <w:rsid w:val="7FF12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iPriority="99"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unhideWhenUsed/>
    <w:qFormat/>
    <w:uiPriority w:val="9"/>
    <w:pPr>
      <w:keepNext/>
      <w:keepLines/>
      <w:outlineLvl w:val="1"/>
    </w:pPr>
    <w:rPr>
      <w:rFonts w:ascii="仿宋" w:hAnsi="仿宋" w:cs="仿宋"/>
      <w:b/>
      <w:bCs/>
      <w:sz w:val="32"/>
      <w:szCs w:val="32"/>
    </w:rPr>
  </w:style>
  <w:style w:type="paragraph" w:styleId="4">
    <w:name w:val="heading 3"/>
    <w:basedOn w:val="1"/>
    <w:next w:val="1"/>
    <w:autoRedefine/>
    <w:unhideWhenUsed/>
    <w:qFormat/>
    <w:uiPriority w:val="9"/>
    <w:pPr>
      <w:jc w:val="left"/>
      <w:outlineLvl w:val="2"/>
    </w:pPr>
    <w:rPr>
      <w:rFonts w:hint="eastAsia" w:ascii="宋体" w:hAnsi="宋体" w:cs="Times New Roman"/>
      <w:b/>
      <w:bCs/>
      <w:kern w:val="0"/>
      <w:szCs w:val="27"/>
    </w:rPr>
  </w:style>
  <w:style w:type="paragraph" w:styleId="5">
    <w:name w:val="heading 4"/>
    <w:basedOn w:val="1"/>
    <w:next w:val="1"/>
    <w:autoRedefine/>
    <w:qFormat/>
    <w:uiPriority w:val="0"/>
    <w:pPr>
      <w:tabs>
        <w:tab w:val="left" w:pos="360"/>
        <w:tab w:val="left" w:pos="2207"/>
      </w:tabs>
      <w:spacing w:before="156" w:beforeLines="50" w:after="156" w:afterLines="50"/>
      <w:ind w:firstLineChars="0"/>
      <w:outlineLvl w:val="3"/>
    </w:pPr>
    <w:rPr>
      <w:rFonts w:ascii="宋体" w:hAnsi="宋体" w:eastAsia="黑体"/>
      <w:color w:val="000000"/>
      <w:sz w:val="24"/>
    </w:rPr>
  </w:style>
  <w:style w:type="character" w:default="1" w:styleId="32">
    <w:name w:val="Default Paragraph Font"/>
    <w:autoRedefine/>
    <w:semiHidden/>
    <w:qFormat/>
    <w:uiPriority w:val="0"/>
  </w:style>
  <w:style w:type="table" w:default="1" w:styleId="30">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1"/>
    </w:rPr>
    <w:tblPr>
      <w:tblCellMar>
        <w:top w:w="0" w:type="dxa"/>
        <w:left w:w="108" w:type="dxa"/>
        <w:bottom w:w="0" w:type="dxa"/>
        <w:right w:w="108" w:type="dxa"/>
      </w:tblCellMar>
    </w:tblPr>
  </w:style>
  <w:style w:type="paragraph" w:styleId="6">
    <w:name w:val="Normal Indent"/>
    <w:basedOn w:val="1"/>
    <w:next w:val="7"/>
    <w:autoRedefine/>
    <w:qFormat/>
    <w:uiPriority w:val="0"/>
    <w:pPr>
      <w:ind w:firstLine="420"/>
    </w:pPr>
  </w:style>
  <w:style w:type="paragraph" w:customStyle="1" w:styleId="7">
    <w:name w:val="样式 正文文本 + 首行缩进:  2 字符"/>
    <w:basedOn w:val="8"/>
    <w:autoRedefine/>
    <w:qFormat/>
    <w:uiPriority w:val="0"/>
    <w:pPr>
      <w:spacing w:after="0" w:line="540" w:lineRule="exact"/>
      <w:jc w:val="center"/>
    </w:pPr>
    <w:rPr>
      <w:rFonts w:ascii="黑体" w:hAnsi="黑体" w:eastAsia="黑体"/>
      <w:b/>
      <w:sz w:val="24"/>
    </w:rPr>
  </w:style>
  <w:style w:type="paragraph" w:styleId="8">
    <w:name w:val="Body Text"/>
    <w:basedOn w:val="1"/>
    <w:autoRedefine/>
    <w:semiHidden/>
    <w:unhideWhenUsed/>
    <w:qFormat/>
    <w:uiPriority w:val="99"/>
    <w:pPr>
      <w:spacing w:after="120"/>
    </w:pPr>
  </w:style>
  <w:style w:type="paragraph" w:styleId="9">
    <w:name w:val="caption"/>
    <w:basedOn w:val="1"/>
    <w:next w:val="1"/>
    <w:autoRedefine/>
    <w:qFormat/>
    <w:uiPriority w:val="0"/>
    <w:rPr>
      <w:rFonts w:ascii="Calibri Light" w:hAnsi="Calibri Light" w:eastAsia="黑体" w:cs="Times New Roman"/>
      <w:sz w:val="20"/>
      <w:szCs w:val="20"/>
    </w:rPr>
  </w:style>
  <w:style w:type="paragraph" w:styleId="10">
    <w:name w:val="index 5"/>
    <w:basedOn w:val="1"/>
    <w:next w:val="1"/>
    <w:autoRedefine/>
    <w:qFormat/>
    <w:uiPriority w:val="0"/>
    <w:pPr>
      <w:ind w:left="800" w:leftChars="800"/>
    </w:pPr>
  </w:style>
  <w:style w:type="paragraph" w:styleId="11">
    <w:name w:val="annotation text"/>
    <w:basedOn w:val="1"/>
    <w:semiHidden/>
    <w:qFormat/>
    <w:uiPriority w:val="0"/>
    <w:pPr>
      <w:jc w:val="left"/>
    </w:pPr>
    <w:rPr>
      <w:kern w:val="0"/>
      <w:sz w:val="24"/>
      <w:szCs w:val="20"/>
    </w:rPr>
  </w:style>
  <w:style w:type="paragraph" w:styleId="12">
    <w:name w:val="Body Text Indent"/>
    <w:basedOn w:val="1"/>
    <w:next w:val="13"/>
    <w:autoRedefine/>
    <w:semiHidden/>
    <w:unhideWhenUsed/>
    <w:qFormat/>
    <w:uiPriority w:val="99"/>
    <w:pPr>
      <w:spacing w:after="120"/>
      <w:ind w:left="420" w:leftChars="200"/>
    </w:pPr>
  </w:style>
  <w:style w:type="paragraph" w:styleId="13">
    <w:name w:val="header"/>
    <w:basedOn w:val="1"/>
    <w:next w:val="14"/>
    <w:autoRedefine/>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4">
    <w:name w:val="样式5"/>
    <w:basedOn w:val="15"/>
    <w:next w:val="16"/>
    <w:autoRedefine/>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15">
    <w:name w:val="正文1"/>
    <w:basedOn w:val="8"/>
    <w:next w:val="1"/>
    <w:autoRedefine/>
    <w:qFormat/>
    <w:uiPriority w:val="0"/>
    <w:pPr>
      <w:adjustRightInd w:val="0"/>
      <w:snapToGrid w:val="0"/>
      <w:spacing w:line="480" w:lineRule="exact"/>
      <w:ind w:firstLine="200" w:firstLineChars="200"/>
    </w:pPr>
    <w:rPr>
      <w:sz w:val="24"/>
    </w:rPr>
  </w:style>
  <w:style w:type="paragraph" w:styleId="16">
    <w:name w:val="endnote text"/>
    <w:basedOn w:val="1"/>
    <w:autoRedefine/>
    <w:unhideWhenUsed/>
    <w:qFormat/>
    <w:uiPriority w:val="0"/>
    <w:pPr>
      <w:snapToGrid w:val="0"/>
      <w:jc w:val="left"/>
    </w:pPr>
    <w:rPr>
      <w:rFonts w:ascii="Calibri" w:hAnsi="Calibri"/>
      <w:sz w:val="24"/>
      <w:szCs w:val="22"/>
    </w:rPr>
  </w:style>
  <w:style w:type="paragraph" w:styleId="17">
    <w:name w:val="Block Text"/>
    <w:basedOn w:val="1"/>
    <w:next w:val="1"/>
    <w:autoRedefine/>
    <w:qFormat/>
    <w:uiPriority w:val="0"/>
    <w:pPr>
      <w:ind w:left="113" w:right="113" w:firstLine="555"/>
      <w:jc w:val="left"/>
    </w:pPr>
    <w:rPr>
      <w:sz w:val="28"/>
    </w:rPr>
  </w:style>
  <w:style w:type="paragraph" w:styleId="18">
    <w:name w:val="Plain Text"/>
    <w:basedOn w:val="1"/>
    <w:next w:val="19"/>
    <w:unhideWhenUsed/>
    <w:qFormat/>
    <w:uiPriority w:val="0"/>
    <w:rPr>
      <w:rFonts w:ascii="font404" w:hAnsi="font404" w:cs="宋体"/>
      <w:szCs w:val="21"/>
    </w:rPr>
  </w:style>
  <w:style w:type="paragraph" w:styleId="19">
    <w:name w:val="List Continue 5"/>
    <w:basedOn w:val="1"/>
    <w:unhideWhenUsed/>
    <w:qFormat/>
    <w:uiPriority w:val="99"/>
    <w:pPr>
      <w:spacing w:after="120" w:afterLines="0"/>
      <w:ind w:left="2100" w:leftChars="1000"/>
    </w:pPr>
  </w:style>
  <w:style w:type="paragraph" w:styleId="20">
    <w:name w:val="toc 8"/>
    <w:basedOn w:val="1"/>
    <w:next w:val="1"/>
    <w:autoRedefine/>
    <w:qFormat/>
    <w:uiPriority w:val="39"/>
    <w:pPr>
      <w:ind w:left="1470"/>
      <w:jc w:val="left"/>
    </w:pPr>
    <w:rPr>
      <w:rFonts w:ascii="Times New Roman" w:hAnsi="Times New Roman"/>
      <w:kern w:val="0"/>
      <w:sz w:val="18"/>
      <w:szCs w:val="18"/>
    </w:rPr>
  </w:style>
  <w:style w:type="paragraph" w:styleId="21">
    <w:name w:val="Body Text Indent 2"/>
    <w:basedOn w:val="1"/>
    <w:autoRedefine/>
    <w:qFormat/>
    <w:uiPriority w:val="0"/>
    <w:pPr>
      <w:spacing w:line="360" w:lineRule="exact"/>
      <w:ind w:firstLine="522" w:firstLineChars="200"/>
      <w:jc w:val="left"/>
    </w:pPr>
    <w:rPr>
      <w:rFonts w:ascii="宋体" w:hAnsi="宋体" w:eastAsia="宋体" w:cs="Times New Roman"/>
      <w:sz w:val="28"/>
    </w:rPr>
  </w:style>
  <w:style w:type="paragraph" w:styleId="22">
    <w:name w:val="footer"/>
    <w:basedOn w:val="1"/>
    <w:next w:val="1"/>
    <w:autoRedefine/>
    <w:qFormat/>
    <w:uiPriority w:val="99"/>
    <w:pPr>
      <w:tabs>
        <w:tab w:val="center" w:pos="4153"/>
        <w:tab w:val="right" w:pos="8306"/>
      </w:tabs>
      <w:snapToGrid w:val="0"/>
      <w:jc w:val="left"/>
    </w:pPr>
    <w:rPr>
      <w:kern w:val="0"/>
      <w:sz w:val="18"/>
      <w:szCs w:val="20"/>
    </w:rPr>
  </w:style>
  <w:style w:type="paragraph" w:styleId="23">
    <w:name w:val="toc 1"/>
    <w:basedOn w:val="1"/>
    <w:next w:val="1"/>
    <w:autoRedefine/>
    <w:qFormat/>
    <w:uiPriority w:val="0"/>
    <w:pPr>
      <w:spacing w:line="240" w:lineRule="exact"/>
      <w:jc w:val="center"/>
    </w:pPr>
    <w:rPr>
      <w:kern w:val="0"/>
      <w:sz w:val="18"/>
      <w:szCs w:val="18"/>
    </w:rPr>
  </w:style>
  <w:style w:type="paragraph" w:styleId="24">
    <w:name w:val="toc 2"/>
    <w:basedOn w:val="1"/>
    <w:next w:val="1"/>
    <w:autoRedefine/>
    <w:unhideWhenUsed/>
    <w:qFormat/>
    <w:uiPriority w:val="39"/>
    <w:pPr>
      <w:ind w:left="420" w:leftChars="200"/>
    </w:pPr>
  </w:style>
  <w:style w:type="paragraph" w:styleId="25">
    <w:name w:val="Body Text 2"/>
    <w:basedOn w:val="1"/>
    <w:qFormat/>
    <w:uiPriority w:val="0"/>
    <w:pPr>
      <w:spacing w:after="120" w:afterLines="0" w:line="480" w:lineRule="auto"/>
    </w:pPr>
  </w:style>
  <w:style w:type="paragraph" w:styleId="26">
    <w:name w:val="Normal (Web)"/>
    <w:basedOn w:val="1"/>
    <w:next w:val="20"/>
    <w:autoRedefine/>
    <w:qFormat/>
    <w:uiPriority w:val="0"/>
    <w:pPr>
      <w:widowControl/>
      <w:spacing w:before="100" w:beforeAutospacing="1" w:after="100" w:afterAutospacing="1"/>
      <w:jc w:val="left"/>
    </w:pPr>
    <w:rPr>
      <w:rFonts w:ascii="宋体" w:hAnsi="宋体"/>
      <w:kern w:val="0"/>
      <w:sz w:val="24"/>
      <w:szCs w:val="20"/>
    </w:rPr>
  </w:style>
  <w:style w:type="paragraph" w:styleId="27">
    <w:name w:val="Title"/>
    <w:basedOn w:val="1"/>
    <w:next w:val="1"/>
    <w:qFormat/>
    <w:uiPriority w:val="0"/>
    <w:pPr>
      <w:spacing w:line="360" w:lineRule="auto"/>
      <w:jc w:val="center"/>
      <w:outlineLvl w:val="0"/>
    </w:pPr>
    <w:rPr>
      <w:rFonts w:ascii="宋体" w:hAnsi="宋体" w:eastAsia="华文中宋" w:cs="Times New Roman"/>
      <w:b/>
      <w:bCs/>
      <w:sz w:val="36"/>
      <w:szCs w:val="32"/>
    </w:rPr>
  </w:style>
  <w:style w:type="paragraph" w:styleId="28">
    <w:name w:val="Body Text First Indent"/>
    <w:basedOn w:val="8"/>
    <w:next w:val="29"/>
    <w:qFormat/>
    <w:uiPriority w:val="0"/>
    <w:pPr>
      <w:spacing w:after="120"/>
      <w:ind w:firstLine="420" w:firstLineChars="100"/>
    </w:pPr>
    <w:rPr>
      <w:sz w:val="21"/>
      <w:szCs w:val="24"/>
    </w:rPr>
  </w:style>
  <w:style w:type="paragraph" w:styleId="29">
    <w:name w:val="Body Text First Indent 2"/>
    <w:basedOn w:val="12"/>
    <w:next w:val="1"/>
    <w:autoRedefine/>
    <w:qFormat/>
    <w:uiPriority w:val="0"/>
    <w:pPr>
      <w:ind w:firstLine="420" w:firstLineChars="200"/>
    </w:pPr>
    <w:rPr>
      <w:sz w:val="21"/>
    </w:rPr>
  </w:style>
  <w:style w:type="table" w:styleId="31">
    <w:name w:val="Table Grid"/>
    <w:basedOn w:val="3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0"/>
    <w:rPr>
      <w:b/>
    </w:rPr>
  </w:style>
  <w:style w:type="character" w:styleId="34">
    <w:name w:val="page number"/>
    <w:basedOn w:val="32"/>
    <w:autoRedefine/>
    <w:qFormat/>
    <w:uiPriority w:val="0"/>
  </w:style>
  <w:style w:type="character" w:styleId="35">
    <w:name w:val="FollowedHyperlink"/>
    <w:basedOn w:val="32"/>
    <w:autoRedefine/>
    <w:qFormat/>
    <w:uiPriority w:val="0"/>
    <w:rPr>
      <w:color w:val="800080"/>
      <w:u w:val="none"/>
    </w:rPr>
  </w:style>
  <w:style w:type="character" w:styleId="36">
    <w:name w:val="Emphasis"/>
    <w:basedOn w:val="32"/>
    <w:autoRedefine/>
    <w:qFormat/>
    <w:uiPriority w:val="0"/>
  </w:style>
  <w:style w:type="character" w:styleId="37">
    <w:name w:val="Hyperlink"/>
    <w:basedOn w:val="32"/>
    <w:autoRedefine/>
    <w:qFormat/>
    <w:uiPriority w:val="0"/>
    <w:rPr>
      <w:color w:val="0000FF"/>
      <w:u w:val="none"/>
    </w:rPr>
  </w:style>
  <w:style w:type="character" w:styleId="38">
    <w:name w:val="annotation reference"/>
    <w:basedOn w:val="32"/>
    <w:autoRedefine/>
    <w:semiHidden/>
    <w:qFormat/>
    <w:uiPriority w:val="0"/>
    <w:rPr>
      <w:sz w:val="21"/>
    </w:rPr>
  </w:style>
  <w:style w:type="paragraph" w:customStyle="1" w:styleId="39">
    <w:name w:val="正文部分 Char Char Char"/>
    <w:basedOn w:val="8"/>
    <w:next w:val="40"/>
    <w:qFormat/>
    <w:uiPriority w:val="0"/>
    <w:pPr>
      <w:spacing w:line="460" w:lineRule="exact"/>
      <w:textAlignment w:val="baseline"/>
    </w:pPr>
    <w:rPr>
      <w:rFonts w:hAnsi="Calibri"/>
      <w:sz w:val="24"/>
    </w:rPr>
  </w:style>
  <w:style w:type="paragraph" w:customStyle="1" w:styleId="40">
    <w:name w:val="章标题"/>
    <w:basedOn w:val="27"/>
    <w:qFormat/>
    <w:uiPriority w:val="0"/>
  </w:style>
  <w:style w:type="paragraph" w:customStyle="1" w:styleId="41">
    <w:name w:val="[1]正文"/>
    <w:basedOn w:val="1"/>
    <w:qFormat/>
    <w:uiPriority w:val="0"/>
    <w:pPr>
      <w:widowControl/>
      <w:snapToGrid w:val="0"/>
      <w:ind w:firstLine="200"/>
      <w:jc w:val="left"/>
    </w:pPr>
    <w:rPr>
      <w:szCs w:val="28"/>
    </w:rPr>
  </w:style>
  <w:style w:type="paragraph" w:customStyle="1" w:styleId="42">
    <w:name w:val="Body Text 21"/>
    <w:basedOn w:val="1"/>
    <w:qFormat/>
    <w:uiPriority w:val="0"/>
    <w:pPr>
      <w:spacing w:line="360" w:lineRule="auto"/>
      <w:ind w:firstLine="480" w:firstLineChars="200"/>
    </w:pPr>
    <w:rPr>
      <w:rFonts w:ascii="仿宋_GB2312" w:eastAsia="仿宋_GB2312"/>
      <w:sz w:val="24"/>
      <w:szCs w:val="20"/>
    </w:rPr>
  </w:style>
  <w:style w:type="paragraph" w:customStyle="1" w:styleId="43">
    <w:name w:val="Default"/>
    <w:basedOn w:val="4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paragraph" w:customStyle="1" w:styleId="45">
    <w:name w:val="样式 样式 样式 四号 左侧:  1.53 厘米 + 首行缩进:  2 字符 + 居中 左侧:  2 字符 首行缩进:  2..."/>
    <w:basedOn w:val="46"/>
    <w:autoRedefine/>
    <w:qFormat/>
    <w:uiPriority w:val="0"/>
    <w:pPr>
      <w:spacing w:line="360" w:lineRule="auto"/>
      <w:jc w:val="center"/>
    </w:pPr>
  </w:style>
  <w:style w:type="paragraph" w:customStyle="1" w:styleId="46">
    <w:name w:val="样式 样式 四号 左侧:  1.53 厘米 + 首行缩进:  2 字符"/>
    <w:basedOn w:val="47"/>
    <w:autoRedefine/>
    <w:qFormat/>
    <w:uiPriority w:val="99"/>
    <w:pPr>
      <w:ind w:left="200" w:leftChars="200"/>
    </w:pPr>
    <w:rPr>
      <w:szCs w:val="20"/>
    </w:rPr>
  </w:style>
  <w:style w:type="paragraph" w:customStyle="1" w:styleId="47">
    <w:name w:val="样式 四号 左侧:  1.53 厘米"/>
    <w:basedOn w:val="1"/>
    <w:autoRedefine/>
    <w:qFormat/>
    <w:uiPriority w:val="99"/>
    <w:rPr>
      <w:w w:val="90"/>
      <w:sz w:val="28"/>
      <w:szCs w:val="28"/>
    </w:rPr>
  </w:style>
  <w:style w:type="paragraph" w:customStyle="1" w:styleId="4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49">
    <w:name w:val=" Char Char Char Char Char Char Char Char Char Char Char Char Char"/>
    <w:basedOn w:val="4"/>
    <w:next w:val="50"/>
    <w:autoRedefine/>
    <w:qFormat/>
    <w:uiPriority w:val="0"/>
    <w:pPr>
      <w:tabs>
        <w:tab w:val="left" w:pos="360"/>
        <w:tab w:val="left" w:pos="900"/>
      </w:tabs>
      <w:snapToGrid w:val="0"/>
      <w:spacing w:before="120" w:beforeLines="0" w:after="120" w:afterLines="0" w:line="360" w:lineRule="auto"/>
      <w:ind w:left="542" w:leftChars="-12"/>
      <w:jc w:val="left"/>
    </w:pPr>
    <w:rPr>
      <w:rFonts w:eastAsia="黑体"/>
      <w:snapToGrid w:val="0"/>
      <w:sz w:val="24"/>
      <w:szCs w:val="24"/>
    </w:rPr>
  </w:style>
  <w:style w:type="paragraph" w:customStyle="1" w:styleId="50">
    <w:name w:val="point101"/>
    <w:basedOn w:val="1"/>
    <w:next w:val="51"/>
    <w:autoRedefine/>
    <w:qFormat/>
    <w:uiPriority w:val="0"/>
    <w:pPr>
      <w:widowControl/>
      <w:spacing w:before="100" w:beforeAutospacing="1" w:after="100" w:afterAutospacing="1" w:line="390" w:lineRule="atLeast"/>
      <w:jc w:val="left"/>
    </w:pPr>
    <w:rPr>
      <w:rFonts w:ascii="宋体" w:hAnsi="宋体" w:cs="宋体"/>
      <w:kern w:val="0"/>
      <w:sz w:val="18"/>
      <w:szCs w:val="18"/>
    </w:rPr>
  </w:style>
  <w:style w:type="paragraph" w:customStyle="1" w:styleId="51">
    <w:name w:val="样式1"/>
    <w:basedOn w:val="13"/>
    <w:next w:val="52"/>
    <w:autoRedefine/>
    <w:qFormat/>
    <w:uiPriority w:val="0"/>
    <w:pPr>
      <w:suppressAutoHyphens/>
      <w:spacing w:line="480" w:lineRule="exact"/>
      <w:ind w:firstLine="198"/>
    </w:pPr>
    <w:rPr>
      <w:spacing w:val="18"/>
      <w:kern w:val="0"/>
      <w:sz w:val="24"/>
      <w:szCs w:val="20"/>
    </w:rPr>
  </w:style>
  <w:style w:type="paragraph" w:customStyle="1" w:styleId="52">
    <w:name w:val="标题样式2"/>
    <w:basedOn w:val="3"/>
    <w:next w:val="26"/>
    <w:autoRedefine/>
    <w:qFormat/>
    <w:uiPriority w:val="0"/>
    <w:pPr>
      <w:widowControl/>
      <w:tabs>
        <w:tab w:val="left" w:pos="0"/>
      </w:tabs>
      <w:spacing w:before="120" w:after="120" w:line="360" w:lineRule="auto"/>
    </w:pPr>
    <w:rPr>
      <w:rFonts w:ascii="黑体" w:hAnsi="Times New Roman" w:cs="宋体"/>
      <w:color w:val="0000FF"/>
      <w:kern w:val="0"/>
      <w:sz w:val="24"/>
      <w:szCs w:val="24"/>
    </w:rPr>
  </w:style>
  <w:style w:type="paragraph" w:customStyle="1" w:styleId="53">
    <w:name w:val="正文2"/>
    <w:basedOn w:val="54"/>
    <w:qFormat/>
    <w:uiPriority w:val="0"/>
    <w:pPr>
      <w:widowControl w:val="0"/>
      <w:suppressAutoHyphens/>
      <w:spacing w:line="520" w:lineRule="atLeast"/>
      <w:ind w:firstLine="200"/>
      <w:jc w:val="both"/>
    </w:pPr>
    <w:rPr>
      <w:rFonts w:ascii="Times New Roman" w:hAnsi="Times New Roman" w:eastAsia="宋体" w:cs="Times New Roman"/>
      <w:spacing w:val="18"/>
      <w:sz w:val="32"/>
      <w:lang w:val="en-US" w:eastAsia="zh-CN" w:bidi="ar-SA"/>
    </w:rPr>
  </w:style>
  <w:style w:type="paragraph" w:customStyle="1" w:styleId="54">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55">
    <w:name w:val="表格内容"/>
    <w:basedOn w:val="56"/>
    <w:next w:val="1"/>
    <w:autoRedefine/>
    <w:qFormat/>
    <w:uiPriority w:val="0"/>
    <w:pPr>
      <w:overflowPunct w:val="0"/>
      <w:adjustRightInd w:val="0"/>
      <w:snapToGrid w:val="0"/>
      <w:spacing w:before="40" w:after="60" w:line="200" w:lineRule="atLeast"/>
      <w:textAlignment w:val="baseline"/>
    </w:pPr>
    <w:rPr>
      <w:rFonts w:ascii="Arial" w:hAnsi="Arial" w:eastAsia="仿宋_GB2312" w:cs="Times New Roman"/>
      <w:kern w:val="0"/>
      <w:sz w:val="24"/>
    </w:rPr>
  </w:style>
  <w:style w:type="paragraph" w:customStyle="1" w:styleId="56">
    <w:name w:val="表格"/>
    <w:basedOn w:val="6"/>
    <w:autoRedefine/>
    <w:qFormat/>
    <w:uiPriority w:val="0"/>
    <w:pPr>
      <w:adjustRightInd w:val="0"/>
      <w:snapToGrid w:val="0"/>
      <w:spacing w:beforeLines="10" w:afterLines="10" w:line="259" w:lineRule="auto"/>
      <w:jc w:val="center"/>
    </w:pPr>
    <w:rPr>
      <w:rFonts w:ascii="宋体"/>
      <w:kern w:val="0"/>
      <w:szCs w:val="20"/>
    </w:rPr>
  </w:style>
  <w:style w:type="character" w:customStyle="1" w:styleId="57">
    <w:name w:val="font11"/>
    <w:basedOn w:val="32"/>
    <w:autoRedefine/>
    <w:qFormat/>
    <w:uiPriority w:val="0"/>
    <w:rPr>
      <w:rFonts w:hint="default" w:ascii="Calibri" w:hAnsi="Calibri" w:cs="Calibri"/>
      <w:color w:val="000000"/>
      <w:sz w:val="21"/>
      <w:szCs w:val="21"/>
      <w:u w:val="none"/>
    </w:rPr>
  </w:style>
  <w:style w:type="character" w:customStyle="1" w:styleId="58">
    <w:name w:val="font31"/>
    <w:basedOn w:val="32"/>
    <w:autoRedefine/>
    <w:qFormat/>
    <w:uiPriority w:val="0"/>
    <w:rPr>
      <w:rFonts w:hint="eastAsia" w:ascii="仿宋" w:hAnsi="仿宋" w:eastAsia="仿宋" w:cs="仿宋"/>
      <w:color w:val="000000"/>
      <w:sz w:val="21"/>
      <w:szCs w:val="21"/>
      <w:u w:val="none"/>
    </w:rPr>
  </w:style>
  <w:style w:type="character" w:customStyle="1" w:styleId="59">
    <w:name w:val="disabled"/>
    <w:basedOn w:val="32"/>
    <w:autoRedefine/>
    <w:qFormat/>
    <w:uiPriority w:val="0"/>
    <w:rPr>
      <w:vanish/>
    </w:rPr>
  </w:style>
  <w:style w:type="character" w:customStyle="1" w:styleId="60">
    <w:name w:val="znspantitle"/>
    <w:basedOn w:val="32"/>
    <w:autoRedefine/>
    <w:qFormat/>
    <w:uiPriority w:val="0"/>
    <w:rPr>
      <w:b/>
      <w:bCs/>
      <w:color w:val="333333"/>
    </w:rPr>
  </w:style>
  <w:style w:type="paragraph" w:customStyle="1" w:styleId="61">
    <w:name w:val="Table caption|1"/>
    <w:basedOn w:val="1"/>
    <w:autoRedefine/>
    <w:qFormat/>
    <w:uiPriority w:val="0"/>
    <w:pPr>
      <w:widowControl w:val="0"/>
      <w:shd w:val="clear" w:color="auto" w:fill="auto"/>
      <w:jc w:val="center"/>
    </w:pPr>
    <w:rPr>
      <w:rFonts w:ascii="宋体" w:hAnsi="宋体" w:eastAsia="宋体" w:cs="宋体"/>
      <w:sz w:val="20"/>
      <w:szCs w:val="20"/>
      <w:u w:val="none"/>
      <w:shd w:val="clear" w:color="auto" w:fill="auto"/>
      <w:lang w:val="zh-TW" w:eastAsia="zh-TW" w:bidi="zh-TW"/>
    </w:rPr>
  </w:style>
  <w:style w:type="paragraph" w:customStyle="1" w:styleId="62">
    <w:name w:val="Other|1"/>
    <w:basedOn w:val="1"/>
    <w:autoRedefine/>
    <w:qFormat/>
    <w:uiPriority w:val="0"/>
    <w:pPr>
      <w:widowControl w:val="0"/>
      <w:shd w:val="clear" w:color="auto" w:fill="auto"/>
      <w:spacing w:line="427" w:lineRule="auto"/>
      <w:ind w:firstLine="400"/>
    </w:pPr>
    <w:rPr>
      <w:rFonts w:ascii="宋体" w:hAnsi="宋体" w:eastAsia="宋体" w:cs="宋体"/>
      <w:sz w:val="28"/>
      <w:szCs w:val="28"/>
      <w:u w:val="none"/>
      <w:shd w:val="clear" w:color="auto" w:fill="auto"/>
      <w:lang w:val="zh-TW" w:eastAsia="zh-TW" w:bidi="zh-TW"/>
    </w:rPr>
  </w:style>
  <w:style w:type="paragraph" w:customStyle="1" w:styleId="63">
    <w:name w:val="Body Text 2"/>
    <w:basedOn w:val="1"/>
    <w:autoRedefine/>
    <w:qFormat/>
    <w:uiPriority w:val="0"/>
    <w:rPr>
      <w:color w:val="FF0000"/>
      <w:sz w:val="24"/>
      <w:szCs w:val="24"/>
    </w:rPr>
  </w:style>
  <w:style w:type="character" w:customStyle="1" w:styleId="64">
    <w:name w:val="font51"/>
    <w:basedOn w:val="32"/>
    <w:autoRedefine/>
    <w:qFormat/>
    <w:uiPriority w:val="0"/>
    <w:rPr>
      <w:rFonts w:hint="default" w:ascii="Times New Roman" w:hAnsi="Times New Roman" w:cs="Times New Roman"/>
      <w:color w:val="000000"/>
      <w:sz w:val="21"/>
      <w:szCs w:val="21"/>
      <w:u w:val="none"/>
    </w:rPr>
  </w:style>
  <w:style w:type="character" w:customStyle="1" w:styleId="65">
    <w:name w:val="font21"/>
    <w:basedOn w:val="32"/>
    <w:autoRedefine/>
    <w:qFormat/>
    <w:uiPriority w:val="0"/>
    <w:rPr>
      <w:rFonts w:hint="default" w:ascii="Times New Roman" w:hAnsi="Times New Roman" w:cs="Times New Roman"/>
      <w:color w:val="000000"/>
      <w:sz w:val="21"/>
      <w:szCs w:val="21"/>
      <w:u w:val="none"/>
    </w:rPr>
  </w:style>
  <w:style w:type="character" w:customStyle="1" w:styleId="66">
    <w:name w:val="font41"/>
    <w:basedOn w:val="32"/>
    <w:autoRedefine/>
    <w:qFormat/>
    <w:uiPriority w:val="0"/>
    <w:rPr>
      <w:rFonts w:hint="eastAsia" w:ascii="宋体" w:hAnsi="宋体" w:eastAsia="宋体" w:cs="宋体"/>
      <w:color w:val="00B0F0"/>
      <w:sz w:val="21"/>
      <w:szCs w:val="21"/>
      <w:u w:val="none"/>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paragraph" w:customStyle="1" w:styleId="68">
    <w:name w:val="表头"/>
    <w:basedOn w:val="1"/>
    <w:autoRedefine/>
    <w:unhideWhenUsed/>
    <w:qFormat/>
    <w:uiPriority w:val="99"/>
    <w:pPr>
      <w:spacing w:beforeLines="0" w:afterLines="0" w:line="360" w:lineRule="auto"/>
      <w:ind w:firstLine="300" w:firstLineChars="300"/>
    </w:pPr>
    <w:rPr>
      <w:rFonts w:hint="eastAsia" w:ascii="黑体" w:eastAsia="黑体"/>
      <w:sz w:val="24"/>
      <w:szCs w:val="24"/>
    </w:rPr>
  </w:style>
  <w:style w:type="paragraph" w:customStyle="1" w:styleId="69">
    <w:name w:val="(.a表格内容"/>
    <w:basedOn w:val="70"/>
    <w:autoRedefine/>
    <w:unhideWhenUsed/>
    <w:qFormat/>
    <w:uiPriority w:val="99"/>
    <w:pPr>
      <w:spacing w:beforeLines="0" w:afterLines="0" w:line="240" w:lineRule="atLeast"/>
      <w:ind w:firstLine="0" w:firstLineChars="0"/>
      <w:jc w:val="center"/>
    </w:pPr>
    <w:rPr>
      <w:rFonts w:hint="eastAsia"/>
      <w:sz w:val="21"/>
      <w:szCs w:val="24"/>
    </w:rPr>
  </w:style>
  <w:style w:type="paragraph" w:customStyle="1" w:styleId="70">
    <w:name w:val="（.a正文"/>
    <w:autoRedefine/>
    <w:unhideWhenUsed/>
    <w:qFormat/>
    <w:uiPriority w:val="99"/>
    <w:pPr>
      <w:adjustRightInd w:val="0"/>
      <w:spacing w:line="480" w:lineRule="exact"/>
      <w:ind w:firstLine="200" w:firstLineChars="200"/>
      <w:jc w:val="both"/>
    </w:pPr>
    <w:rPr>
      <w:rFonts w:hint="eastAsia" w:ascii="宋体" w:hAnsi="Calibri" w:eastAsia="宋体" w:cs="Times New Roman"/>
      <w:kern w:val="2"/>
      <w:sz w:val="24"/>
      <w:szCs w:val="24"/>
      <w:lang w:val="en-US" w:eastAsia="zh-CN" w:bidi="ar-SA"/>
    </w:rPr>
  </w:style>
  <w:style w:type="paragraph" w:customStyle="1" w:styleId="71">
    <w:name w:val="正文内容"/>
    <w:basedOn w:val="1"/>
    <w:autoRedefine/>
    <w:qFormat/>
    <w:uiPriority w:val="0"/>
    <w:pPr>
      <w:spacing w:line="360" w:lineRule="auto"/>
      <w:ind w:firstLine="567"/>
    </w:pPr>
    <w:rPr>
      <w:rFonts w:ascii="宋体"/>
      <w:sz w:val="24"/>
      <w:szCs w:val="24"/>
    </w:rPr>
  </w:style>
  <w:style w:type="paragraph" w:customStyle="1" w:styleId="72">
    <w:name w:val="环评表格"/>
    <w:next w:val="1"/>
    <w:autoRedefine/>
    <w:qFormat/>
    <w:uiPriority w:val="0"/>
    <w:pPr>
      <w:jc w:val="center"/>
    </w:pPr>
    <w:rPr>
      <w:rFonts w:ascii="Times New Roman" w:hAnsi="Times New Roman" w:eastAsia="宋体" w:cs="Times New Roman"/>
      <w:sz w:val="21"/>
      <w:szCs w:val="21"/>
      <w:lang w:val="en-US" w:eastAsia="zh-CN" w:bidi="ar-SA"/>
    </w:rPr>
  </w:style>
  <w:style w:type="paragraph" w:customStyle="1" w:styleId="73">
    <w:name w:val="样式 四号 首行缩进:  2 字符"/>
    <w:basedOn w:val="1"/>
    <w:autoRedefine/>
    <w:qFormat/>
    <w:uiPriority w:val="0"/>
    <w:pPr>
      <w:spacing w:line="480" w:lineRule="atLeast"/>
      <w:ind w:firstLine="200" w:firstLineChars="200"/>
    </w:pPr>
    <w:rPr>
      <w:sz w:val="24"/>
      <w:szCs w:val="20"/>
    </w:rPr>
  </w:style>
  <w:style w:type="paragraph" w:customStyle="1" w:styleId="74">
    <w:name w:val="表标题"/>
    <w:basedOn w:val="9"/>
    <w:autoRedefine/>
    <w:qFormat/>
    <w:uiPriority w:val="0"/>
    <w:pPr>
      <w:spacing w:line="500" w:lineRule="exact"/>
      <w:ind w:firstLine="0" w:firstLineChars="0"/>
      <w:jc w:val="center"/>
    </w:pPr>
    <w:rPr>
      <w:rFonts w:ascii="Times New Roman" w:hAnsi="Times New Roman" w:eastAsia="宋体"/>
      <w:b/>
      <w:sz w:val="24"/>
      <w:szCs w:val="24"/>
    </w:rPr>
  </w:style>
  <w:style w:type="paragraph" w:customStyle="1" w:styleId="75">
    <w:name w:val="标题4"/>
    <w:basedOn w:val="1"/>
    <w:autoRedefine/>
    <w:qFormat/>
    <w:uiPriority w:val="0"/>
    <w:pPr>
      <w:numPr>
        <w:ilvl w:val="3"/>
        <w:numId w:val="1"/>
      </w:numPr>
      <w:spacing w:line="360" w:lineRule="auto"/>
      <w:ind w:left="0" w:firstLine="0" w:firstLineChars="0"/>
      <w:jc w:val="left"/>
      <w:outlineLvl w:val="3"/>
    </w:pPr>
    <w:rPr>
      <w:b/>
    </w:rPr>
  </w:style>
  <w:style w:type="paragraph" w:customStyle="1" w:styleId="76">
    <w:name w:val="表中文字"/>
    <w:basedOn w:val="1"/>
    <w:autoRedefine/>
    <w:qFormat/>
    <w:uiPriority w:val="0"/>
    <w:pPr>
      <w:spacing w:line="240" w:lineRule="exact"/>
      <w:ind w:firstLine="0" w:firstLineChars="0"/>
      <w:jc w:val="center"/>
    </w:pPr>
    <w:rPr>
      <w:rFonts w:ascii="宋体" w:hAnsi="宋体"/>
      <w:sz w:val="21"/>
      <w:szCs w:val="20"/>
    </w:rPr>
  </w:style>
  <w:style w:type="paragraph" w:customStyle="1" w:styleId="77">
    <w:name w:val="样式 小四 首行缩进:  1.01 厘米 行距: 1.5 倍行距"/>
    <w:basedOn w:val="1"/>
    <w:autoRedefine/>
    <w:qFormat/>
    <w:uiPriority w:val="0"/>
    <w:pPr>
      <w:adjustRightInd w:val="0"/>
      <w:snapToGrid w:val="0"/>
      <w:spacing w:line="360" w:lineRule="auto"/>
      <w:ind w:firstLine="200" w:firstLineChars="200"/>
    </w:pPr>
    <w:rPr>
      <w:rFonts w:ascii="Calibri" w:hAnsi="Calibri"/>
      <w:snapToGrid w:val="0"/>
      <w:kern w:val="24"/>
      <w:sz w:val="24"/>
      <w:szCs w:val="20"/>
    </w:rPr>
  </w:style>
  <w:style w:type="paragraph" w:customStyle="1" w:styleId="78">
    <w:name w:val="正文(首行缩进)"/>
    <w:basedOn w:val="1"/>
    <w:autoRedefine/>
    <w:qFormat/>
    <w:uiPriority w:val="0"/>
    <w:pPr>
      <w:adjustRightInd w:val="0"/>
      <w:snapToGrid w:val="0"/>
      <w:spacing w:line="360" w:lineRule="auto"/>
    </w:pPr>
    <w:rPr>
      <w:snapToGrid w:val="0"/>
      <w:color w:val="auto"/>
      <w:kern w:val="0"/>
    </w:rPr>
  </w:style>
  <w:style w:type="paragraph" w:customStyle="1" w:styleId="79">
    <w:name w:val="正常格式"/>
    <w:basedOn w:val="53"/>
    <w:qFormat/>
    <w:uiPriority w:val="0"/>
    <w:pPr>
      <w:spacing w:line="480" w:lineRule="exact"/>
      <w:ind w:left="0" w:leftChars="0" w:right="0" w:rightChars="0" w:firstLine="600" w:firstLineChars="200"/>
    </w:pPr>
    <w:rPr>
      <w:rFonts w:ascii="Times New Roman" w:hAnsi="Times New Roman" w:eastAsia="宋体"/>
      <w:snapToGrid w:val="0"/>
      <w:kern w:val="0"/>
      <w:sz w:val="24"/>
    </w:rPr>
  </w:style>
  <w:style w:type="paragraph" w:customStyle="1" w:styleId="80">
    <w:name w:val="Normal_0"/>
    <w:autoRedefine/>
    <w:qFormat/>
    <w:uiPriority w:val="0"/>
    <w:rPr>
      <w:rFonts w:ascii="Times New Roman" w:hAnsi="Times New Roman" w:eastAsia="宋体" w:cs="Times New Roman"/>
      <w:sz w:val="24"/>
      <w:szCs w:val="24"/>
      <w:lang w:val="en-US" w:eastAsia="zh-CN" w:bidi="ar-SA"/>
    </w:rPr>
  </w:style>
  <w:style w:type="paragraph" w:customStyle="1" w:styleId="81">
    <w:name w:val="...正文"/>
    <w:basedOn w:val="82"/>
    <w:autoRedefine/>
    <w:qFormat/>
    <w:uiPriority w:val="0"/>
    <w:pPr>
      <w:spacing w:before="60" w:line="360" w:lineRule="auto"/>
      <w:ind w:firstLine="200" w:firstLineChars="200"/>
      <w:jc w:val="both"/>
    </w:pPr>
    <w:rPr>
      <w:color w:val="000000"/>
      <w:spacing w:val="4"/>
      <w:sz w:val="24"/>
      <w:szCs w:val="24"/>
      <w:lang w:val="en-US" w:eastAsia="zh-CN" w:bidi="ar-SA"/>
    </w:rPr>
  </w:style>
  <w:style w:type="paragraph" w:customStyle="1" w:styleId="82">
    <w:name w:val="——"/>
    <w:basedOn w:val="83"/>
    <w:autoRedefine/>
    <w:qFormat/>
    <w:uiPriority w:val="0"/>
    <w:pPr>
      <w:ind w:left="0" w:firstLine="660" w:firstLineChars="300"/>
    </w:pPr>
  </w:style>
  <w:style w:type="paragraph" w:customStyle="1" w:styleId="83">
    <w:name w:val="Texte"/>
    <w:basedOn w:val="1"/>
    <w:autoRedefine/>
    <w:qFormat/>
    <w:uiPriority w:val="0"/>
    <w:pPr>
      <w:widowControl/>
      <w:spacing w:before="120" w:after="120" w:line="480" w:lineRule="exact"/>
      <w:ind w:left="851" w:firstLine="200" w:firstLineChars="200"/>
    </w:pPr>
    <w:rPr>
      <w:rFonts w:ascii="Arial" w:hAnsi="Arial"/>
      <w:kern w:val="0"/>
      <w:sz w:val="22"/>
      <w:lang w:val="en-GB"/>
    </w:rPr>
  </w:style>
  <w:style w:type="paragraph" w:customStyle="1" w:styleId="84">
    <w:name w:val="正文233"/>
    <w:basedOn w:val="85"/>
    <w:autoRedefine/>
    <w:qFormat/>
    <w:uiPriority w:val="0"/>
    <w:pPr>
      <w:spacing w:line="360" w:lineRule="auto"/>
      <w:ind w:firstLine="488"/>
    </w:pPr>
    <w:rPr>
      <w:sz w:val="24"/>
      <w:szCs w:val="24"/>
    </w:rPr>
  </w:style>
  <w:style w:type="paragraph" w:customStyle="1" w:styleId="85">
    <w:name w:val="样式 样式 正文 + 首行缩进:  2 字符 + 首行缩进:  2 字符"/>
    <w:basedOn w:val="86"/>
    <w:autoRedefine/>
    <w:semiHidden/>
    <w:qFormat/>
    <w:uiPriority w:val="0"/>
  </w:style>
  <w:style w:type="paragraph" w:customStyle="1" w:styleId="86">
    <w:name w:val="样式 正文 + 首行缩进:  2 字符"/>
    <w:basedOn w:val="87"/>
    <w:autoRedefine/>
    <w:semiHidden/>
    <w:qFormat/>
    <w:uiPriority w:val="0"/>
    <w:pPr>
      <w:spacing w:line="480" w:lineRule="exact"/>
      <w:jc w:val="both"/>
    </w:pPr>
    <w:rPr>
      <w:rFonts w:cs="宋体"/>
      <w:szCs w:val="20"/>
    </w:rPr>
  </w:style>
  <w:style w:type="paragraph" w:customStyle="1" w:styleId="87">
    <w:name w:val="正文3"/>
    <w:next w:val="1"/>
    <w:autoRedefine/>
    <w:semiHidden/>
    <w:qFormat/>
    <w:uiPriority w:val="0"/>
    <w:pPr>
      <w:autoSpaceDE w:val="0"/>
      <w:autoSpaceDN w:val="0"/>
      <w:adjustRightInd w:val="0"/>
      <w:snapToGrid w:val="0"/>
      <w:spacing w:line="360" w:lineRule="auto"/>
      <w:ind w:firstLine="200" w:firstLineChars="200"/>
    </w:pPr>
    <w:rPr>
      <w:rFonts w:ascii="Times New Roman" w:hAnsi="Times New Roman" w:eastAsia="宋体" w:cs="Times New Roman"/>
      <w:sz w:val="24"/>
      <w:szCs w:val="24"/>
      <w:lang w:val="en-US" w:eastAsia="zh-CN" w:bidi="ar-SA"/>
    </w:rPr>
  </w:style>
  <w:style w:type="paragraph" w:customStyle="1" w:styleId="88">
    <w:name w:val="图图"/>
    <w:basedOn w:val="1"/>
    <w:autoRedefine/>
    <w:qFormat/>
    <w:uiPriority w:val="0"/>
    <w:pPr>
      <w:spacing w:line="240" w:lineRule="auto"/>
      <w:ind w:firstLine="0" w:firstLineChars="0"/>
      <w:jc w:val="center"/>
    </w:pPr>
    <w:rPr>
      <w:sz w:val="21"/>
    </w:rPr>
  </w:style>
  <w:style w:type="character" w:customStyle="1" w:styleId="89">
    <w:name w:val="font71"/>
    <w:basedOn w:val="32"/>
    <w:autoRedefine/>
    <w:qFormat/>
    <w:uiPriority w:val="0"/>
    <w:rPr>
      <w:rFonts w:hint="default" w:ascii="Times New Roman" w:hAnsi="Times New Roman" w:cs="Times New Roman"/>
      <w:color w:val="000000"/>
      <w:sz w:val="21"/>
      <w:szCs w:val="21"/>
      <w:u w:val="none"/>
    </w:rPr>
  </w:style>
  <w:style w:type="character" w:customStyle="1" w:styleId="90">
    <w:name w:val="font61"/>
    <w:basedOn w:val="32"/>
    <w:autoRedefine/>
    <w:qFormat/>
    <w:uiPriority w:val="0"/>
    <w:rPr>
      <w:rFonts w:hint="default" w:ascii="Times New Roman" w:hAnsi="Times New Roman" w:cs="Times New Roman"/>
      <w:color w:val="0000FF"/>
      <w:sz w:val="21"/>
      <w:szCs w:val="21"/>
      <w:u w:val="none"/>
    </w:rPr>
  </w:style>
  <w:style w:type="character" w:customStyle="1" w:styleId="91">
    <w:name w:val="font81"/>
    <w:basedOn w:val="32"/>
    <w:autoRedefine/>
    <w:qFormat/>
    <w:uiPriority w:val="0"/>
    <w:rPr>
      <w:rFonts w:hint="default" w:ascii="Times New Roman" w:hAnsi="Times New Roman" w:cs="Times New Roman"/>
      <w:color w:val="0000FF"/>
      <w:sz w:val="21"/>
      <w:szCs w:val="21"/>
      <w:u w:val="none"/>
      <w:vertAlign w:val="subscript"/>
    </w:rPr>
  </w:style>
  <w:style w:type="character" w:customStyle="1" w:styleId="92">
    <w:name w:val="font91"/>
    <w:basedOn w:val="32"/>
    <w:autoRedefine/>
    <w:qFormat/>
    <w:uiPriority w:val="0"/>
    <w:rPr>
      <w:rFonts w:hint="default" w:ascii="Times New Roman" w:hAnsi="Times New Roman" w:cs="Times New Roman"/>
      <w:color w:val="000000"/>
      <w:sz w:val="21"/>
      <w:szCs w:val="21"/>
      <w:u w:val="none"/>
      <w:vertAlign w:val="subscript"/>
    </w:rPr>
  </w:style>
  <w:style w:type="paragraph" w:customStyle="1" w:styleId="93">
    <w:name w:val="表格内容新新"/>
    <w:basedOn w:val="1"/>
    <w:autoRedefine/>
    <w:qFormat/>
    <w:uiPriority w:val="0"/>
    <w:pPr>
      <w:adjustRightInd w:val="0"/>
      <w:snapToGrid w:val="0"/>
      <w:spacing w:line="280" w:lineRule="exact"/>
      <w:ind w:firstLine="0" w:firstLineChars="0"/>
      <w:jc w:val="center"/>
    </w:pPr>
    <w:rPr>
      <w:kern w:val="0"/>
      <w:sz w:val="18"/>
      <w:szCs w:val="18"/>
    </w:rPr>
  </w:style>
  <w:style w:type="character" w:customStyle="1" w:styleId="94">
    <w:name w:val="font01"/>
    <w:basedOn w:val="32"/>
    <w:autoRedefine/>
    <w:qFormat/>
    <w:uiPriority w:val="0"/>
    <w:rPr>
      <w:rFonts w:hint="eastAsia" w:ascii="宋体" w:hAnsi="宋体" w:eastAsia="宋体" w:cs="宋体"/>
      <w:color w:val="000000"/>
      <w:sz w:val="32"/>
      <w:szCs w:val="32"/>
      <w:u w:val="none"/>
    </w:rPr>
  </w:style>
  <w:style w:type="paragraph" w:customStyle="1" w:styleId="95">
    <w:name w:val="Table Text"/>
    <w:basedOn w:val="1"/>
    <w:autoRedefine/>
    <w:semiHidden/>
    <w:qFormat/>
    <w:uiPriority w:val="0"/>
    <w:rPr>
      <w:rFonts w:ascii="宋体" w:hAnsi="宋体" w:eastAsia="宋体" w:cs="宋体"/>
      <w:sz w:val="22"/>
      <w:szCs w:val="22"/>
      <w:lang w:val="en-US" w:eastAsia="en-US" w:bidi="ar-SA"/>
    </w:rPr>
  </w:style>
  <w:style w:type="paragraph" w:customStyle="1" w:styleId="96">
    <w:name w:val="表格内容2"/>
    <w:basedOn w:val="93"/>
    <w:autoRedefine/>
    <w:qFormat/>
    <w:uiPriority w:val="0"/>
  </w:style>
  <w:style w:type="paragraph" w:customStyle="1" w:styleId="97">
    <w:name w:val="表格1"/>
    <w:basedOn w:val="1"/>
    <w:autoRedefine/>
    <w:qFormat/>
    <w:uiPriority w:val="0"/>
    <w:pPr>
      <w:spacing w:before="60" w:after="60" w:line="240" w:lineRule="atLeast"/>
    </w:pPr>
    <w:rPr>
      <w:rFonts w:ascii="Times New Roman" w:hAnsi="Times New Roman" w:eastAsia="仿宋_GB2312" w:cs="Times New Roman"/>
      <w:szCs w:val="20"/>
    </w:rPr>
  </w:style>
  <w:style w:type="paragraph" w:customStyle="1" w:styleId="98">
    <w:name w:val="表格文字"/>
    <w:basedOn w:val="6"/>
    <w:autoRedefine/>
    <w:qFormat/>
    <w:uiPriority w:val="0"/>
    <w:pPr>
      <w:widowControl w:val="0"/>
      <w:overflowPunct w:val="0"/>
      <w:topLinePunct/>
      <w:autoSpaceDE w:val="0"/>
      <w:autoSpaceDN w:val="0"/>
      <w:spacing w:line="360" w:lineRule="exact"/>
      <w:jc w:val="center"/>
      <w:textAlignment w:val="baseline"/>
    </w:pPr>
    <w:rPr>
      <w:rFonts w:ascii="Calibri" w:hAnsi="Calibri" w:cs="Times New Roman"/>
      <w:spacing w:val="6"/>
      <w:kern w:val="2"/>
    </w:rPr>
  </w:style>
  <w:style w:type="paragraph" w:customStyle="1" w:styleId="99">
    <w:name w:val="图标2.2"/>
    <w:basedOn w:val="1"/>
    <w:link w:val="101"/>
    <w:autoRedefine/>
    <w:qFormat/>
    <w:uiPriority w:val="0"/>
    <w:pPr>
      <w:widowControl/>
      <w:numPr>
        <w:ilvl w:val="0"/>
        <w:numId w:val="2"/>
      </w:numPr>
      <w:spacing w:line="360" w:lineRule="auto"/>
      <w:jc w:val="center"/>
    </w:pPr>
    <w:rPr>
      <w:rFonts w:ascii="Times New Roman" w:hAnsi="Times New Roman" w:eastAsia="宋体"/>
      <w:b/>
      <w:bCs/>
      <w:color w:val="auto"/>
      <w:kern w:val="0"/>
      <w:sz w:val="24"/>
    </w:rPr>
  </w:style>
  <w:style w:type="paragraph" w:customStyle="1" w:styleId="100">
    <w:name w:val="图2.2"/>
    <w:basedOn w:val="1"/>
    <w:autoRedefine/>
    <w:qFormat/>
    <w:uiPriority w:val="0"/>
    <w:pPr>
      <w:widowControl/>
      <w:numPr>
        <w:ilvl w:val="0"/>
        <w:numId w:val="3"/>
      </w:numPr>
      <w:spacing w:line="360" w:lineRule="auto"/>
      <w:jc w:val="center"/>
    </w:pPr>
    <w:rPr>
      <w:rFonts w:ascii="Times New Roman" w:hAnsi="Times New Roman"/>
      <w:b/>
      <w:bCs/>
      <w:color w:val="auto"/>
      <w:kern w:val="0"/>
      <w:sz w:val="24"/>
    </w:rPr>
  </w:style>
  <w:style w:type="character" w:customStyle="1" w:styleId="101">
    <w:name w:val="图标2.2 Char"/>
    <w:link w:val="99"/>
    <w:autoRedefine/>
    <w:qFormat/>
    <w:uiPriority w:val="0"/>
    <w:rPr>
      <w:rFonts w:ascii="Times New Roman" w:hAnsi="Times New Roman" w:eastAsia="宋体"/>
      <w:b/>
      <w:bCs/>
      <w:color w:val="auto"/>
      <w:kern w:val="0"/>
      <w:sz w:val="24"/>
    </w:rPr>
  </w:style>
  <w:style w:type="paragraph" w:customStyle="1" w:styleId="102">
    <w:name w:val="正表2.3"/>
    <w:basedOn w:val="1"/>
    <w:autoRedefine/>
    <w:qFormat/>
    <w:uiPriority w:val="0"/>
    <w:pPr>
      <w:numPr>
        <w:ilvl w:val="0"/>
        <w:numId w:val="4"/>
      </w:numPr>
      <w:adjustRightInd w:val="0"/>
      <w:snapToGrid w:val="0"/>
      <w:spacing w:line="360" w:lineRule="auto"/>
      <w:jc w:val="center"/>
    </w:pPr>
    <w:rPr>
      <w:rFonts w:ascii="Times New Roman" w:hAnsi="Times New Roman" w:eastAsia="宋体"/>
      <w:b/>
      <w:bCs/>
      <w:sz w:val="24"/>
    </w:rPr>
  </w:style>
  <w:style w:type="paragraph" w:customStyle="1" w:styleId="103">
    <w:name w:val="正表3.1"/>
    <w:basedOn w:val="1"/>
    <w:link w:val="104"/>
    <w:autoRedefine/>
    <w:qFormat/>
    <w:uiPriority w:val="0"/>
    <w:pPr>
      <w:numPr>
        <w:ilvl w:val="0"/>
        <w:numId w:val="5"/>
      </w:numPr>
      <w:adjustRightInd w:val="0"/>
      <w:snapToGrid w:val="0"/>
      <w:spacing w:line="360" w:lineRule="auto"/>
      <w:jc w:val="center"/>
    </w:pPr>
    <w:rPr>
      <w:rFonts w:ascii="Times New Roman" w:hAnsi="Times New Roman" w:eastAsia="宋体"/>
      <w:b/>
      <w:bCs/>
      <w:color w:val="auto"/>
      <w:sz w:val="24"/>
    </w:rPr>
  </w:style>
  <w:style w:type="character" w:customStyle="1" w:styleId="104">
    <w:name w:val="表3.1 Char"/>
    <w:link w:val="103"/>
    <w:autoRedefine/>
    <w:qFormat/>
    <w:uiPriority w:val="0"/>
    <w:rPr>
      <w:rFonts w:ascii="Times New Roman" w:hAnsi="Times New Roman" w:eastAsia="宋体"/>
      <w:b/>
      <w:bCs/>
      <w:color w:val="auto"/>
      <w:sz w:val="24"/>
    </w:rPr>
  </w:style>
  <w:style w:type="paragraph" w:customStyle="1" w:styleId="105">
    <w:name w:val="正表3.2"/>
    <w:basedOn w:val="1"/>
    <w:autoRedefine/>
    <w:qFormat/>
    <w:uiPriority w:val="0"/>
    <w:pPr>
      <w:numPr>
        <w:ilvl w:val="0"/>
        <w:numId w:val="6"/>
      </w:numPr>
      <w:adjustRightInd w:val="0"/>
      <w:snapToGrid w:val="0"/>
      <w:spacing w:line="360" w:lineRule="auto"/>
      <w:jc w:val="center"/>
      <w:outlineLvl w:val="9"/>
    </w:pPr>
    <w:rPr>
      <w:rFonts w:hint="eastAsia" w:ascii="Times New Roman" w:hAnsi="Times New Roman" w:eastAsia="宋体"/>
      <w:b/>
      <w:bCs/>
      <w:color w:val="auto"/>
      <w:sz w:val="24"/>
    </w:rPr>
  </w:style>
  <w:style w:type="paragraph" w:customStyle="1" w:styleId="106">
    <w:name w:val="正表4.1"/>
    <w:basedOn w:val="1"/>
    <w:link w:val="107"/>
    <w:autoRedefine/>
    <w:qFormat/>
    <w:uiPriority w:val="0"/>
    <w:pPr>
      <w:numPr>
        <w:ilvl w:val="0"/>
        <w:numId w:val="7"/>
      </w:numPr>
      <w:snapToGrid w:val="0"/>
      <w:spacing w:line="360" w:lineRule="auto"/>
      <w:jc w:val="center"/>
      <w:outlineLvl w:val="9"/>
    </w:pPr>
    <w:rPr>
      <w:rFonts w:hint="eastAsia" w:ascii="Times New Roman" w:hAnsi="Times New Roman" w:eastAsia="宋体"/>
      <w:b/>
      <w:bCs/>
      <w:color w:val="auto"/>
      <w:sz w:val="24"/>
      <w:lang w:bidi="ar"/>
    </w:rPr>
  </w:style>
  <w:style w:type="character" w:customStyle="1" w:styleId="107">
    <w:name w:val="正表4.1 Char"/>
    <w:link w:val="106"/>
    <w:autoRedefine/>
    <w:qFormat/>
    <w:uiPriority w:val="0"/>
    <w:rPr>
      <w:rFonts w:hint="eastAsia" w:ascii="Times New Roman" w:hAnsi="Times New Roman" w:eastAsia="宋体"/>
      <w:b/>
      <w:bCs/>
      <w:color w:val="auto"/>
      <w:sz w:val="24"/>
      <w:lang w:bidi="ar"/>
    </w:rPr>
  </w:style>
  <w:style w:type="paragraph" w:customStyle="1" w:styleId="108">
    <w:name w:val="表5.1"/>
    <w:basedOn w:val="1"/>
    <w:autoRedefine/>
    <w:qFormat/>
    <w:uiPriority w:val="0"/>
    <w:pPr>
      <w:numPr>
        <w:ilvl w:val="0"/>
        <w:numId w:val="8"/>
      </w:numPr>
      <w:adjustRightInd w:val="0"/>
      <w:snapToGrid w:val="0"/>
      <w:spacing w:line="360" w:lineRule="auto"/>
      <w:jc w:val="center"/>
    </w:pPr>
    <w:rPr>
      <w:rFonts w:ascii="Times New Roman" w:hAnsi="Times New Roman"/>
      <w:b/>
      <w:bCs/>
      <w:color w:val="auto"/>
      <w:sz w:val="24"/>
    </w:rPr>
  </w:style>
  <w:style w:type="paragraph" w:customStyle="1" w:styleId="109">
    <w:name w:val="样式 样式11 + 黑色"/>
    <w:basedOn w:val="1"/>
    <w:qFormat/>
    <w:uiPriority w:val="0"/>
    <w:pPr>
      <w:keepNext/>
      <w:keepLines/>
      <w:numPr>
        <w:ilvl w:val="2"/>
        <w:numId w:val="9"/>
      </w:numPr>
      <w:overflowPunct w:val="0"/>
      <w:topLinePunct/>
      <w:autoSpaceDE w:val="0"/>
      <w:autoSpaceDN w:val="0"/>
      <w:adjustRightInd w:val="0"/>
      <w:snapToGrid w:val="0"/>
      <w:spacing w:before="120" w:after="120" w:line="480" w:lineRule="atLeast"/>
      <w:jc w:val="left"/>
      <w:textAlignment w:val="baseline"/>
      <w:outlineLvl w:val="2"/>
    </w:pPr>
    <w:rPr>
      <w:rFonts w:eastAsia="黑体"/>
      <w:color w:val="000000"/>
      <w:kern w:val="0"/>
      <w:sz w:val="24"/>
      <w:szCs w:val="20"/>
    </w:rPr>
  </w:style>
  <w:style w:type="paragraph" w:customStyle="1" w:styleId="110">
    <w:name w:val="我的表头"/>
    <w:basedOn w:val="79"/>
    <w:qFormat/>
    <w:uiPriority w:val="0"/>
    <w:pPr>
      <w:spacing w:line="480" w:lineRule="exact"/>
      <w:ind w:firstLine="0" w:firstLineChars="0"/>
      <w:jc w:val="center"/>
    </w:pPr>
    <w:rPr>
      <w:b/>
      <w:sz w:val="21"/>
      <w:szCs w:val="21"/>
    </w:rPr>
  </w:style>
  <w:style w:type="paragraph" w:customStyle="1" w:styleId="111">
    <w:name w:val="四级目录"/>
    <w:basedOn w:val="75"/>
    <w:qFormat/>
    <w:uiPriority w:val="0"/>
    <w:pPr>
      <w:numPr>
        <w:ilvl w:val="0"/>
        <w:numId w:val="0"/>
      </w:numPr>
    </w:pPr>
    <w:rPr>
      <w:rFonts w:ascii="黑体" w:hAnsi="黑体" w:eastAsia="黑体"/>
      <w:b w:val="0"/>
    </w:rPr>
  </w:style>
  <w:style w:type="paragraph" w:customStyle="1" w:styleId="112">
    <w:name w:val="Normal_29"/>
    <w:basedOn w:val="1"/>
    <w:qFormat/>
    <w:uiPriority w:val="0"/>
    <w:pPr>
      <w:widowControl/>
      <w:spacing w:before="120" w:after="240"/>
    </w:pPr>
    <w:rPr>
      <w:rFonts w:ascii="Calibri" w:hAnsi="Calibri" w:eastAsia="宋体" w:cs="宋体"/>
      <w:kern w:val="0"/>
      <w:sz w:val="22"/>
      <w:szCs w:val="22"/>
    </w:rPr>
  </w:style>
  <w:style w:type="paragraph" w:customStyle="1" w:styleId="113">
    <w:name w:val="Normal_28"/>
    <w:qFormat/>
    <w:uiPriority w:val="0"/>
    <w:pPr>
      <w:spacing w:before="120" w:after="240"/>
      <w:jc w:val="both"/>
    </w:pPr>
    <w:rPr>
      <w:rFonts w:ascii="Calibri" w:hAnsi="Calibri" w:eastAsia="Calibri" w:cs="Times New Roman"/>
      <w:sz w:val="22"/>
      <w:szCs w:val="22"/>
      <w:lang w:val="ru-RU" w:eastAsia="en-US" w:bidi="ar-SA"/>
    </w:rPr>
  </w:style>
  <w:style w:type="paragraph" w:customStyle="1" w:styleId="114">
    <w:name w:val="Table Paragraph"/>
    <w:basedOn w:val="1"/>
    <w:qFormat/>
    <w:uiPriority w:val="0"/>
    <w:pPr>
      <w:jc w:val="center"/>
    </w:pPr>
    <w:rPr>
      <w:rFonts w:ascii="宋体" w:hAnsi="宋体" w:eastAsia="宋体" w:cs="宋体"/>
      <w:lang w:val="zh-CN" w:eastAsia="zh-CN" w:bidi="zh-CN"/>
    </w:rPr>
  </w:style>
  <w:style w:type="paragraph" w:customStyle="1" w:styleId="115">
    <w:name w:val="图表1"/>
    <w:basedOn w:val="1"/>
    <w:qFormat/>
    <w:uiPriority w:val="0"/>
    <w:pPr>
      <w:spacing w:line="240" w:lineRule="auto"/>
      <w:ind w:firstLine="0" w:firstLineChars="0"/>
      <w:jc w:val="center"/>
    </w:pPr>
    <w:rPr>
      <w:sz w:val="21"/>
      <w:szCs w:val="21"/>
    </w:rPr>
  </w:style>
  <w:style w:type="paragraph" w:customStyle="1" w:styleId="116">
    <w:name w:val="li_正文"/>
    <w:basedOn w:val="1"/>
    <w:qFormat/>
    <w:uiPriority w:val="0"/>
    <w:pPr>
      <w:tabs>
        <w:tab w:val="left" w:pos="2340"/>
        <w:tab w:val="left" w:pos="4320"/>
      </w:tabs>
      <w:ind w:firstLine="530" w:firstLineChars="200"/>
      <w:jc w:val="left"/>
    </w:pPr>
    <w:rPr>
      <w:sz w:val="28"/>
      <w:szCs w:val="28"/>
    </w:rPr>
  </w:style>
  <w:style w:type="paragraph" w:customStyle="1" w:styleId="117">
    <w:name w:val="新格式表"/>
    <w:basedOn w:val="1"/>
    <w:qFormat/>
    <w:uiPriority w:val="0"/>
    <w:pPr>
      <w:adjustRightInd w:val="0"/>
      <w:snapToGrid w:val="0"/>
      <w:spacing w:line="0" w:lineRule="atLeast"/>
      <w:jc w:val="center"/>
    </w:pPr>
    <w:rPr>
      <w:color w:val="000000"/>
      <w:kern w:val="0"/>
      <w:szCs w:val="21"/>
    </w:rPr>
  </w:style>
  <w:style w:type="paragraph" w:customStyle="1" w:styleId="118">
    <w:name w:val="Char Char Char Char Char Char Char Char Char1 Char"/>
    <w:basedOn w:val="1"/>
    <w:next w:val="119"/>
    <w:qFormat/>
    <w:uiPriority w:val="0"/>
    <w:pPr>
      <w:ind w:firstLine="200"/>
    </w:pPr>
    <w:rPr>
      <w:rFonts w:ascii="宋体" w:hAnsi="宋体" w:cs="宋体"/>
      <w:bCs/>
      <w:color w:val="000000"/>
      <w:kern w:val="24"/>
    </w:rPr>
  </w:style>
  <w:style w:type="paragraph" w:customStyle="1" w:styleId="119">
    <w:name w:val="Body Text First Indent1"/>
    <w:next w:val="1"/>
    <w:qFormat/>
    <w:uiPriority w:val="0"/>
    <w:pPr>
      <w:widowControl w:val="0"/>
      <w:spacing w:after="120"/>
      <w:ind w:firstLine="420"/>
      <w:jc w:val="both"/>
    </w:pPr>
    <w:rPr>
      <w:rFonts w:ascii="Calibri" w:hAnsi="Calibri" w:eastAsia="宋体" w:cs="Times New Roman"/>
      <w:sz w:val="21"/>
      <w:szCs w:val="22"/>
      <w:lang w:val="en-US" w:eastAsia="zh-CN" w:bidi="ar-SA"/>
    </w:rPr>
  </w:style>
  <w:style w:type="paragraph" w:customStyle="1" w:styleId="120">
    <w:name w:val="p0"/>
    <w:basedOn w:val="1"/>
    <w:autoRedefine/>
    <w:qFormat/>
    <w:uiPriority w:val="0"/>
    <w:pPr>
      <w:widowControl/>
    </w:pPr>
    <w:rPr>
      <w:kern w:val="0"/>
      <w:szCs w:val="21"/>
    </w:rPr>
  </w:style>
  <w:style w:type="paragraph" w:customStyle="1" w:styleId="121">
    <w:name w:val="样式3"/>
    <w:next w:val="122"/>
    <w:autoRedefine/>
    <w:qFormat/>
    <w:uiPriority w:val="0"/>
    <w:pPr>
      <w:widowControl w:val="0"/>
      <w:spacing w:line="500" w:lineRule="exact"/>
      <w:ind w:firstLine="200" w:firstLineChars="200"/>
      <w:jc w:val="both"/>
      <w:outlineLvl w:val="1"/>
    </w:pPr>
    <w:rPr>
      <w:rFonts w:ascii="Times New Roman" w:hAnsi="Times New Roman" w:eastAsia="宋体" w:cs="Times New Roman"/>
      <w:b/>
      <w:kern w:val="2"/>
      <w:sz w:val="24"/>
      <w:lang w:val="en-US" w:eastAsia="zh-CN" w:bidi="ar-SA"/>
    </w:rPr>
  </w:style>
  <w:style w:type="paragraph" w:customStyle="1" w:styleId="122">
    <w:name w:val="目录 53"/>
    <w:next w:val="1"/>
    <w:autoRedefine/>
    <w:qFormat/>
    <w:uiPriority w:val="0"/>
    <w:pPr>
      <w:widowControl w:val="0"/>
      <w:ind w:left="840"/>
      <w:jc w:val="both"/>
    </w:pPr>
    <w:rPr>
      <w:rFonts w:ascii="Times New Roman" w:hAnsi="Times New Roman" w:eastAsia="宋体" w:cs="宋体"/>
      <w:color w:val="000000"/>
      <w:kern w:val="2"/>
      <w:sz w:val="21"/>
      <w:szCs w:val="24"/>
      <w:lang w:val="en-US" w:eastAsia="zh-CN" w:bidi="ar-SA"/>
    </w:rPr>
  </w:style>
  <w:style w:type="character" w:customStyle="1" w:styleId="123">
    <w:name w:val="fontstyle11"/>
    <w:autoRedefine/>
    <w:qFormat/>
    <w:uiPriority w:val="0"/>
    <w:rPr>
      <w:rFonts w:hint="default" w:ascii="Times New Roman" w:hAnsi="Times New Roman" w:cs="Times New Roman"/>
      <w:b/>
      <w:color w:val="000000"/>
      <w:sz w:val="22"/>
      <w:szCs w:val="22"/>
    </w:rPr>
  </w:style>
  <w:style w:type="paragraph" w:customStyle="1" w:styleId="124">
    <w:name w:val="标题111"/>
    <w:basedOn w:val="1"/>
    <w:qFormat/>
    <w:uiPriority w:val="0"/>
    <w:pPr>
      <w:spacing w:line="480" w:lineRule="exact"/>
    </w:pPr>
    <w:rPr>
      <w:b/>
      <w:sz w:val="24"/>
    </w:rPr>
  </w:style>
  <w:style w:type="character" w:customStyle="1" w:styleId="125">
    <w:name w:val="正文文字 Char"/>
    <w:qFormat/>
    <w:uiPriority w:val="0"/>
    <w:rPr>
      <w:rFonts w:eastAsia="宋体"/>
      <w:kern w:val="2"/>
      <w:sz w:val="24"/>
      <w:szCs w:val="24"/>
      <w:lang w:val="en-US" w:eastAsia="zh-CN" w:bidi="ar-SA"/>
    </w:rPr>
  </w:style>
  <w:style w:type="paragraph" w:customStyle="1" w:styleId="126">
    <w:name w:val="正文缩进1"/>
    <w:basedOn w:val="1"/>
    <w:qFormat/>
    <w:uiPriority w:val="0"/>
    <w:pPr>
      <w:ind w:firstLine="420"/>
    </w:pPr>
    <w:rPr>
      <w:szCs w:val="20"/>
    </w:rPr>
  </w:style>
  <w:style w:type="paragraph" w:customStyle="1" w:styleId="127">
    <w:name w:val="17表格内容居中"/>
    <w:basedOn w:val="128"/>
    <w:qFormat/>
    <w:uiPriority w:val="0"/>
    <w:pPr>
      <w:widowControl/>
      <w:jc w:val="center"/>
    </w:pPr>
    <w:rPr>
      <w:rFonts w:cs="宋体"/>
    </w:rPr>
  </w:style>
  <w:style w:type="paragraph" w:customStyle="1" w:styleId="128">
    <w:name w:val="16表格标题"/>
    <w:qFormat/>
    <w:uiPriority w:val="0"/>
    <w:pPr>
      <w:spacing w:line="360" w:lineRule="auto"/>
      <w:jc w:val="center"/>
    </w:pPr>
    <w:rPr>
      <w:rFonts w:ascii="Times New Roman" w:hAnsi="Times New Roman" w:eastAsia="宋体" w:cs="宋体"/>
      <w:b/>
      <w:kern w:val="2"/>
      <w:sz w:val="21"/>
      <w:szCs w:val="24"/>
      <w:lang w:val="en-US" w:eastAsia="zh-CN" w:bidi="ar-SA"/>
    </w:rPr>
  </w:style>
  <w:style w:type="paragraph" w:customStyle="1" w:styleId="129">
    <w:name w:val="样式 正文文字 + 首行缩进:  2 字符 行距: 最小值 24 磅"/>
    <w:basedOn w:val="1"/>
    <w:qFormat/>
    <w:uiPriority w:val="0"/>
    <w:pPr>
      <w:widowControl w:val="0"/>
      <w:adjustRightInd w:val="0"/>
      <w:snapToGrid w:val="0"/>
      <w:spacing w:line="480" w:lineRule="atLeast"/>
      <w:ind w:firstLine="480" w:firstLineChars="200"/>
      <w:jc w:val="both"/>
    </w:pPr>
    <w:rPr>
      <w:rFonts w:ascii="Times New Roman" w:hAnsi="Times New Roman" w:cs="Times New Roman"/>
      <w:kern w:val="2"/>
      <w:szCs w:val="20"/>
    </w:rPr>
  </w:style>
  <w:style w:type="paragraph" w:customStyle="1" w:styleId="130">
    <w:name w:val="表题注"/>
    <w:basedOn w:val="6"/>
    <w:qFormat/>
    <w:uiPriority w:val="0"/>
    <w:pPr>
      <w:spacing w:beforeLines="50" w:line="480" w:lineRule="exact"/>
      <w:ind w:firstLine="0"/>
      <w:jc w:val="center"/>
    </w:pPr>
    <w:rPr>
      <w:b/>
      <w:spacing w:val="4"/>
      <w:sz w:val="24"/>
      <w:szCs w:val="24"/>
    </w:rPr>
  </w:style>
  <w:style w:type="paragraph" w:customStyle="1" w:styleId="131">
    <w:name w:val="表格内格式"/>
    <w:basedOn w:val="1"/>
    <w:qFormat/>
    <w:uiPriority w:val="0"/>
    <w:pPr>
      <w:tabs>
        <w:tab w:val="left" w:pos="3771"/>
      </w:tabs>
      <w:spacing w:line="240" w:lineRule="auto"/>
      <w:ind w:firstLine="0" w:firstLineChars="0"/>
      <w:jc w:val="center"/>
    </w:pPr>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9.jpe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image" Target="media/image12.jpe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wmf"/><Relationship Id="rId23" Type="http://schemas.openxmlformats.org/officeDocument/2006/relationships/oleObject" Target="embeddings/oleObject7.bin"/><Relationship Id="rId22" Type="http://schemas.openxmlformats.org/officeDocument/2006/relationships/image" Target="media/image8.wmf"/><Relationship Id="rId21" Type="http://schemas.openxmlformats.org/officeDocument/2006/relationships/oleObject" Target="embeddings/oleObject6.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6.emf"/><Relationship Id="rId17" Type="http://schemas.openxmlformats.org/officeDocument/2006/relationships/oleObject" Target="embeddings/oleObject4.bin"/><Relationship Id="rId16" Type="http://schemas.openxmlformats.org/officeDocument/2006/relationships/image" Target="media/image5.emf"/><Relationship Id="rId15" Type="http://schemas.openxmlformats.org/officeDocument/2006/relationships/oleObject" Target="embeddings/oleObject3.bin"/><Relationship Id="rId14" Type="http://schemas.openxmlformats.org/officeDocument/2006/relationships/image" Target="media/image4.emf"/><Relationship Id="rId13" Type="http://schemas.openxmlformats.org/officeDocument/2006/relationships/oleObject" Target="embeddings/oleObject2.bin"/><Relationship Id="rId12" Type="http://schemas.openxmlformats.org/officeDocument/2006/relationships/image" Target="media/image3.e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7" textRotate="1"/>
  </customShpExts>
</s:customData>
</file>

<file path=customXml/item2.xml><?xml version="1.0" encoding="utf-8"?>
<contractReview xmlns="http://schemas.wps.cn/vas-ai-hub/contract-review">
  <reviewItems>
    <reviewItem>
      <errorID>8ddb8f41-d4be-494e-9ade-4685151a1d74</errorID>
      <errorWord>(</errorWord>
      <group>L1_Format</group>
      <groupName>格式问题</groupName>
      <ability>L2_HalfPunc_CN</ability>
      <abilityName>全半角问题</abilityName>
      <candidateList>
        <item>（</item>
      </candidateList>
      <explain>文本全半角错误。</explain>
      <paraID>47F0882D</paraID>
      <start>0</start>
      <end>1</end>
      <status>modified</status>
      <modifiedWord>（</modifiedWord>
      <trackRevisions>false</trackRevisions>
    </reviewItem>
    <reviewItem>
      <errorID>bd70f88d-5c83-424e-98a7-c84a8ccbfcd4</errorID>
      <errorWord>-</errorWord>
      <group>L1_Format</group>
      <groupName>格式问题</groupName>
      <ability>L2_HalfPunc_CN</ability>
      <abilityName>全半角问题</abilityName>
      <candidateList>
        <item>－</item>
      </candidateList>
      <explain>文本全半角错误。</explain>
      <paraID>3EE7BFFE</paraID>
      <start>87</start>
      <end>88</end>
      <status>ignored</status>
      <modifiedWord/>
      <trackRevisions>false</trackRevisions>
    </reviewItem>
    <reviewItem>
      <errorID>79eb77b0-1255-477f-99b5-b86ee63d2165</errorID>
      <errorWord>[2025]1283号</errorWord>
      <group>L1_Knowledge</group>
      <groupName>知识性问题</groupName>
      <ability>L2_Knowledge</ability>
      <abilityName>其他知识</abilityName>
      <candidateList>
        <item>〔2025〕1283号</item>
      </candidateList>
      <explain>发文字号格式错误。</explain>
      <paraID>1966D3DF</paraID>
      <start>56</start>
      <end>96</end>
      <status>ignored</status>
      <modifiedWord/>
      <trackRevisions>false</trackRevisions>
    </reviewItem>
    <reviewItem>
      <errorID>8d76d285-1991-467e-bd66-68c65a879769</errorID>
      <errorWord>[2025]l283</errorWord>
      <group>L1_Punc</group>
      <groupName>标点问题</groupName>
      <ability>L2_Punc_CN</ability>
      <abilityName>标点符号问题</abilityName>
      <candidateList>
        <item>〔2025〕1283</item>
      </candidateList>
      <explain/>
      <paraID>7EC76904</paraID>
      <start>246</start>
      <end>285</end>
      <status>ignored</status>
      <modifiedWord/>
      <trackRevisions>false</trackRevisions>
    </reviewItem>
    <reviewItem>
      <errorID>c0f176b7-c09a-4750-aeea-1e2cd82d6301</errorID>
      <errorWord>－</errorWord>
      <group>L1_Punc</group>
      <groupName>标点问题</groupName>
      <ability>L2_Punc_CN</ability>
      <abilityName>标点符号问题</abilityName>
      <candidateList>
        <item>—</item>
      </candidateList>
      <explain/>
      <paraID>3BD92BA1</paraID>
      <start>21</start>
      <end>22</end>
      <status>ignored</status>
      <modifiedWord/>
      <trackRevisions>false</trackRevisions>
    </reviewItem>
    <reviewItem>
      <errorID>2a65d55e-d3af-4f50-867e-bf4ec1aa5ef0</errorID>
      <errorWord>：</errorWord>
      <group>L1_Punc</group>
      <groupName>标点问题</groupName>
      <ability>L2_Punc_CN</ability>
      <abilityName>标点符号问题</abilityName>
      <candidateList>
        <item>，</item>
      </candidateList>
      <explain/>
      <paraID>3BD92BA1</paraID>
      <start>44</start>
      <end>45</end>
      <status>modified</status>
      <modifiedWord>，</modifiedWord>
      <trackRevisions>false</trackRevisions>
    </reviewItem>
    <reviewItem>
      <errorID>4fb52044-19aa-4be5-9987-5dfb193d3174</errorID>
      <errorWord>：</errorWord>
      <group>L1_Punc</group>
      <groupName>标点问题</groupName>
      <ability>L2_Punc_CN</ability>
      <abilityName>标点符号问题</abilityName>
      <candidateList>
        <item>，</item>
      </candidateList>
      <explain/>
      <paraID>3BD92BA1</paraID>
      <start>67</start>
      <end>68</end>
      <status>ignored</status>
      <modifiedWord/>
      <trackRevisions>false</trackRevisions>
    </reviewItem>
    <reviewItem>
      <errorID>0aaff3c4-316b-4f4d-b994-21c0c08c52c4</errorID>
      <errorWord>－</errorWord>
      <group>L1_Punc</group>
      <groupName>标点问题</groupName>
      <ability>L2_Punc_CN</ability>
      <abilityName>标点符号问题</abilityName>
      <candidateList>
        <item>—</item>
      </candidateList>
      <explain/>
      <paraID>3DC8ED26</paraID>
      <start>21</start>
      <end>22</end>
      <status>ignored</status>
      <modifiedWord/>
      <trackRevisions>false</trackRevisions>
    </reviewItem>
    <reviewItem>
      <errorID>c3420243-bff9-4656-8c4e-e87fab2c5930</errorID>
      <errorWord>(</errorWord>
      <group>L1_Format</group>
      <groupName>格式问题</groupName>
      <ability>L2_HalfPunc_CN</ability>
      <abilityName>全半角问题</abilityName>
      <candidateList>
        <item>（</item>
      </candidateList>
      <explain>文本全半角错误。</explain>
      <paraID>541F0525</paraID>
      <start>31</start>
      <end>32</end>
      <status>modified</status>
      <modifiedWord>（</modifiedWord>
      <trackRevisions>false</trackRevisions>
    </reviewItem>
    <reviewItem>
      <errorID>abe9450f-ebb4-455e-ade3-7dc5084337dd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541F0525</paraID>
      <start>36</start>
      <end>37</end>
      <status>ignored</status>
      <modifiedWord/>
      <trackRevisions>false</trackRevisions>
    </reviewItem>
    <reviewItem>
      <errorID>6c1151bf-8f6d-461a-9975-0379e5c339fd</errorID>
      <errorWord>)</errorWord>
      <group>L1_Format</group>
      <groupName>格式问题</groupName>
      <ability>L2_HalfPunc_CN</ability>
      <abilityName>全半角问题</abilityName>
      <candidateList>
        <item>）</item>
      </candidateList>
      <explain>文本全半角错误。</explain>
      <paraID>541F0525</paraID>
      <start>42</start>
      <end>43</end>
      <status>modified</status>
      <modifiedWord>）</modifiedWord>
      <trackRevisions>false</trackRevisions>
    </reviewItem>
    <reviewItem>
      <errorID>4708046b-73ef-4145-a1e1-d58aac4c50ad</errorID>
      <errorWord>(</errorWord>
      <group>L1_Format</group>
      <groupName>格式问题</groupName>
      <ability>L2_HalfPunc_CN</ability>
      <abilityName>全半角问题</abilityName>
      <candidateList>
        <item>（</item>
      </candidateList>
      <explain>文本全半角错误。</explain>
      <paraID>60CC3FDD</paraID>
      <start>31</start>
      <end>32</end>
      <status>modified</status>
      <modifiedWord>（</modifiedWord>
      <trackRevisions>false</trackRevisions>
    </reviewItem>
    <reviewItem>
      <errorID>382c2ee6-9c25-4f69-be0f-74f33c58d76f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60CC3FDD</paraID>
      <start>36</start>
      <end>37</end>
      <status>ignored</status>
      <modifiedWord/>
      <trackRevisions>false</trackRevisions>
    </reviewItem>
    <reviewItem>
      <errorID>7fd3c995-32a4-4cb9-b975-96d46ec63116</errorID>
      <errorWord>)</errorWord>
      <group>L1_Format</group>
      <groupName>格式问题</groupName>
      <ability>L2_HalfPunc_CN</ability>
      <abilityName>全半角问题</abilityName>
      <candidateList>
        <item>）</item>
      </candidateList>
      <explain>文本全半角错误。</explain>
      <paraID>60CC3FDD</paraID>
      <start>42</start>
      <end>43</end>
      <status>modified</status>
      <modifiedWord>）</modifiedWord>
      <trackRevisions>false</trackRevisions>
    </reviewItem>
    <reviewItem>
      <errorID>9f696b3a-bcd4-467d-a46e-9e92d09a441d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118D1EBF</paraID>
      <start>0</start>
      <end>3</end>
      <status>ignored</status>
      <modifiedWord/>
      <trackRevisions>false</trackRevisions>
    </reviewItem>
    <reviewItem>
      <errorID>b84a4642-007b-4584-b27f-30f4eda7d89e</errorID>
      <errorWord>)</errorWord>
      <group>L1_Format</group>
      <groupName>格式问题</groupName>
      <ability>L2_HalfPunc_CN</ability>
      <abilityName>全半角问题</abilityName>
      <candidateList>
        <item>）</item>
      </candidateList>
      <explain>文本全半角错误。</explain>
      <paraID>79C75F59</paraID>
      <start>61</start>
      <end>62</end>
      <status>modified</status>
      <modifiedWord>）</modifiedWord>
      <trackRevisions>false</trackRevisions>
    </reviewItem>
    <reviewItem>
      <errorID>3f0feffc-4c50-4e4e-882b-d40bc9ee7941</errorID>
      <errorWord>[2020]28号</errorWord>
      <group>L1_Knowledge</group>
      <groupName>知识性问题</groupName>
      <ability>L2_Knowledge</ability>
      <abilityName>其他知识</abilityName>
      <candidateList>
        <item>〔2020〕28号</item>
      </candidateList>
      <explain>发文字号格式错误。</explain>
      <paraID>79C75F59</paraID>
      <start>160</start>
      <end>198</end>
      <status>ignored</status>
      <modifiedWord/>
      <trackRevisions>false</trackRevisions>
    </reviewItem>
    <reviewItem>
      <errorID>55ad60a7-1aa3-440e-b712-8ea44af90aa4</errorID>
      <errorWord>[2025]5号</errorWord>
      <group>L1_Knowledge</group>
      <groupName>知识性问题</groupName>
      <ability>L2_Knowledge</ability>
      <abilityName>其他知识</abilityName>
      <candidateList>
        <item>〔2025〕5号</item>
      </candidateList>
      <explain>发文字号格式错误。</explain>
      <paraID>79C75F59</paraID>
      <start>218</start>
      <end>255</end>
      <status>ignored</status>
      <modifiedWord/>
      <trackRevisions>false</trackRevisions>
    </reviewItem>
    <reviewItem>
      <errorID>fd269de1-c50f-44db-bfa7-2063b9b3051c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483C2C93</paraID>
      <start>0</start>
      <end>3</end>
      <status>ignored</status>
      <modifiedWord/>
      <trackRevisions>false</trackRevisions>
    </reviewItem>
    <reviewItem>
      <errorID>56ae0244-f44f-4cd9-982d-392d6a0e1cf4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680BF1CA</paraID>
      <start>0</start>
      <end>3</end>
      <status>ignored</status>
      <modifiedWord/>
      <trackRevisions>false</trackRevisions>
    </reviewItem>
    <reviewItem>
      <errorID>681efdb2-6b5f-40b8-ab87-b2fbe8c0234b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3FBFFD37</paraID>
      <start>0</start>
      <end>3</end>
      <status>ignored</status>
      <modifiedWord/>
      <trackRevisions>false</trackRevisions>
    </reviewItem>
    <reviewItem>
      <errorID>948701e9-75ee-4047-8ebc-3be2bd340e84</errorID>
      <errorWord>与</errorWord>
      <group>L1_Word</group>
      <groupName>字词问题</groupName>
      <ability>L2_Typo</ability>
      <abilityName>字词错误</abilityName>
      <candidateList>
        <item> 与</item>
      </candidateList>
      <explain/>
      <paraID>6E8E5B3B</paraID>
      <start>3</start>
      <end>4</end>
      <status>ignored</status>
      <modifiedWord/>
      <trackRevisions>false</trackRevisions>
    </reviewItem>
    <reviewItem>
      <errorID>902b657c-210d-4317-959b-b2577074b40e</errorID>
      <errorWord>磁选</errorWord>
      <group>L1_Grammar</group>
      <groupName>语法问题</groupName>
      <ability>L2_Grammar</ability>
      <abilityName>语法错误</abilityName>
      <candidateList>
        <item>未配套磁选</item>
      </candidateList>
      <explain/>
      <paraID>33EA1DAC</paraID>
      <start>87</start>
      <end>89</end>
      <status>ignored</status>
      <modifiedWord/>
      <trackRevisions>false</trackRevisions>
    </reviewItem>
    <reviewItem>
      <errorID>a4381d99-84b3-43d1-9e67-38aba3ff7adb</errorID>
      <errorWord>）</errorWord>
      <group>L1_Punc</group>
      <groupName>标点问题</groupName>
      <ability>L2_Punc_CN</ability>
      <abilityName>标点符号问题</abilityName>
      <candidateList>
        <item>）。</item>
      </candidateList>
      <explain/>
      <paraID>33EA1DAC</paraID>
      <start>129</start>
      <end>131</end>
      <status>modified</status>
      <modifiedWord>）。</modifiedWord>
      <trackRevisions>false</trackRevisions>
    </reviewItem>
    <reviewItem>
      <errorID>83ad676c-bea7-4a88-9998-7273d0baa804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6085C377</paraID>
      <start>0</start>
      <end>3</end>
      <status>ignored</status>
      <modifiedWord/>
      <trackRevisions>false</trackRevisions>
    </reviewItem>
    <reviewItem>
      <errorID>8437f25f-d18c-4273-b9f3-fc9eb4e44d62</errorID>
      <errorWord>严格防渗</errorWord>
      <group>L1_Grammar</group>
      <groupName>语法问题</groupName>
      <ability>L2_Grammar</ability>
      <abilityName>语法错误</abilityName>
      <candidateList>
        <item>采取严格的防渗</item>
      </candidateList>
      <explain/>
      <paraID>43B93DA6</paraID>
      <start>48</start>
      <end>52</end>
      <status>ignored</status>
      <modifiedWord/>
      <trackRevisions>false</trackRevisions>
    </reviewItem>
    <reviewItem>
      <errorID>5beafe9a-58eb-450a-8695-16d036390c7c</errorID>
      <errorWord>或采取</errorWord>
      <group>L1_Grammar</group>
      <groupName>语法问题</groupName>
      <ability>L2_Grammar</ability>
      <abilityName>语法错误</abilityName>
      <candidateList>
        <item>或</item>
      </candidateList>
      <explain/>
      <paraID>43B93DA6</paraID>
      <start>54</start>
      <end>57</end>
      <status>ignored</status>
      <modifiedWord/>
      <trackRevisions>false</trackRevisions>
    </reviewItem>
    <reviewItem>
      <errorID>88a569e2-0b1a-4b89-a203-1f6b74d4d4a1</errorID>
      <errorWord>邻水</errorWord>
      <group>L1_Word</group>
      <groupName>字词问题</groupName>
      <ability>L2_Typo</ability>
      <abilityName>字词错误</abilityName>
      <candidateList>
        <item>临水</item>
      </candidateList>
      <explain>存在发音相同字词的误用。</explain>
      <paraID>4E56A5A9</paraID>
      <start>4</start>
      <end>6</end>
      <status>ignored</status>
      <modifiedWord/>
      <trackRevisions>false</trackRevisions>
    </reviewItem>
    <reviewItem>
      <errorID>5e7a5ab8-b020-48eb-940d-397796b52c25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40289F5</paraID>
      <start>0</start>
      <end>2</end>
      <status>ignored</status>
      <modifiedWord/>
      <trackRevisions>false</trackRevisions>
    </reviewItem>
    <reviewItem>
      <errorID>de9398e6-a635-4e8f-8983-a6cfa84d8c37</errorID>
      <errorWord>，</errorWord>
      <group>L1_Punc</group>
      <groupName>标点问题</groupName>
      <ability>L2_Punc_CN</ability>
      <abilityName>标点符号问题</abilityName>
      <candidateList>
        <item>。</item>
      </candidateList>
      <explain/>
      <paraID> 40289F5</paraID>
      <start>28</start>
      <end>29</end>
      <status>modified</status>
      <modifiedWord>。</modifiedWord>
      <trackRevisions>false</trackRevisions>
    </reviewItem>
    <reviewItem>
      <errorID>a4455945-28af-4238-9b6a-23a4f14883c1</errorID>
      <errorWord>2、3、4、5、6</errorWord>
      <group>L1_Format</group>
      <groupName>格式问题</groupName>
      <ability>L2_Ordinal</ability>
      <abilityName>序号格式</abilityName>
      <candidateList>
        <item>2.3.4.5.6</item>
      </candidateList>
      <explain>标题顺序错误，请检查标题顺序是否合理。</explain>
      <paraID> 40289F5</paraID>
      <start>110</start>
      <end>119</end>
      <status>ignored</status>
      <modifiedWord/>
      <trackRevisions>false</trackRevisions>
    </reviewItem>
    <reviewItem>
      <errorID>bcc96fd0-19b0-44de-a6e9-361e95d5ee71</errorID>
      <errorWord>符 合</errorWord>
      <group>L1_Word</group>
      <groupName>字词问题</groupName>
      <ability>L2_Typo</ability>
      <abilityName>字词错误</abilityName>
      <candidateList>
        <item>符合</item>
      </candidateList>
      <explain/>
      <paraID>41753860</paraID>
      <start>0</start>
      <end>2</end>
      <status>modified</status>
      <modifiedWord>符合</modifiedWord>
      <trackRevisions>false</trackRevisions>
    </reviewItem>
    <reviewItem>
      <errorID>653d97a6-5b00-4a3a-9797-d6e8b2aa45c7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44F87279</paraID>
      <start>0</start>
      <end>2</end>
      <status>ignored</status>
      <modifiedWord/>
      <trackRevisions>false</trackRevisions>
    </reviewItem>
    <reviewItem>
      <errorID>40f9272e-737a-4540-87b8-16f966643a97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43016EE9</paraID>
      <start>0</start>
      <end>2</end>
      <status>ignored</status>
      <modifiedWord/>
      <trackRevisions>false</trackRevisions>
    </reviewItem>
    <reviewItem>
      <errorID>438d2816-6884-4edb-93fe-3f0a1ae0618f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6ADC9CD9</paraID>
      <start>0</start>
      <end>2</end>
      <status>ignored</status>
      <modifiedWord/>
      <trackRevisions>false</trackRevisions>
    </reviewItem>
    <reviewItem>
      <errorID>69010121-f57f-4ca9-a59c-feac82f4ed25</errorID>
      <errorWord>目针对</errorWord>
      <group>L1_Word</group>
      <groupName>字词问题</groupName>
      <ability>L2_Typo</ability>
      <abilityName>字词错误</abilityName>
      <candidateList>
        <item>针对</item>
      </candidateList>
      <explain/>
      <paraID>7F58CE4C</paraID>
      <start>0</start>
      <end>3</end>
      <status>ignored</status>
      <modifiedWord/>
      <trackRevisions>false</trackRevisions>
    </reviewItem>
    <reviewItem>
      <errorID>3b27c31c-b1e6-4e9e-9e1e-edfd08e34927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55AEAEDE</paraID>
      <start>0</start>
      <end>2</end>
      <status>ignored</status>
      <modifiedWord/>
      <trackRevisions>false</trackRevisions>
    </reviewItem>
    <reviewItem>
      <errorID>f2685313-3812-44e8-9cd5-f4f08d0f7a7f</errorID>
      <errorWord>与</errorWord>
      <group>L1_Punc</group>
      <groupName>标点问题</groupName>
      <ability>L2_Punc_CN</ability>
      <abilityName>标点符号问题</abilityName>
      <candidateList>
        <item>，与</item>
      </candidateList>
      <explain/>
      <paraID>55AEAEDE</paraID>
      <start>27</start>
      <end>29</end>
      <status>modified</status>
      <modifiedWord>，与</modifiedWord>
      <trackRevisions>false</trackRevisions>
    </reviewItem>
    <reviewItem>
      <errorID>9630018b-78f1-45bb-8526-59cfd810f82e</errorID>
      <errorWord>上线</errorWord>
      <group>L1_Word</group>
      <groupName>字词问题</groupName>
      <ability>L2_Typo</ability>
      <abilityName>字词错误</abilityName>
      <candidateList>
        <item>上限</item>
      </candidateList>
      <explain/>
      <paraID>76B384DC</paraID>
      <start>31</start>
      <end>33</end>
      <status>ignored</status>
      <modifiedWord/>
      <trackRevisions>false</trackRevisions>
    </reviewItem>
    <reviewItem>
      <errorID>4136c535-c4ff-4fbb-9eea-4b09c52a785a</errorID>
      <errorWord>[2023]723号</errorWord>
      <group>L1_Knowledge</group>
      <groupName>知识性问题</groupName>
      <ability>L2_Knowledge</ability>
      <abilityName>其他知识</abilityName>
      <candidateList>
        <item>〔2023〕723号</item>
      </candidateList>
      <explain>发文字号格式错误。</explain>
      <paraID>3D779499</paraID>
      <start>100</start>
      <end>139</end>
      <status>ignored</status>
      <modifiedWord/>
      <trackRevisions>false</trackRevisions>
    </reviewItem>
    <reviewItem>
      <errorID>b5b6dfc0-8919-4abc-a750-9c9abf2342f3</errorID>
      <errorWord>[2019]373号</errorWord>
      <group>L1_Knowledge</group>
      <groupName>知识性问题</groupName>
      <ability>L2_Knowledge</ability>
      <abilityName>其他知识</abilityName>
      <candidateList>
        <item>〔2019〕373号</item>
      </candidateList>
      <explain>发文字号格式错误。</explain>
      <paraID>3D779499</paraID>
      <start>169</start>
      <end>208</end>
      <status>ignored</status>
      <modifiedWord/>
      <trackRevisions>false</trackRevisions>
    </reviewItem>
    <reviewItem>
      <errorID>565961eb-42fd-4338-b900-6dfb307375fc</errorID>
      <errorWord>符 合</errorWord>
      <group>L1_Word</group>
      <groupName>字词问题</groupName>
      <ability>L2_Typo</ability>
      <abilityName>字词错误</abilityName>
      <candidateList>
        <item>符合</item>
      </candidateList>
      <explain/>
      <paraID> 6A13D9F</paraID>
      <start>0</start>
      <end>2</end>
      <status>modified</status>
      <modifiedWord>符合</modifiedWord>
      <trackRevisions>false</trackRevisions>
    </reviewItem>
    <reviewItem>
      <errorID>bcd48ed4-036d-4e2e-b935-c1e971202b22</errorID>
      <errorWord>《河北迁安经济开发区总体规划》（2022—2030年）</errorWord>
      <group>L1_Knowledge</group>
      <groupName>知识性问题</groupName>
      <ability>L2_Knowledge</ability>
      <abilityName>其他知识</abilityName>
      <candidateList>
        <item>《河北迁安经济开发区总体规划（2022—2030年）》</item>
      </candidateList>
      <explain>疑似政策文件、法律法规名称等书写不规范，请注意检查。</explain>
      <paraID>687CF3FB</paraID>
      <start>112</start>
      <end>139</end>
      <status>ignored</status>
      <modifiedWord/>
      <trackRevisions>false</trackRevisions>
    </reviewItem>
    <reviewItem>
      <errorID>64999698-f972-4784-b041-1608f3cf01fb</errorID>
      <errorWord>，</errorWord>
      <group>L1_Word</group>
      <groupName>字词问题</groupName>
      <ability>L2_Typo</ability>
      <abilityName>字词错误</abilityName>
      <candidateList>
        <item>，在</item>
      </candidateList>
      <explain/>
      <paraID>321B05C3</paraID>
      <start>30</start>
      <end>32</end>
      <status>modified</status>
      <modifiedWord>，在</modifiedWord>
      <trackRevisions>false</trackRevisions>
    </reviewItem>
    <reviewItem>
      <errorID>22a5333e-6c6d-4d26-80ff-9a0986048b4e</errorID>
      <errorWord>[2025] 1283号</errorWord>
      <group>L1_Knowledge</group>
      <groupName>知识性问题</groupName>
      <ability>L2_Knowledge</ability>
      <abilityName>其他知识</abilityName>
      <candidateList>
        <item>〔2025〕1283号</item>
      </candidateList>
      <explain>发文字号格式错误。</explain>
      <paraID>386772EA</paraID>
      <start>52</start>
      <end>93</end>
      <status>ignored</status>
      <modifiedWord/>
      <trackRevisions>false</trackRevisions>
    </reviewItem>
    <reviewItem>
      <errorID>66d71189-85c5-41f7-89e5-dcadcacbf6d8</errorID>
      <errorWord>衔</errorWord>
      <group>L1_Word</group>
      <groupName>字词问题</groupName>
      <ability>L2_Typo</ability>
      <abilityName>字词错误</abilityName>
      <candidateList>
        <item>衔接</item>
      </candidateList>
      <explain/>
      <paraID>37FE838A</paraID>
      <start>62</start>
      <end>63</end>
      <status>ignored</status>
      <modifiedWord/>
      <trackRevisions>false</trackRevisions>
    </reviewItem>
    <reviewItem>
      <errorID>2532a53e-ed59-4f46-b63c-db0771926601</errorID>
      <errorWord>。</errorWord>
      <group>L1_Punc</group>
      <groupName>标点问题</groupName>
      <ability>L2_Punc_CN</ability>
      <abilityName>标点符号问题</abilityName>
      <candidateList>
        <item>，</item>
      </candidateList>
      <explain/>
      <paraID>5436A702</paraID>
      <start>103</start>
      <end>104</end>
      <status>modified</status>
      <modifiedWord>，</modifiedWord>
      <trackRevisions>false</trackRevisions>
    </reviewItem>
    <reviewItem>
      <errorID>a47f286b-60d1-48ae-a57f-358e6620b202</errorID>
      <errorWord>措施</errorWord>
      <group>L1_Punc</group>
      <groupName>标点问题</groupName>
      <ability>L2_Punc_CN</ability>
      <abilityName>标点符号问题</abilityName>
      <candidateList>
        <item>措施。</item>
      </candidateList>
      <explain/>
      <paraID>6308670D</paraID>
      <start>14</start>
      <end>17</end>
      <status>modified</status>
      <modifiedWord>措施。</modifiedWord>
      <trackRevisions>false</trackRevisions>
    </reviewItem>
    <reviewItem>
      <errorID>835729cd-7bc1-4a85-8651-9e01a2e13c46</errorID>
      <errorWord>目</errorWord>
      <group>L1_Word</group>
      <groupName>字词问题</groupName>
      <ability>L2_Typo</ability>
      <abilityName>字词错误</abilityName>
      <candidateList>
        <item>目在</item>
      </candidateList>
      <explain/>
      <paraID>53841D1D</paraID>
      <start>1</start>
      <end>2</end>
      <status>ignored</status>
      <modifiedWord/>
      <trackRevisions>false</trackRevisions>
    </reviewItem>
    <reviewItem>
      <errorID>2407f374-f6c4-4c16-8beb-6abeebe88e44</errorID>
      <errorWord>河北</errorWord>
      <group>L1_Grammar</group>
      <groupName>语法问题</groupName>
      <ability>L2_Grammar</ability>
      <abilityName>语法错误</abilityName>
      <candidateList>
        <item>位于河北</item>
      </candidateList>
      <explain/>
      <paraID>53841D1D</paraID>
      <start>2</start>
      <end>6</end>
      <status>modified</status>
      <modifiedWord>位于河北</modifiedWord>
      <trackRevisions>false</trackRevisions>
    </reviewItem>
    <reviewItem>
      <errorID>72782d21-7526-4abf-b3a4-079b6913d98c</errorID>
      <errorWord>安全</errorWord>
      <group>L1_Punc</group>
      <groupName>标点问题</groupName>
      <ability>L2_Punc_CN</ability>
      <abilityName>标点符号问题</abilityName>
      <candidateList>
        <item>安全。</item>
      </candidateList>
      <explain/>
      <paraID>53841D1D</paraID>
      <start>60</start>
      <end>63</end>
      <status>modified</status>
      <modifiedWord>安全。</modifiedWord>
      <trackRevisions>false</trackRevisions>
    </reviewItem>
    <reviewItem>
      <errorID>989cbb13-5fcd-4105-b0f5-5c2133dcd78f</errorID>
      <errorWord>生</errorWord>
      <group>L1_Word</group>
      <groupName>字词问题</groupName>
      <ability>L2_Typo</ability>
      <abilityName>字词错误</abilityName>
      <candidateList>
        <item>生产</item>
      </candidateList>
      <explain/>
      <paraID>3931CAAE</paraID>
      <start>128</start>
      <end>129</end>
      <status>ignored</status>
      <modifiedWord/>
      <trackRevisions>false</trackRevisions>
    </reviewItem>
    <reviewItem>
      <errorID>fd51eed9-accd-44bc-87a6-76120730d7c1</errorID>
      <errorWord>项目位于</errorWord>
      <group>L1_Grammar</group>
      <groupName>语法问题</groupName>
      <ability>L2_Grammar</ability>
      <abilityName>语法错误</abilityName>
      <candidateList>
        <item>项目</item>
      </candidateList>
      <explain/>
      <paraID>4ECBA93D</paraID>
      <start>0</start>
      <end>2</end>
      <status>modified</status>
      <modifiedWord>项目</modifiedWord>
      <trackRevisions>false</trackRevisions>
    </reviewItem>
    <reviewItem>
      <errorID>e390dadb-d784-4f5f-b417-a3b92c0f1850</errorID>
      <errorWord>[2025] 1283号</errorWord>
      <group>L1_Knowledge</group>
      <groupName>知识性问题</groupName>
      <ability>L2_Knowledge</ability>
      <abilityName>其他知识</abilityName>
      <candidateList>
        <item>〔2025〕1283号</item>
      </candidateList>
      <explain>发文字号格式错误。</explain>
      <paraID> 9E3A6F9</paraID>
      <start>60</start>
      <end>102</end>
      <status>ignored</status>
      <modifiedWord/>
      <trackRevisions>false</trackRevisions>
    </reviewItem>
    <reviewItem>
      <errorID>a84e7bb4-2147-45ec-b377-3ad1ecb5850a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6CC845DD</paraID>
      <start>0</start>
      <end>2</end>
      <status>ignored</status>
      <modifiedWord/>
      <trackRevisions>false</trackRevisions>
    </reviewItem>
    <reviewItem>
      <errorID>762584bd-9ef1-4cf7-9351-6153519ed548</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13459FD6</paraID>
      <start>58</start>
      <end>66</end>
      <status>ignored</status>
      <modifiedWord/>
      <trackRevisions>false</trackRevisions>
    </reviewItem>
    <reviewItem>
      <errorID>dbc7317b-7a29-4052-9edf-35486c2a431d</errorID>
      <errorWord>[2026]61号</errorWord>
      <group>L1_Knowledge</group>
      <groupName>知识性问题</groupName>
      <ability>L2_Knowledge</ability>
      <abilityName>其他知识</abilityName>
      <candidateList>
        <item>〔2026〕61号</item>
      </candidateList>
      <explain>发文字号格式错误。</explain>
      <paraID>13459FD6</paraID>
      <start>251</start>
      <end>290</end>
      <status>ignored</status>
      <modifiedWord/>
      <trackRevisions>false</trackRevisions>
    </reviewItem>
    <reviewItem>
      <errorID>f3a7cd8b-1acd-4888-8323-bfc8b397cf3b</errorID>
      <errorWord>生态红线</errorWord>
      <group>L1_Political</group>
      <groupName>政治性问题</groupName>
      <ability>L2_Unpolitical</ability>
      <abilityName>政治敏感错误</abilityName>
      <candidateList>
        <item>生态保护红线</item>
      </candidateList>
      <explain/>
      <paraID>2D5041A8</paraID>
      <start>132</start>
      <end>138</end>
      <status>modified</status>
      <modifiedWord>生态保护红线</modifiedWord>
      <trackRevisions>false</trackRevisions>
    </reviewItem>
    <reviewItem>
      <errorID>4b688173-840b-4d8a-b2be-18af6ff45aa1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75CACABF</paraID>
      <start>0</start>
      <end>3</end>
      <status>ignored</status>
      <modifiedWord/>
      <trackRevisions>false</trackRevisions>
    </reviewItem>
    <reviewItem>
      <errorID>e9d7f24e-bd90-4fdd-b519-47ea6f5b1724</errorID>
      <errorWord>《迁安市国土空间总体规划》（2021—2035年）</errorWord>
      <group>L1_Knowledge</group>
      <groupName>知识性问题</groupName>
      <ability>L2_Knowledge</ability>
      <abilityName>其他知识</abilityName>
      <candidateList>
        <item>《迁安市国土空间总体规划（2021—2035年）》</item>
      </candidateList>
      <explain>疑似政策文件、法律法规名称等书写不规范，请注意检查。</explain>
      <paraID>27BDACE0</paraID>
      <start>2</start>
      <end>27</end>
      <status>ignored</status>
      <modifiedWord/>
      <trackRevisions>false</trackRevisions>
    </reviewItem>
    <reviewItem>
      <errorID>05c771b1-d5be-4fc1-b23b-9273d4affbe1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1B266282</paraID>
      <start>0</start>
      <end>3</end>
      <status>ignored</status>
      <modifiedWord/>
      <trackRevisions>false</trackRevisions>
    </reviewItem>
    <reviewItem>
      <errorID>ac810122-884d-4001-a1a2-26253adf0e61</errorID>
      <errorWord>[2020]71号</errorWord>
      <group>L1_Knowledge</group>
      <groupName>知识性问题</groupName>
      <ability>L2_Knowledge</ability>
      <abilityName>其他知识</abilityName>
      <candidateList>
        <item>〔2020〕71号</item>
      </candidateList>
      <explain>发文字号格式错误。</explain>
      <paraID>7A809E58</paraID>
      <start>37</start>
      <end>46</end>
      <status>ignored</status>
      <modifiedWord/>
      <trackRevisions>false</trackRevisions>
    </reviewItem>
    <reviewItem>
      <errorID>ffea3fe5-ec77-40ba-859f-cbc29983ea52</errorID>
      <errorWord>[2020]71号</errorWord>
      <group>L1_Knowledge</group>
      <groupName>知识性问题</groupName>
      <ability>L2_Knowledge</ability>
      <abilityName>其他知识</abilityName>
      <candidateList>
        <item>〔2020〕71号</item>
      </candidateList>
      <explain>发文字号格式错误。</explain>
      <paraID>142F2633</paraID>
      <start>38</start>
      <end>47</end>
      <status>ignored</status>
      <modifiedWord/>
      <trackRevisions>false</trackRevisions>
    </reviewItem>
    <reviewItem>
      <errorID>4e6eec97-b90d-42e7-a633-3ae046d81e2f</errorID>
      <errorWord>实施</errorWord>
      <group>L1_Punc</group>
      <groupName>标点问题</groupName>
      <ability>L2_Punc_CN</ability>
      <abilityName>标点符号问题</abilityName>
      <candidateList>
        <item>实施。</item>
      </candidateList>
      <explain/>
      <paraID>291D0318</paraID>
      <start>39</start>
      <end>42</end>
      <status>modified</status>
      <modifiedWord>实施。</modifiedWord>
      <trackRevisions>false</trackRevisions>
    </reviewItem>
    <reviewItem>
      <errorID>fe18e7b2-bfac-4bfd-a156-368437f952d5</errorID>
      <errorWord>近岸海域优良海水比例</errorWord>
      <group>L1_Political</group>
      <groupName>政治性问题</groupName>
      <ability>L2_Keyword</ability>
      <abilityName>固定表述</abilityName>
      <candidateList>
        <item>近岸海域优良水质比例</item>
      </candidateList>
      <explain>词汇“近岸海域优良水质比例”在特定场景下为固定表述形式，请确认此处的“近岸海域优良海水比例”是否存在不当。</explain>
      <paraID>2D09301A</paraID>
      <start>25</start>
      <end>35</end>
      <status>ignored</status>
      <modifiedWord/>
      <trackRevisions>false</trackRevisions>
    </reviewItem>
    <reviewItem>
      <errorID>c6a31a5d-5256-4538-9faa-13375e5642ea</errorID>
      <errorWord>生态空间分区管控</errorWord>
      <group>L1_Political</group>
      <groupName>政治性问题</groupName>
      <ability>L2_Keyword</ability>
      <abilityName>固定表述</abilityName>
      <candidateList>
        <item>生态环境分区管控</item>
      </candidateList>
      <explain>词汇“生态环境分区管控”在特定场景下为固定表述形式，请确认此处的“生态空间分区管控”是否存在不当。</explain>
      <paraID>2973B203</paraID>
      <start>36</start>
      <end>44</end>
      <status>ignored</status>
      <modifiedWord/>
      <trackRevisions>false</trackRevisions>
    </reviewItem>
    <reviewItem>
      <errorID>4c3a9287-09e0-476e-ae9e-0d22579b1f2e</errorID>
      <errorWord>--</errorWord>
      <group>L1_Punc</group>
      <groupName>标点问题</groupName>
      <ability>L2_Punc_CN</ability>
      <abilityName>标点符号问题</abilityName>
      <candidateList>
        <item>—</item>
      </candidateList>
      <explain/>
      <paraID>2973B203</paraID>
      <start>59</start>
      <end>61</end>
      <status>ignored</status>
      <modifiedWord/>
      <trackRevisions>false</trackRevisions>
    </reviewItem>
    <reviewItem>
      <errorID>e61c6b9d-9065-4f81-ae07-04d4bb9fd625</errorID>
      <errorWord>：</errorWord>
      <group>L1_Punc</group>
      <groupName>标点问题</groupName>
      <ability>L2_Punc_CN</ability>
      <abilityName>标点符号问题</abilityName>
      <candidateList>
        <item>。</item>
      </candidateList>
      <explain/>
      <paraID>2973B203</paraID>
      <start>74</start>
      <end>75</end>
      <status>modified</status>
      <modifiedWord>。</modifiedWord>
      <trackRevisions>false</trackRevisions>
    </reviewItem>
    <reviewItem>
      <errorID>31372411-8272-4a7e-afd5-22aa00fa1fc1</errorID>
      <errorWord>：</errorWord>
      <group>L1_Punc</group>
      <groupName>标点问题</groupName>
      <ability>L2_Punc_CN</ability>
      <abilityName>标点符号问题</abilityName>
      <candidateList>
        <item>。</item>
      </candidateList>
      <explain/>
      <paraID>2973B203</paraID>
      <start>110</start>
      <end>111</end>
      <status>modified</status>
      <modifiedWord>。</modifiedWord>
      <trackRevisions>false</trackRevisions>
    </reviewItem>
    <reviewItem>
      <errorID>508fc251-6933-4aec-9208-3a4c144e5a05</errorID>
      <errorWord>；</errorWord>
      <group>L1_Punc</group>
      <groupName>标点问题</groupName>
      <ability>L2_Punc_CN</ability>
      <abilityName>标点符号问题</abilityName>
      <candidateList>
        <item>。</item>
      </candidateList>
      <explain/>
      <paraID>2973B203</paraID>
      <start>151</start>
      <end>152</end>
      <status>modified</status>
      <modifiedWord>。</modifiedWord>
      <trackRevisions>false</trackRevisions>
    </reviewItem>
    <reviewItem>
      <errorID>949b45a6-b7a8-467c-93bb-40898e1588dc</errorID>
      <errorWord>：</errorWord>
      <group>L1_Punc</group>
      <groupName>标点问题</groupName>
      <ability>L2_Punc_CN</ability>
      <abilityName>标点符号问题</abilityName>
      <candidateList>
        <item>。</item>
      </candidateList>
      <explain/>
      <paraID>2973B203</paraID>
      <start>186</start>
      <end>187</end>
      <status>modified</status>
      <modifiedWord>。</modifiedWord>
      <trackRevisions>false</trackRevisions>
    </reviewItem>
    <reviewItem>
      <errorID>6ffaae9e-360e-46b2-99b2-3dc107fcc98c</errorID>
      <errorWord>：</errorWord>
      <group>L1_Punc</group>
      <groupName>标点问题</groupName>
      <ability>L2_Punc_CN</ability>
      <abilityName>标点符号问题</abilityName>
      <candidateList>
        <item>。</item>
      </candidateList>
      <explain/>
      <paraID>62060ED4</paraID>
      <start>120</start>
      <end>121</end>
      <status>modified</status>
      <modifiedWord>。</modifiedWord>
      <trackRevisions>false</trackRevisions>
    </reviewItem>
    <reviewItem>
      <errorID>f8183a90-47c1-41b7-85c2-30b167d7c739</errorID>
      <errorWord>：</errorWord>
      <group>L1_Punc</group>
      <groupName>标点问题</groupName>
      <ability>L2_Punc_CN</ability>
      <abilityName>标点符号问题</abilityName>
      <candidateList>
        <item>。</item>
      </candidateList>
      <explain/>
      <paraID>62060ED4</paraID>
      <start>167</start>
      <end>168</end>
      <status>modified</status>
      <modifiedWord>。</modifiedWord>
      <trackRevisions>false</trackRevisions>
    </reviewItem>
    <reviewItem>
      <errorID>eca5c03a-dce6-4f26-917d-e47abeafcef7</errorID>
      <errorWord>和建设</errorWord>
      <group>L1_Word</group>
      <groupName>字词问题</groupName>
      <ability>L2_Typo</ability>
      <abilityName>字词错误</abilityName>
      <candidateList>
        <item>建设和</item>
      </candidateList>
      <explain/>
      <paraID>2713E814</paraID>
      <start>34</start>
      <end>37</end>
      <status>ignored</status>
      <modifiedWord/>
      <trackRevisions>false</trackRevisions>
    </reviewItem>
    <reviewItem>
      <errorID>c6981a79-7573-4e2b-bcbc-58dacdb12e7a</errorID>
      <errorWord>控近岸</errorWord>
      <group>L1_Word</group>
      <groupName>字词问题</groupName>
      <ability>L2_Typo</ability>
      <abilityName>字词错误</abilityName>
      <candidateList>
        <item>近岸</item>
      </candidateList>
      <explain/>
      <paraID> 14F27D5</paraID>
      <start>278</start>
      <end>281</end>
      <status>ignored</status>
      <modifiedWord/>
      <trackRevisions>false</trackRevisions>
    </reviewItem>
    <reviewItem>
      <errorID>62ad7a62-09fe-44c9-9cb0-b5da0e21003c</errorID>
      <errorWord>；</errorWord>
      <group>L1_Punc</group>
      <groupName>标点问题</groupName>
      <ability>L2_Punc_CN</ability>
      <abilityName>标点符号问题</abilityName>
      <candidateList>
        <item>。</item>
      </candidateList>
      <explain/>
      <paraID> 14F27D5</paraID>
      <start>304</start>
      <end>305</end>
      <status>modified</status>
      <modifiedWord>。</modifiedWord>
      <trackRevisions>false</trackRevisions>
    </reviewItem>
    <reviewItem>
      <errorID>5e462125-faf3-4cd2-9d87-3f0674c8a7b3</errorID>
      <errorWord>：</errorWord>
      <group>L1_Punc</group>
      <groupName>标点问题</groupName>
      <ability>L2_Punc_CN</ability>
      <abilityName>标点符号问题</abilityName>
      <candidateList>
        <item>。</item>
      </candidateList>
      <explain/>
      <paraID> 14F27D5</paraID>
      <start>313</start>
      <end>314</end>
      <status>modified</status>
      <modifiedWord>。</modifiedWord>
      <trackRevisions>false</trackRevisions>
    </reviewItem>
    <reviewItem>
      <errorID>22ea8b78-b3a3-466b-a2a2-c8e5be65a305</errorID>
      <errorWord>主要包括以生态环境保护为主</errorWord>
      <group>L1_Grammar</group>
      <groupName>语法问题</groupName>
      <ability>L2_Grammar</ability>
      <abilityName>语法错误</abilityName>
      <candidateList>
        <item>包括以生态环境保护为主</item>
      </candidateList>
      <explain>该表达中的“主要包括以生态环境保护为主”存在语义重复。</explain>
      <paraID>1595981A</paraID>
      <start>7</start>
      <end>20</end>
      <status>ignored</status>
      <modifiedWord/>
      <trackRevisions>false</trackRevisions>
    </reviewItem>
    <reviewItem>
      <errorID>41e5e512-20d9-4088-8245-5d73b699b1fc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67A4054F</paraID>
      <start>0</start>
      <end>3</end>
      <status>ignored</status>
      <modifiedWord/>
      <trackRevisions>false</trackRevisions>
    </reviewItem>
    <reviewItem>
      <errorID>83b1caff-9eb3-46d4-9867-dc3bcbd7e8ad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8241BB7</paraID>
      <start>0</start>
      <end>3</end>
      <status>ignored</status>
      <modifiedWord/>
      <trackRevisions>false</trackRevisions>
    </reviewItem>
    <reviewItem>
      <errorID>50a64a58-a27e-41a2-a938-8fa591f52e71</errorID>
      <errorWord>原住居民</errorWord>
      <group>L1_Sensitive</group>
      <groupName>敏感问题</groupName>
      <ability>L2_Violent</ability>
      <abilityName>暴恐词条</abilityName>
      <candidateList/>
      <explain>【暴恐词条】句中包含暴恐类敏感词条，请注意甄别。</explain>
      <paraID> 8241BB7</paraID>
      <start>3</start>
      <end>7</end>
      <status>ignored</status>
      <modifiedWord/>
      <trackRevisions>false</trackRevisions>
    </reviewItem>
    <reviewItem>
      <errorID>14c2496b-826f-4eed-8a8c-e86e26cf0915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2006FED7</paraID>
      <start>0</start>
      <end>3</end>
      <status>ignored</status>
      <modifiedWord/>
      <trackRevisions>false</trackRevisions>
    </reviewItem>
    <reviewItem>
      <errorID>9ce4dcdc-3057-4267-aa4b-5e0f6085c27d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4D786688</paraID>
      <start>0</start>
      <end>3</end>
      <status>ignored</status>
      <modifiedWord/>
      <trackRevisions>false</trackRevisions>
    </reviewItem>
    <reviewItem>
      <errorID>7bc54f2a-ad4f-48f8-a4fb-7b8a6e7addfb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76C0EBCB</paraID>
      <start>0</start>
      <end>3</end>
      <status>ignored</status>
      <modifiedWord/>
      <trackRevisions>false</trackRevisions>
    </reviewItem>
    <reviewItem>
      <errorID>2509b88e-9eaf-4610-a880-666c4e3fdbad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7F625DCA</paraID>
      <start>0</start>
      <end>3</end>
      <status>ignored</status>
      <modifiedWord/>
      <trackRevisions>false</trackRevisions>
    </reviewItem>
    <reviewItem>
      <errorID>4b98ceca-3e98-4889-8e92-49cfb663b030</errorID>
      <errorWord>通讯</errorWord>
      <group>L1_Word</group>
      <groupName>字词问题</groupName>
      <ability>L2_Typo</ability>
      <abilityName>字词错误</abilityName>
      <candidateList>
        <item>通信</item>
      </candidateList>
      <explain/>
      <paraID>7F625DCA</paraID>
      <start>31</start>
      <end>33</end>
      <status>ignored</status>
      <modifiedWord/>
      <trackRevisions>false</trackRevisions>
    </reviewItem>
    <reviewItem>
      <errorID>08d663eb-2d18-430e-9ff3-bbcd248959c0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6B9C699A</paraID>
      <start>0</start>
      <end>3</end>
      <status>ignored</status>
      <modifiedWord/>
      <trackRevisions>false</trackRevisions>
    </reviewItem>
    <reviewItem>
      <errorID>e6cabaa6-7c74-4fd4-9a45-49fcbe85d344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63FB506B</paraID>
      <start>0</start>
      <end>3</end>
      <status>ignored</status>
      <modifiedWord/>
      <trackRevisions>false</trackRevisions>
    </reviewItem>
    <reviewItem>
      <errorID>9bb03f94-5317-44dc-bff3-c6ea6d0ad943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6326EF98</paraID>
      <start>0</start>
      <end>3</end>
      <status>ignored</status>
      <modifiedWord/>
      <trackRevisions>false</trackRevisions>
    </reviewItem>
    <reviewItem>
      <errorID>2004206d-b957-482d-aada-e31ce68b0807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564EFC79</paraID>
      <start>0</start>
      <end>4</end>
      <status>ignored</status>
      <modifiedWord/>
      <trackRevisions>false</trackRevisions>
    </reviewItem>
    <reviewItem>
      <errorID>7a786399-216b-48ca-a2ca-b65207eded3f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66F13B4C</paraID>
      <start>0</start>
      <end>2</end>
      <status>ignored</status>
      <modifiedWord/>
      <trackRevisions>false</trackRevisions>
    </reviewItem>
    <reviewItem>
      <errorID>38035b6e-4141-45cc-ad7d-d3322e9c72d7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788EC38E</paraID>
      <start>0</start>
      <end>2</end>
      <status>ignored</status>
      <modifiedWord/>
      <trackRevisions>false</trackRevisions>
    </reviewItem>
    <reviewItem>
      <errorID>aa17ca77-85b3-486e-a2f9-af0dd57a815f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12958B0E</paraID>
      <start>0</start>
      <end>2</end>
      <status>ignored</status>
      <modifiedWord/>
      <trackRevisions>false</trackRevisions>
    </reviewItem>
    <reviewItem>
      <errorID>a202e919-95ee-423f-8715-1a3a5313e90d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3FBFEEB5</paraID>
      <start>0</start>
      <end>2</end>
      <status>ignored</status>
      <modifiedWord/>
      <trackRevisions>false</trackRevisions>
    </reviewItem>
    <reviewItem>
      <errorID>9ac6b437-dec4-4637-b6eb-c22e5841f055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125634E7</paraID>
      <start>0</start>
      <end>2</end>
      <status>ignored</status>
      <modifiedWord/>
      <trackRevisions>false</trackRevisions>
    </reviewItem>
    <reviewItem>
      <errorID>39fe6d9f-1a30-40c0-9e76-edfa69b521f4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4A371005</paraID>
      <start>0</start>
      <end>2</end>
      <status>ignored</status>
      <modifiedWord/>
      <trackRevisions>false</trackRevisions>
    </reviewItem>
    <reviewItem>
      <errorID>e59f5025-7f15-4b1f-838f-a795b12a1c0a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6BE4653F</paraID>
      <start>0</start>
      <end>2</end>
      <status>ignored</status>
      <modifiedWord/>
      <trackRevisions>false</trackRevisions>
    </reviewItem>
    <reviewItem>
      <errorID>6a99d8b4-03cd-4a26-a35e-bba171504d77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54EFAD94</paraID>
      <start>0</start>
      <end>2</end>
      <status>ignored</status>
      <modifiedWord/>
      <trackRevisions>false</trackRevisions>
    </reviewItem>
    <reviewItem>
      <errorID>64d2e424-40f5-4545-bf8c-393cbbc13486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39633FEC</paraID>
      <start>0</start>
      <end>2</end>
      <status>ignored</status>
      <modifiedWord/>
      <trackRevisions>false</trackRevisions>
    </reviewItem>
    <reviewItem>
      <errorID>d2055d05-08a2-47fe-900c-1fc846022eab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16A5FC52</paraID>
      <start>0</start>
      <end>2</end>
      <status>ignored</status>
      <modifiedWord/>
      <trackRevisions>false</trackRevisions>
    </reviewItem>
    <reviewItem>
      <errorID>bbebd509-8022-42f4-9123-1ee327a9a56d</errorID>
      <errorWord>法律、法规</errorWord>
      <group>L1_Word</group>
      <groupName>字词问题</groupName>
      <ability>L2_Typo</ability>
      <abilityName>字词错误</abilityName>
      <candidateList>
        <item>法律法规</item>
      </candidateList>
      <explain/>
      <paraID>16A5FC52</paraID>
      <start>63</start>
      <end>67</end>
      <status>modified</status>
      <modifiedWord>法律法规</modifiedWord>
      <trackRevisions>false</trackRevisions>
    </reviewItem>
    <reviewItem>
      <errorID>848f509d-3580-4118-bbe5-524c9fa12e49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111970E6</paraID>
      <start>0</start>
      <end>2</end>
      <status>ignored</status>
      <modifiedWord/>
      <trackRevisions>false</trackRevisions>
    </reviewItem>
    <reviewItem>
      <errorID>965c6ee9-e21c-41e6-b8d6-0e4a1ddcd0ba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689DCC82</paraID>
      <start>0</start>
      <end>2</end>
      <status>ignored</status>
      <modifiedWord/>
      <trackRevisions>false</trackRevisions>
    </reviewItem>
    <reviewItem>
      <errorID>ff2d3c0d-4d06-407d-b707-15c771243a42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642C695</paraID>
      <start>0</start>
      <end>2</end>
      <status>ignored</status>
      <modifiedWord/>
      <trackRevisions>false</trackRevisions>
    </reviewItem>
    <reviewItem>
      <errorID>521877c4-bac0-4253-8e24-3797a5fbb10d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19885489</paraID>
      <start>0</start>
      <end>2</end>
      <status>ignored</status>
      <modifiedWord/>
      <trackRevisions>false</trackRevisions>
    </reviewItem>
    <reviewItem>
      <errorID>98c75cda-39d3-4f32-9e43-97e398f098cb</errorID>
      <errorWord>违规</errorWord>
      <group>L1_Grammar</group>
      <groupName>语法问题</groupName>
      <ability>L2_Grammar</ability>
      <abilityName>语法错误</abilityName>
      <candidateList>
        <item>在国家级森林公园内违规</item>
      </candidateList>
      <explain/>
      <paraID>19885489</paraID>
      <start>4</start>
      <end>6</end>
      <status>ignored</status>
      <modifiedWord/>
      <trackRevisions>false</trackRevisions>
    </reviewItem>
    <reviewItem>
      <errorID>80734bc9-1fd5-4ed3-ad7e-d7b6d34bf68a</errorID>
      <errorWord>国家级森林公园</errorWord>
      <group>L1_Grammar</group>
      <groupName>语法问题</groupName>
      <ability>L2_Grammar</ability>
      <abilityName>语法错误</abilityName>
      <candidateList>
        <item>土地</item>
      </candidateList>
      <explain/>
      <paraID>19885489</paraID>
      <start>8</start>
      <end>15</end>
      <status>ignored</status>
      <modifiedWord/>
      <trackRevisions>false</trackRevisions>
    </reviewItem>
    <reviewItem>
      <errorID>9229ed03-7493-4fb8-94e6-67699245d62b</errorID>
      <errorWord>他的</errorWord>
      <group>L1_Word</group>
      <groupName>字词问题</groupName>
      <ability>L2_Typo</ability>
      <abilityName>字词错误</abilityName>
      <candidateList>
        <item>他</item>
      </candidateList>
      <explain/>
      <paraID>19885489</paraID>
      <start>41</start>
      <end>42</end>
      <status>modified</status>
      <modifiedWord>他</modifiedWord>
      <trackRevisions>false</trackRevisions>
    </reviewItem>
    <reviewItem>
      <errorID>db010a66-8e06-47d8-8166-2f99a221e72d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3E1DFE9B</paraID>
      <start>0</start>
      <end>2</end>
      <status>ignored</status>
      <modifiedWord/>
      <trackRevisions>false</trackRevisions>
    </reviewItem>
    <reviewItem>
      <errorID>2b6cd764-339e-4f28-a29b-f339e82a8724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699A34D2</paraID>
      <start>0</start>
      <end>2</end>
      <status>ignored</status>
      <modifiedWord/>
      <trackRevisions>false</trackRevisions>
    </reviewItem>
    <reviewItem>
      <errorID>f2f58631-5852-415b-ad49-a2f9c7520eb1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7385D19F</paraID>
      <start>0</start>
      <end>2</end>
      <status>ignored</status>
      <modifiedWord/>
      <trackRevisions>false</trackRevisions>
    </reviewItem>
    <reviewItem>
      <errorID>1166b00e-a70a-49d6-ac76-41e35d58942c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7D5A8918</paraID>
      <start>0</start>
      <end>2</end>
      <status>ignored</status>
      <modifiedWord/>
      <trackRevisions>false</trackRevisions>
    </reviewItem>
    <reviewItem>
      <errorID>a73aa26a-542a-480b-9a99-8771757429e2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4953F41F</paraID>
      <start>0</start>
      <end>2</end>
      <status>ignored</status>
      <modifiedWord/>
      <trackRevisions>false</trackRevisions>
    </reviewItem>
    <reviewItem>
      <errorID>c1887876-4e8f-4fe6-9793-54b7878fcb00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7927C684</paraID>
      <start>0</start>
      <end>2</end>
      <status>ignored</status>
      <modifiedWord/>
      <trackRevisions>false</trackRevisions>
    </reviewItem>
    <reviewItem>
      <errorID>dafce4f7-1ed8-4578-96bb-90f46512ed19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464CD0FE</paraID>
      <start>0</start>
      <end>2</end>
      <status>ignored</status>
      <modifiedWord/>
      <trackRevisions>false</trackRevisions>
    </reviewItem>
    <reviewItem>
      <errorID>dc59e2aa-56fb-4ae1-97f4-7c3af2251183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69C36CA2</paraID>
      <start>0</start>
      <end>2</end>
      <status>ignored</status>
      <modifiedWord/>
      <trackRevisions>false</trackRevisions>
    </reviewItem>
    <reviewItem>
      <errorID>7a322947-5277-4aa8-a758-83407b1a0565</errorID>
      <errorWord>意见后</errorWord>
      <group>L1_Word</group>
      <groupName>字词问题</groupName>
      <ability>L2_Typo</ability>
      <abilityName>字词错误</abilityName>
      <candidateList>
        <item>意见</item>
      </candidateList>
      <explain/>
      <paraID>69C36CA2</paraID>
      <start>37</start>
      <end>40</end>
      <status>ignored</status>
      <modifiedWord/>
      <trackRevisions>false</trackRevisions>
    </reviewItem>
    <reviewItem>
      <errorID>ac3902a6-d5a6-4b36-bf9a-49aa94584a8e</errorID>
      <errorWord>。由</errorWord>
      <group>L1_Word</group>
      <groupName>字词问题</groupName>
      <ability>L2_Typo</ability>
      <abilityName>字词错误</abilityName>
      <candidateList>
        <item>。</item>
      </candidateList>
      <explain/>
      <paraID>69C36CA2</paraID>
      <start>51</start>
      <end>53</end>
      <status>ignored</status>
      <modifiedWord/>
      <trackRevisions>false</trackRevisions>
    </reviewItem>
    <reviewItem>
      <errorID>9c3bd69d-0d5a-4444-a675-460ab41a3337</errorID>
      <errorWord>报</errorWord>
      <group>L1_Grammar</group>
      <groupName>语法问题</groupName>
      <ability>L2_Grammar</ability>
      <abilityName>语法错误</abilityName>
      <candidateList>
        <item>应当报</item>
      </candidateList>
      <explain/>
      <paraID>69C36CA2</paraID>
      <start>61</start>
      <end>62</end>
      <status>ignored</status>
      <modifiedWord/>
      <trackRevisions>false</trackRevisions>
    </reviewItem>
    <reviewItem>
      <errorID>1861c10a-7629-4940-8025-0debe06f65b9</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69C36CA2</paraID>
      <start>62</start>
      <end>70</end>
      <status>modified</status>
      <modifiedWord>国家林业和草原局</modifiedWord>
      <trackRevisions>false</trackRevisions>
    </reviewItem>
    <reviewItem>
      <errorID>4fe7899a-7550-471a-ac7b-b9ff0f1d9f04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257F3401</paraID>
      <start>0</start>
      <end>2</end>
      <status>ignored</status>
      <modifiedWord/>
      <trackRevisions>false</trackRevisions>
    </reviewItem>
    <reviewItem>
      <errorID>1966441b-f237-4705-a2d9-ddfaba955da5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1D83EC87</paraID>
      <start>0</start>
      <end>2</end>
      <status>ignored</status>
      <modifiedWord/>
      <trackRevisions>false</trackRevisions>
    </reviewItem>
    <reviewItem>
      <errorID>87afd806-189c-4039-b84b-e36a2aa1110b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2E456670</paraID>
      <start>0</start>
      <end>2</end>
      <status>ignored</status>
      <modifiedWord/>
      <trackRevisions>false</trackRevisions>
    </reviewItem>
    <reviewItem>
      <errorID>05afb23b-419c-42d1-98bc-20cbe2407b5e</errorID>
      <errorWord>其它对</errorWord>
      <group>L1_Word</group>
      <groupName>字词问题</groupName>
      <ability>L2_Alias</ability>
      <abilityName>也作/曾用词</abilityName>
      <candidateList>
        <item>其他对</item>
      </candidateList>
      <explain>词汇[其它对]为不规范表述或旧称，其规范书面表述为[其他对]。</explain>
      <paraID>2E456670</paraID>
      <start>52</start>
      <end>55</end>
      <status>modified</status>
      <modifiedWord>其他对</modifiedWord>
      <trackRevisions>false</trackRevisions>
    </reviewItem>
    <reviewItem>
      <errorID>03807383-bb06-4def-86c8-8d7ff94e779b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DB40008</paraID>
      <start>0</start>
      <end>2</end>
      <status>ignored</status>
      <modifiedWord/>
      <trackRevisions>false</trackRevisions>
    </reviewItem>
    <reviewItem>
      <errorID>4897fe84-9a30-423d-8473-9c216e081f13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3FE05216</paraID>
      <start>0</start>
      <end>2</end>
      <status>ignored</status>
      <modifiedWord/>
      <trackRevisions>false</trackRevisions>
    </reviewItem>
    <reviewItem>
      <errorID>650ceca9-d228-4a36-a457-03253667d672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ADF6938</paraID>
      <start>0</start>
      <end>2</end>
      <status>ignored</status>
      <modifiedWord/>
      <trackRevisions>false</trackRevisions>
    </reviewItem>
    <reviewItem>
      <errorID>5dfaa7e4-3539-4d67-99f1-48877d43c16d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26068DB9</paraID>
      <start>0</start>
      <end>2</end>
      <status>ignored</status>
      <modifiedWord/>
      <trackRevisions>false</trackRevisions>
    </reviewItem>
    <reviewItem>
      <errorID>599e4c81-5b68-47b4-8e85-52dc9fa480ac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19C28FE3</paraID>
      <start>0</start>
      <end>2</end>
      <status>ignored</status>
      <modifiedWord/>
      <trackRevisions>false</trackRevisions>
    </reviewItem>
    <reviewItem>
      <errorID>8d7bf3cb-8cbb-4455-a5dc-51f168144c0d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555B2D27</paraID>
      <start>0</start>
      <end>2</end>
      <status>ignored</status>
      <modifiedWord/>
      <trackRevisions>false</trackRevisions>
    </reviewItem>
    <reviewItem>
      <errorID>acfad008-8594-473a-a92d-894b6d119d3d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34EF5E02</paraID>
      <start>0</start>
      <end>2</end>
      <status>ignored</status>
      <modifiedWord/>
      <trackRevisions>false</trackRevisions>
    </reviewItem>
    <reviewItem>
      <errorID>8178ac3f-8236-4dae-a58c-b0379e1b6316</errorID>
      <errorWord>、</errorWord>
      <group>L1_Punc</group>
      <groupName>标点问题</groupName>
      <ability>L2_Punc_CN</ability>
      <abilityName>标点符号问题</abilityName>
      <candidateList>
        <item>. </item>
      </candidateList>
      <explain/>
      <paraID>579F2EAB</paraID>
      <start>1</start>
      <end>2</end>
      <status>ignored</status>
      <modifiedWord/>
      <trackRevisions>false</trackRevisions>
    </reviewItem>
    <reviewItem>
      <errorID>560ac53c-2c9c-4085-8c4c-930b900a98c7</errorID>
      <errorWord>渔业法</errorWord>
      <group>L1_Knowledge</group>
      <groupName>知识性问题</groupName>
      <ability>L2_Knowledge</ability>
      <abilityName>其他知识</abilityName>
      <candidateList>
        <item>中华人民共和国渔业法</item>
      </candidateList>
      <explain>当前法律法规名称使用简称，请注意是否应当使用全称。</explain>
      <paraID>579F2EAB</paraID>
      <start>36</start>
      <end>46</end>
      <status>modified</status>
      <modifiedWord>中华人民共和国渔业法</modifiedWord>
      <trackRevisions>false</trackRevisions>
    </reviewItem>
    <reviewItem>
      <errorID>48584800-d07f-4f2d-9766-0bec538344bb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2292A1EF</paraID>
      <start>0</start>
      <end>2</end>
      <status>ignored</status>
      <modifiedWord/>
      <trackRevisions>false</trackRevisions>
    </reviewItem>
    <reviewItem>
      <errorID>8c392864-6c31-41da-824e-02d4a2b85d22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65BBD59F</paraID>
      <start>0</start>
      <end>2</end>
      <status>ignored</status>
      <modifiedWord/>
      <trackRevisions>false</trackRevisions>
    </reviewItem>
    <reviewItem>
      <errorID>06982f1b-4831-4b35-9a2b-3ad1036deb2e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4EA0BB55</paraID>
      <start>0</start>
      <end>2</end>
      <status>ignored</status>
      <modifiedWord/>
      <trackRevisions>false</trackRevisions>
    </reviewItem>
    <reviewItem>
      <errorID>e0c8ef2f-5f56-4279-89c3-7b7362687a47</errorID>
      <errorWord>开</errorWord>
      <group>L1_Word</group>
      <groupName>字词问题</groupName>
      <ability>L2_Typo</ability>
      <abilityName>字词错误</abilityName>
      <candidateList>
        <item>开垦</item>
      </candidateList>
      <explain/>
      <paraID>4EA0BB55</paraID>
      <start>23</start>
      <end>24</end>
      <status>ignored</status>
      <modifiedWord/>
      <trackRevisions>false</trackRevisions>
    </reviewItem>
    <reviewItem>
      <errorID>33a83aa5-d049-4e4f-90cb-dd1667d17a93</errorID>
      <errorWord>围）垦</errorWord>
      <group>L1_Word</group>
      <groupName>字词问题</groupName>
      <ability>L2_Typo</ability>
      <abilityName>字词错误</abilityName>
      <candidateList>
        <item>围垦）</item>
      </candidateList>
      <explain/>
      <paraID>4EA0BB55</paraID>
      <start>25</start>
      <end>28</end>
      <status>ignored</status>
      <modifiedWord/>
      <trackRevisions>false</trackRevisions>
    </reviewItem>
    <reviewItem>
      <errorID>51dc9f40-2945-4f90-afc8-783e8cf837c3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3CAEF075</paraID>
      <start>0</start>
      <end>2</end>
      <status>ignored</status>
      <modifiedWord/>
      <trackRevisions>false</trackRevisions>
    </reviewItem>
    <reviewItem>
      <errorID>c4edcf66-254a-4cfb-8217-be9552e9666d</errorID>
      <errorWord>法律、法规</errorWord>
      <group>L1_Word</group>
      <groupName>字词问题</groupName>
      <ability>L2_Typo</ability>
      <abilityName>字词错误</abilityName>
      <candidateList>
        <item>法律法规</item>
      </candidateList>
      <explain/>
      <paraID>17AFCF08</paraID>
      <start>42</start>
      <end>46</end>
      <status>modified</status>
      <modifiedWord>法律法规</modifiedWord>
      <trackRevisions>false</trackRevisions>
    </reviewItem>
    <reviewItem>
      <errorID>6225863f-6181-420a-9466-5a26cdcb2e7c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4BDB65C6</paraID>
      <start>0</start>
      <end>2</end>
      <status>ignored</status>
      <modifiedWord/>
      <trackRevisions>false</trackRevisions>
    </reviewItem>
    <reviewItem>
      <errorID>af334981-0b8e-40d0-ab8f-b99207dd75c3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7A9B379A</paraID>
      <start>0</start>
      <end>3</end>
      <status>ignored</status>
      <modifiedWord/>
      <trackRevisions>false</trackRevisions>
    </reviewItem>
    <reviewItem>
      <errorID>832e5be1-6daa-43fe-845d-3450c10438d8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4236756B</paraID>
      <start>0</start>
      <end>2</end>
      <status>ignored</status>
      <modifiedWord/>
      <trackRevisions>false</trackRevisions>
    </reviewItem>
    <reviewItem>
      <errorID>1af56cba-72dd-403d-8589-af051a6bd642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5540B95E</paraID>
      <start>0</start>
      <end>3</end>
      <status>ignored</status>
      <modifiedWord/>
      <trackRevisions>false</trackRevisions>
    </reviewItem>
    <reviewItem>
      <errorID>8494cbcb-1ecb-435c-a6d5-f549d378f7a8</errorID>
      <errorWord>法律、法规</errorWord>
      <group>L1_Word</group>
      <groupName>字词问题</groupName>
      <ability>L2_Typo</ability>
      <abilityName>字词错误</abilityName>
      <candidateList>
        <item>法律法规</item>
      </candidateList>
      <explain/>
      <paraID>5540B95E</paraID>
      <start>253</start>
      <end>257</end>
      <status>modified</status>
      <modifiedWord>法律法规</modifiedWord>
      <trackRevisions>false</trackRevisions>
    </reviewItem>
    <reviewItem>
      <errorID>249192fc-e41b-4f37-86d2-066d0dd48b2b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4D2DE037</paraID>
      <start>0</start>
      <end>2</end>
      <status>ignored</status>
      <modifiedWord/>
      <trackRevisions>false</trackRevisions>
    </reviewItem>
    <reviewItem>
      <errorID>d6d327ec-350e-4788-b317-c396da765b10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7D101BE5</paraID>
      <start>0</start>
      <end>3</end>
      <status>ignored</status>
      <modifiedWord/>
      <trackRevisions>false</trackRevisions>
    </reviewItem>
    <reviewItem>
      <errorID>9ed3d5d0-bdc6-4654-ac6b-5d8a12c8fcbe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836A3A3</paraID>
      <start>0</start>
      <end>3</end>
      <status>ignored</status>
      <modifiedWord/>
      <trackRevisions>false</trackRevisions>
    </reviewItem>
    <reviewItem>
      <errorID>aaa105bf-fb75-41a3-890d-f5b66012180c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586B05F1</paraID>
      <start>0</start>
      <end>2</end>
      <status>ignored</status>
      <modifiedWord/>
      <trackRevisions>false</trackRevisions>
    </reviewItem>
    <reviewItem>
      <errorID>e43ce03c-337d-42ac-b956-e1a19ca6e547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7C3D57E4</paraID>
      <start>0</start>
      <end>2</end>
      <status>ignored</status>
      <modifiedWord/>
      <trackRevisions>false</trackRevisions>
    </reviewItem>
    <reviewItem>
      <errorID>898891bb-067c-4a8d-8cae-0904ab37bc3d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4A784397</paraID>
      <start>0</start>
      <end>2</end>
      <status>ignored</status>
      <modifiedWord/>
      <trackRevisions>false</trackRevisions>
    </reviewItem>
    <reviewItem>
      <errorID>27bd0d55-9cf8-445c-8898-9e1f096f7885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28ED4B43</paraID>
      <start>0</start>
      <end>2</end>
      <status>ignored</status>
      <modifiedWord/>
      <trackRevisions>false</trackRevisions>
    </reviewItem>
    <reviewItem>
      <errorID>4256aa63-7a18-4848-b325-389b521e41ca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153F7B83</paraID>
      <start>0</start>
      <end>3</end>
      <status>ignored</status>
      <modifiedWord/>
      <trackRevisions>false</trackRevisions>
    </reviewItem>
    <reviewItem>
      <errorID>2090b8dc-32cf-43c2-ac3e-b46d8489dde9</errorID>
      <errorWord>其它有害</errorWord>
      <group>L1_Word</group>
      <groupName>字词问题</groupName>
      <ability>L2_Alias</ability>
      <abilityName>也作/曾用词</abilityName>
      <candidateList>
        <item>其他有害</item>
      </candidateList>
      <explain>词汇[其它有害]为不规范表述或旧称，其规范书面表述为[其他有害]。</explain>
      <paraID>153F7B83</paraID>
      <start>21</start>
      <end>25</end>
      <status>modified</status>
      <modifiedWord>其他有害</modifiedWord>
      <trackRevisions>false</trackRevisions>
    </reviewItem>
    <reviewItem>
      <errorID>df13b9dd-239b-409b-ac04-f1c790d48a38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36D1DF99</paraID>
      <start>0</start>
      <end>2</end>
      <status>ignored</status>
      <modifiedWord/>
      <trackRevisions>false</trackRevisions>
    </reviewItem>
    <reviewItem>
      <errorID>ba73aade-7358-4184-b288-6fcf54911ab3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401A07BB</paraID>
      <start>0</start>
      <end>3</end>
      <status>ignored</status>
      <modifiedWord/>
      <trackRevisions>false</trackRevisions>
    </reviewItem>
    <reviewItem>
      <errorID>2c84a032-c6bd-4cbe-a722-8ecded8f1067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5778A84B</paraID>
      <start>0</start>
      <end>2</end>
      <status>ignored</status>
      <modifiedWord/>
      <trackRevisions>false</trackRevisions>
    </reviewItem>
    <reviewItem>
      <errorID>f22bcba9-f71e-4c25-99bb-fe57f31e5716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67774A9D</paraID>
      <start>0</start>
      <end>3</end>
      <status>ignored</status>
      <modifiedWord/>
      <trackRevisions>false</trackRevisions>
    </reviewItem>
    <reviewItem>
      <errorID>58bd3e3d-c223-4d08-bd36-c7f3acd42b23</errorID>
      <errorWord>法律、法规</errorWord>
      <group>L1_Word</group>
      <groupName>字词问题</groupName>
      <ability>L2_Typo</ability>
      <abilityName>字词错误</abilityName>
      <candidateList>
        <item>法律法规</item>
      </candidateList>
      <explain/>
      <paraID>67774A9D</paraID>
      <start>253</start>
      <end>257</end>
      <status>modified</status>
      <modifiedWord>法律法规</modifiedWord>
      <trackRevisions>false</trackRevisions>
    </reviewItem>
    <reviewItem>
      <errorID>25d68150-b33c-420c-bdae-e37a84e27a2b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5EE5270</paraID>
      <start>0</start>
      <end>2</end>
      <status>ignored</status>
      <modifiedWord/>
      <trackRevisions>false</trackRevisions>
    </reviewItem>
    <reviewItem>
      <errorID>f9e6d15e-76b8-40b4-b0dd-b4e43b12b128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43180DEF</paraID>
      <start>0</start>
      <end>3</end>
      <status>ignored</status>
      <modifiedWord/>
      <trackRevisions>false</trackRevisions>
    </reviewItem>
    <reviewItem>
      <errorID>3ac53e4a-5196-40c6-b930-d5615282ff82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697D13ED</paraID>
      <start>0</start>
      <end>2</end>
      <status>ignored</status>
      <modifiedWord/>
      <trackRevisions>false</trackRevisions>
    </reviewItem>
    <reviewItem>
      <errorID>87f10efd-822a-4061-b08f-7ec09b44754c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3EB91C1E</paraID>
      <start>0</start>
      <end>3</end>
      <status>ignored</status>
      <modifiedWord/>
      <trackRevisions>false</trackRevisions>
    </reviewItem>
    <reviewItem>
      <errorID>a1adb248-0dc7-4738-b4a7-63fb20756ba8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12B6AF53</paraID>
      <start>0</start>
      <end>2</end>
      <status>ignored</status>
      <modifiedWord/>
      <trackRevisions>false</trackRevisions>
    </reviewItem>
    <reviewItem>
      <errorID>fb372b62-5302-4767-9095-16b57846752c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7916CB67</paraID>
      <start>0</start>
      <end>2</end>
      <status>ignored</status>
      <modifiedWord/>
      <trackRevisions>false</trackRevisions>
    </reviewItem>
    <reviewItem>
      <errorID>1c3a7058-cf9d-401e-9e8d-39a80d1ad8b9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7C68BABC</paraID>
      <start>0</start>
      <end>2</end>
      <status>ignored</status>
      <modifiedWord/>
      <trackRevisions>false</trackRevisions>
    </reviewItem>
    <reviewItem>
      <errorID>076339b2-5cee-489e-bde8-545185c4a1e9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3FC3A3B3</paraID>
      <start>0</start>
      <end>2</end>
      <status>ignored</status>
      <modifiedWord/>
      <trackRevisions>false</trackRevisions>
    </reviewItem>
    <reviewItem>
      <errorID>cd66d785-67e8-4fd9-b7a0-fe5e70571f8a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7F5FAB43</paraID>
      <start>0</start>
      <end>2</end>
      <status>ignored</status>
      <modifiedWord/>
      <trackRevisions>false</trackRevisions>
    </reviewItem>
    <reviewItem>
      <errorID>06de8c22-5292-4d9f-8fbd-8888ea41f258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7BA7B604</paraID>
      <start>0</start>
      <end>2</end>
      <status>ignored</status>
      <modifiedWord/>
      <trackRevisions>false</trackRevisions>
    </reviewItem>
    <reviewItem>
      <errorID>c9c016de-4e77-443a-b91c-bd7fedb63fdd</errorID>
      <errorWord>高速公路国道</errorWord>
      <group>L1_Grammar</group>
      <groupName>语法问题</groupName>
      <ability>L2_Grammar</ability>
      <abilityName>语法错误</abilityName>
      <candidateList>
        <item>、高速公路、国道</item>
      </candidateList>
      <explain/>
      <paraID>7BA7B604</paraID>
      <start>83</start>
      <end>91</end>
      <status>modified</status>
      <modifiedWord>、高速公路、国道</modifiedWord>
      <trackRevisions>false</trackRevisions>
    </reviewItem>
    <reviewItem>
      <errorID>5d1c7c84-5cec-4267-ab1d-5c4272c51c3e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71744C47</paraID>
      <start>0</start>
      <end>2</end>
      <status>ignored</status>
      <modifiedWord/>
      <trackRevisions>false</trackRevisions>
    </reviewItem>
    <reviewItem>
      <errorID>4cd11bc5-35b4-403b-af76-a9928979713f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7CAABD7A</paraID>
      <start>0</start>
      <end>2</end>
      <status>ignored</status>
      <modifiedWord/>
      <trackRevisions>false</trackRevisions>
    </reviewItem>
    <reviewItem>
      <errorID>5af57d06-8c47-49c0-a00e-1e5ab2a4ed59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70DCA2C0</paraID>
      <start>0</start>
      <end>2</end>
      <status>ignored</status>
      <modifiedWord/>
      <trackRevisions>false</trackRevisions>
    </reviewItem>
    <reviewItem>
      <errorID>9329c74d-350c-4113-9a11-10cf48f39dbc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748A0ACA</paraID>
      <start>0</start>
      <end>2</end>
      <status>ignored</status>
      <modifiedWord/>
      <trackRevisions>false</trackRevisions>
    </reviewItem>
    <reviewItem>
      <errorID>5f45fd6f-9f35-4fa3-8589-fed2fa48db90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60B7585A</paraID>
      <start>0</start>
      <end>2</end>
      <status>ignored</status>
      <modifiedWord/>
      <trackRevisions>false</trackRevisions>
    </reviewItem>
    <reviewItem>
      <errorID>fa55161d-caf8-4c64-bbe4-9bd6d2f11566</errorID>
      <errorWord>、</errorWord>
      <group>L1_Punc</group>
      <groupName>标点问题</groupName>
      <ability>L2_Punc_CN</ability>
      <abilityName>标点符号问题</abilityName>
      <candidateList>
        <item>. </item>
      </candidateList>
      <explain/>
      <paraID>60B7585A</paraID>
      <start>3</start>
      <end>4</end>
      <status>ignored</status>
      <modifiedWord/>
      <trackRevisions>false</trackRevisions>
    </reviewItem>
    <reviewItem>
      <errorID>9a086643-120b-450c-9b52-bdab86d0b77c</errorID>
      <errorWord>项目的</errorWord>
      <group>L1_Word</group>
      <groupName>字词问题</groupName>
      <ability>L2_Typo</ability>
      <abilityName>字词错误</abilityName>
      <candidateList>
        <item>项目</item>
      </candidateList>
      <explain/>
      <paraID>2C71F739</paraID>
      <start>0</start>
      <end>2</end>
      <status>modified</status>
      <modifiedWord>项目</modifiedWord>
      <trackRevisions>false</trackRevisions>
    </reviewItem>
    <reviewItem>
      <errorID>1a0d8641-b128-4685-be43-4dbc15b49a35</errorID>
      <errorWord>达</errorWord>
      <group>L1_Word</group>
      <groupName>字词问题</groupName>
      <ability>L2_Typo</ability>
      <abilityName>字词错误</abilityName>
      <candidateList>
        <item>达到</item>
      </candidateList>
      <explain/>
      <paraID>67DB1A45</paraID>
      <start>72</start>
      <end>73</end>
      <status>ignored</status>
      <modifiedWord/>
      <trackRevisions>false</trackRevisions>
    </reviewItem>
    <reviewItem>
      <errorID>2b670e7c-d3b6-428b-803c-4b904f175f8b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1DBAD4F6</paraID>
      <start>0</start>
      <end>2</end>
      <status>ignored</status>
      <modifiedWord/>
      <trackRevisions>false</trackRevisions>
    </reviewItem>
    <reviewItem>
      <errorID>8046c0ae-6189-4905-be6d-c74f62f5fa93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7D95D13F</paraID>
      <start>0</start>
      <end>2</end>
      <status>ignored</status>
      <modifiedWord/>
      <trackRevisions>false</trackRevisions>
    </reviewItem>
    <reviewItem>
      <errorID>952ea286-0f29-4706-9f29-a0a55ce0e99a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413FA0AA</paraID>
      <start>0</start>
      <end>2</end>
      <status>ignored</status>
      <modifiedWord/>
      <trackRevisions>false</trackRevisions>
    </reviewItem>
    <reviewItem>
      <errorID>ea2b4a84-d314-478b-a2b8-2936091b0504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6335C28C</paraID>
      <start>0</start>
      <end>2</end>
      <status>ignored</status>
      <modifiedWord/>
      <trackRevisions>false</trackRevisions>
    </reviewItem>
    <reviewItem>
      <errorID>9900d2be-afce-4076-945b-a5dd5b610df9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A92BDFF</paraID>
      <start>0</start>
      <end>2</end>
      <status>ignored</status>
      <modifiedWord/>
      <trackRevisions>false</trackRevisions>
    </reviewItem>
    <reviewItem>
      <errorID>7ccf5658-f2a9-4bb7-a661-433e4128d218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24169181</paraID>
      <start>0</start>
      <end>2</end>
      <status>ignored</status>
      <modifiedWord/>
      <trackRevisions>false</trackRevisions>
    </reviewItem>
    <reviewItem>
      <errorID>8f9e5470-5caa-4e3f-a683-e055d2d5ab4a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4E059AA6</paraID>
      <start>0</start>
      <end>2</end>
      <status>ignored</status>
      <modifiedWord/>
      <trackRevisions>false</trackRevisions>
    </reviewItem>
    <reviewItem>
      <errorID>2261278c-be4e-45ee-be0d-af74da8e667f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68C91500</paraID>
      <start>0</start>
      <end>2</end>
      <status>ignored</status>
      <modifiedWord/>
      <trackRevisions>false</trackRevisions>
    </reviewItem>
    <reviewItem>
      <errorID>d5386f4b-888e-4d62-a6df-310c4bfec5b6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46D3F064</paraID>
      <start>0</start>
      <end>2</end>
      <status>ignored</status>
      <modifiedWord/>
      <trackRevisions>false</trackRevisions>
    </reviewItem>
    <reviewItem>
      <errorID>202a794a-8387-4584-ae53-2cb9cadf3f3f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621F4640</paraID>
      <start>0</start>
      <end>2</end>
      <status>ignored</status>
      <modifiedWord/>
      <trackRevisions>false</trackRevisions>
    </reviewItem>
    <reviewItem>
      <errorID>34039eff-7df5-490d-b575-e9cedc5f01a9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24EE8871</paraID>
      <start>0</start>
      <end>2</end>
      <status>ignored</status>
      <modifiedWord/>
      <trackRevisions>false</trackRevisions>
    </reviewItem>
    <reviewItem>
      <errorID>f02586f7-f1c4-4ee9-b225-2a8e903fe13f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3F8A84EE</paraID>
      <start>0</start>
      <end>2</end>
      <status>ignored</status>
      <modifiedWord/>
      <trackRevisions>false</trackRevisions>
    </reviewItem>
    <reviewItem>
      <errorID>4b98e60b-5b49-4bbd-8443-bbcd6dad1842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66106619</paraID>
      <start>0</start>
      <end>2</end>
      <status>ignored</status>
      <modifiedWord/>
      <trackRevisions>false</trackRevisions>
    </reviewItem>
    <reviewItem>
      <errorID>da95c411-b63a-4e4c-bb6c-a06b93c32f8b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7D6BC41C</paraID>
      <start>0</start>
      <end>2</end>
      <status>ignored</status>
      <modifiedWord/>
      <trackRevisions>false</trackRevisions>
    </reviewItem>
    <reviewItem>
      <errorID>8e95dd23-9dfe-4f59-86a8-3d916db1d7a2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38CEC0DC</paraID>
      <start>0</start>
      <end>2</end>
      <status>ignored</status>
      <modifiedWord/>
      <trackRevisions>false</trackRevisions>
    </reviewItem>
    <reviewItem>
      <errorID>dbe9cfc4-104e-46af-bf77-4863d3897cc4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72676FC5</paraID>
      <start>0</start>
      <end>2</end>
      <status>ignored</status>
      <modifiedWord/>
      <trackRevisions>false</trackRevisions>
    </reviewItem>
    <reviewItem>
      <errorID>e8fe2350-bc6b-4cf9-808e-ddeef160664b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441D16B2</paraID>
      <start>0</start>
      <end>2</end>
      <status>ignored</status>
      <modifiedWord/>
      <trackRevisions>false</trackRevisions>
    </reviewItem>
    <reviewItem>
      <errorID>296cff9e-45fd-471c-855a-9c193b5412ae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293A76A4</paraID>
      <start>0</start>
      <end>2</end>
      <status>ignored</status>
      <modifiedWord/>
      <trackRevisions>false</trackRevisions>
    </reviewItem>
    <reviewItem>
      <errorID>a8abba9e-b048-4549-a614-3c1cb6e1fe8a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5BDEF4E</paraID>
      <start>0</start>
      <end>2</end>
      <status>ignored</status>
      <modifiedWord/>
      <trackRevisions>false</trackRevisions>
    </reviewItem>
    <reviewItem>
      <errorID>275e5d50-3415-4e26-9f16-dad894eb438f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2A1A5A8E</paraID>
      <start>0</start>
      <end>2</end>
      <status>ignored</status>
      <modifiedWord/>
      <trackRevisions>false</trackRevisions>
    </reviewItem>
    <reviewItem>
      <errorID>c352c6a0-0c1b-435a-8b96-a81778fbbab7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1269CECA</paraID>
      <start>0</start>
      <end>2</end>
      <status>ignored</status>
      <modifiedWord/>
      <trackRevisions>false</trackRevisions>
    </reviewItem>
    <reviewItem>
      <errorID>40f33b10-0179-4713-abd1-d3f630888f86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47222E2C</paraID>
      <start>0</start>
      <end>3</end>
      <status>ignored</status>
      <modifiedWord/>
      <trackRevisions>false</trackRevisions>
    </reviewItem>
    <reviewItem>
      <errorID>3f78501d-e945-45e9-9159-4bcd10d40b73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2E09E465</paraID>
      <start>0</start>
      <end>3</end>
      <status>ignored</status>
      <modifiedWord/>
      <trackRevisions>false</trackRevisions>
    </reviewItem>
    <reviewItem>
      <errorID>0de9f4b0-8c13-4ffe-af8d-9f428cb2ef06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56F6F967</paraID>
      <start>0</start>
      <end>3</end>
      <status>ignored</status>
      <modifiedWord/>
      <trackRevisions>false</trackRevisions>
    </reviewItem>
    <reviewItem>
      <errorID>9f780ab3-9d64-4fb6-b477-a63d4a44c4d6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F25C541</paraID>
      <start>0</start>
      <end>3</end>
      <status>ignored</status>
      <modifiedWord/>
      <trackRevisions>false</trackRevisions>
    </reviewItem>
    <reviewItem>
      <errorID>215e0977-997d-44aa-aeee-759a49a477e0</errorID>
      <errorWord>无</errorWord>
      <group>L1_Grammar</group>
      <groupName>语法问题</groupName>
      <ability>L2_Grammar</ability>
      <abilityName>语法错误</abilityName>
      <candidateList>
        <item>包括无</item>
      </candidateList>
      <explain/>
      <paraID> F25C541</paraID>
      <start>48</start>
      <end>49</end>
      <status>ignored</status>
      <modifiedWord/>
      <trackRevisions>false</trackRevisions>
    </reviewItem>
    <reviewItem>
      <errorID>a5d80fd6-8e95-4662-8d03-e861ed0173f8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527B98D5</paraID>
      <start>0</start>
      <end>3</end>
      <status>ignored</status>
      <modifiedWord/>
      <trackRevisions>false</trackRevisions>
    </reviewItem>
    <reviewItem>
      <errorID>3239eb70-f289-474f-8709-ffdba7a6db0d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13B30339</paraID>
      <start>0</start>
      <end>3</end>
      <status>ignored</status>
      <modifiedWord/>
      <trackRevisions>false</trackRevisions>
    </reviewItem>
    <reviewItem>
      <errorID>53c48be8-4083-4264-887e-e7960fd02f5a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72AE4987</paraID>
      <start>0</start>
      <end>2</end>
      <status>ignored</status>
      <modifiedWord/>
      <trackRevisions>false</trackRevisions>
    </reviewItem>
    <reviewItem>
      <errorID>596bc5e8-4c9b-407c-8b70-c34aab2edc65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6D12A7E</paraID>
      <start>0</start>
      <end>2</end>
      <status>ignored</status>
      <modifiedWord/>
      <trackRevisions>false</trackRevisions>
    </reviewItem>
    <reviewItem>
      <errorID>29a7aa8b-ad8d-4b33-9661-6f94f3a633e5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55E27D07</paraID>
      <start>0</start>
      <end>2</end>
      <status>ignored</status>
      <modifiedWord/>
      <trackRevisions>false</trackRevisions>
    </reviewItem>
    <reviewItem>
      <errorID>1d746326-cbbc-429f-b3b1-553175f7704a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56AE7265</paraID>
      <start>0</start>
      <end>2</end>
      <status>ignored</status>
      <modifiedWord/>
      <trackRevisions>false</trackRevisions>
    </reviewItem>
    <reviewItem>
      <errorID>6ba08558-c802-4ed2-a7f1-948cb69d3fb6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2F0E887E</paraID>
      <start>0</start>
      <end>2</end>
      <status>ignored</status>
      <modifiedWord/>
      <trackRevisions>false</trackRevisions>
    </reviewItem>
    <reviewItem>
      <errorID>9c12960f-9e2e-48e1-bb7e-dd24db6d0132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2E305AD2</paraID>
      <start>0</start>
      <end>2</end>
      <status>ignored</status>
      <modifiedWord/>
      <trackRevisions>false</trackRevisions>
    </reviewItem>
    <reviewItem>
      <errorID>213bf935-8a53-469a-859c-56b751636a02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2D069232</paraID>
      <start>0</start>
      <end>2</end>
      <status>ignored</status>
      <modifiedWord/>
      <trackRevisions>false</trackRevisions>
    </reviewItem>
    <reviewItem>
      <errorID>b93c92d3-de76-4009-9479-3e7203a39260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2EF33497</paraID>
      <start>0</start>
      <end>2</end>
      <status>ignored</status>
      <modifiedWord/>
      <trackRevisions>false</trackRevisions>
    </reviewItem>
    <reviewItem>
      <errorID>51e31e6b-e782-43b6-bb09-9a7113d6abc5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6D8EC7A6</paraID>
      <start>0</start>
      <end>2</end>
      <status>ignored</status>
      <modifiedWord/>
      <trackRevisions>false</trackRevisions>
    </reviewItem>
    <reviewItem>
      <errorID>53de3666-177c-456d-9717-dfa58a388049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3E6FFFEE</paraID>
      <start>0</start>
      <end>3</end>
      <status>ignored</status>
      <modifiedWord/>
      <trackRevisions>false</trackRevisions>
    </reviewItem>
    <reviewItem>
      <errorID>3903bc9e-8160-4a9f-a373-b15ec49345f6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38C6DDD5</paraID>
      <start>0</start>
      <end>3</end>
      <status>ignored</status>
      <modifiedWord/>
      <trackRevisions>false</trackRevisions>
    </reviewItem>
    <reviewItem>
      <errorID>609b9fb3-0618-4eb5-93f5-a36ac5d8ac04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4046DE66</paraID>
      <start>0</start>
      <end>3</end>
      <status>ignored</status>
      <modifiedWord/>
      <trackRevisions>false</trackRevisions>
    </reviewItem>
    <reviewItem>
      <errorID>52536a3f-e9ea-4c2a-91d6-512791f3cb98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41783EDB</paraID>
      <start>0</start>
      <end>3</end>
      <status>ignored</status>
      <modifiedWord/>
      <trackRevisions>false</trackRevisions>
    </reviewItem>
    <reviewItem>
      <errorID>0a984636-e39a-46de-b481-27834a3b550c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39905082</paraID>
      <start>0</start>
      <end>3</end>
      <status>ignored</status>
      <modifiedWord/>
      <trackRevisions>false</trackRevisions>
    </reviewItem>
    <reviewItem>
      <errorID>3b730294-0034-4fef-9f17-c65731b22554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6A1790AF</paraID>
      <start>0</start>
      <end>3</end>
      <status>ignored</status>
      <modifiedWord/>
      <trackRevisions>false</trackRevisions>
    </reviewItem>
    <reviewItem>
      <errorID>322ccf5b-ba00-43d4-bd6f-b8ff3922fdeb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3FBB7102</paraID>
      <start>0</start>
      <end>2</end>
      <status>ignored</status>
      <modifiedWord/>
      <trackRevisions>false</trackRevisions>
    </reviewItem>
    <reviewItem>
      <errorID>0285864c-10c8-4bb9-9d20-bf95f4c74b16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F69E815</paraID>
      <start>0</start>
      <end>2</end>
      <status>ignored</status>
      <modifiedWord/>
      <trackRevisions>false</trackRevisions>
    </reviewItem>
    <reviewItem>
      <errorID>a6312698-17e0-4871-bbcb-b7cb49ff36f8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5159023B</paraID>
      <start>0</start>
      <end>2</end>
      <status>ignored</status>
      <modifiedWord/>
      <trackRevisions>false</trackRevisions>
    </reviewItem>
    <reviewItem>
      <errorID>b428ba62-4633-4958-99d2-1ea15f26e612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10072CA6</paraID>
      <start>0</start>
      <end>2</end>
      <status>ignored</status>
      <modifiedWord/>
      <trackRevisions>false</trackRevisions>
    </reviewItem>
    <reviewItem>
      <errorID>29f95646-4ae0-4053-8f92-bbb6e241bc16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13C83269</paraID>
      <start>0</start>
      <end>2</end>
      <status>ignored</status>
      <modifiedWord/>
      <trackRevisions>false</trackRevisions>
    </reviewItem>
    <reviewItem>
      <errorID>d6c10fd6-1d9c-4951-9917-86729e0e5b97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2F56D051</paraID>
      <start>0</start>
      <end>2</end>
      <status>ignored</status>
      <modifiedWord/>
      <trackRevisions>false</trackRevisions>
    </reviewItem>
    <reviewItem>
      <errorID>0e2912e2-afb9-4d4b-a42a-282d4bc5ade8</errorID>
      <errorWord>全市</errorWord>
      <group>L1_Punc</group>
      <groupName>标点问题</groupName>
      <ability>L2_Punc_CN</ability>
      <abilityName>标点符号问题</abilityName>
      <candidateList>
        <item>，全市</item>
      </candidateList>
      <explain/>
      <paraID>3BDE643E</paraID>
      <start>6</start>
      <end>8</end>
      <status>ignored</status>
      <modifiedWord/>
      <trackRevisions>false</trackRevisions>
    </reviewItem>
    <reviewItem>
      <errorID>080132cc-7338-4f3c-96e0-4316a3be0e11</errorID>
      <errorWord>，</errorWord>
      <group>L1_Word</group>
      <groupName>字词问题</groupName>
      <ability>L2_Typo</ability>
      <abilityName>字词错误</abilityName>
      <candidateList>
        <item>中，</item>
      </candidateList>
      <explain/>
      <paraID>3BDE643E</paraID>
      <start>33</start>
      <end>34</end>
      <status>ignored</status>
      <modifiedWord/>
      <trackRevisions>false</trackRevisions>
    </reviewItem>
    <reviewItem>
      <errorID>57b6fed0-0886-47f5-be46-2bf5df996c17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79BFD95F</paraID>
      <start>0</start>
      <end>2</end>
      <status>ignored</status>
      <modifiedWord/>
      <trackRevisions>false</trackRevisions>
    </reviewItem>
    <reviewItem>
      <errorID>8301befc-855c-4a17-af01-08fb0092689b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5736203B</paraID>
      <start>0</start>
      <end>2</end>
      <status>ignored</status>
      <modifiedWord/>
      <trackRevisions>false</trackRevisions>
    </reviewItem>
    <reviewItem>
      <errorID>161ae7ab-d419-4c44-86c5-7b2e44f38d89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11863D8C</paraID>
      <start>0</start>
      <end>2</end>
      <status>ignored</status>
      <modifiedWord/>
      <trackRevisions>false</trackRevisions>
    </reviewItem>
    <reviewItem>
      <errorID>45b40a2d-21b6-4610-b7be-9982c65078c2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29F741BF</paraID>
      <start>0</start>
      <end>2</end>
      <status>ignored</status>
      <modifiedWord/>
      <trackRevisions>false</trackRevisions>
    </reviewItem>
    <reviewItem>
      <errorID>ecc4e53c-c652-45c7-9ccc-3477c3d120ba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39061DC7</paraID>
      <start>0</start>
      <end>2</end>
      <status>ignored</status>
      <modifiedWord/>
      <trackRevisions>false</trackRevisions>
    </reviewItem>
    <reviewItem>
      <errorID>655ddb46-e8c3-4087-a561-f5b0c681675f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60EFEE04</paraID>
      <start>0</start>
      <end>2</end>
      <status>ignored</status>
      <modifiedWord/>
      <trackRevisions>false</trackRevisions>
    </reviewItem>
    <reviewItem>
      <errorID>4a81a867-52e4-4bef-a54d-55a639e82856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345240D2</paraID>
      <start>0</start>
      <end>2</end>
      <status>ignored</status>
      <modifiedWord/>
      <trackRevisions>false</trackRevisions>
    </reviewItem>
    <reviewItem>
      <errorID>c506da27-d9d1-42a1-be72-a178ee603d1e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4D531E7D</paraID>
      <start>0</start>
      <end>2</end>
      <status>ignored</status>
      <modifiedWord/>
      <trackRevisions>false</trackRevisions>
    </reviewItem>
    <reviewItem>
      <errorID>d44bace8-a151-418d-a901-82df25ddb89c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317570E2</paraID>
      <start>0</start>
      <end>2</end>
      <status>ignored</status>
      <modifiedWord/>
      <trackRevisions>false</trackRevisions>
    </reviewItem>
    <reviewItem>
      <errorID>c87c3bcc-1460-41f7-9ac7-702bb6920d62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4D30668A</paraID>
      <start>0</start>
      <end>2</end>
      <status>ignored</status>
      <modifiedWord/>
      <trackRevisions>false</trackRevisions>
    </reviewItem>
    <reviewItem>
      <errorID>4c1d242f-3f4d-41c3-ae9f-ab32909a2b09</errorID>
      <errorWord>“十大”</errorWord>
      <group>L1_Word</group>
      <groupName>字词问题</groupName>
      <ability>L2_Typo</ability>
      <abilityName>字词错误</abilityName>
      <candidateList/>
      <explain>无建议</explain>
      <paraID>4D30668A</paraID>
      <start>94</start>
      <end>98</end>
      <status>ignored</status>
      <modifiedWord/>
      <trackRevisions>false</trackRevisions>
    </reviewItem>
    <reviewItem>
      <errorID>66137a9b-b0b2-4dfc-b57f-45f45a8bfb03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2F48FD4D</paraID>
      <start>0</start>
      <end>2</end>
      <status>ignored</status>
      <modifiedWord/>
      <trackRevisions>false</trackRevisions>
    </reviewItem>
    <reviewItem>
      <errorID>b2d5efa8-4e1e-417b-a500-9ecbfef56fca</errorID>
      <errorWord>城乡结合部</errorWord>
      <group>L1_Knowledge</group>
      <groupName>知识性问题</groupName>
      <ability>L2_Knowledge</ability>
      <abilityName>其他知识</abilityName>
      <candidateList>
        <item>城乡接合部</item>
      </candidateList>
      <explain/>
      <paraID>2F48FD4D</paraID>
      <start>50</start>
      <end>55</end>
      <status>ignored</status>
      <modifiedWord/>
      <trackRevisions>false</trackRevisions>
    </reviewItem>
    <reviewItem>
      <errorID>50f3ef7c-5dcb-4ea7-a750-f0c192c5fca1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51035690</paraID>
      <start>0</start>
      <end>2</end>
      <status>ignored</status>
      <modifiedWord/>
      <trackRevisions>false</trackRevisions>
    </reviewItem>
    <reviewItem>
      <errorID>a6c8e1d6-cbcb-46aa-b5b9-59562579aea3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77442028</paraID>
      <start>0</start>
      <end>2</end>
      <status>ignored</status>
      <modifiedWord/>
      <trackRevisions>false</trackRevisions>
    </reviewItem>
    <reviewItem>
      <errorID>a9d32a7b-8c1b-4b2b-a48e-215172706ae4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60224EAE</paraID>
      <start>0</start>
      <end>2</end>
      <status>ignored</status>
      <modifiedWord/>
      <trackRevisions>false</trackRevisions>
    </reviewItem>
    <reviewItem>
      <errorID>fb248aff-b39f-4dc3-ae35-49b82aba0f64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3D56ADD0</paraID>
      <start>0</start>
      <end>2</end>
      <status>ignored</status>
      <modifiedWord/>
      <trackRevisions>false</trackRevisions>
    </reviewItem>
    <reviewItem>
      <errorID>fa4b34c6-8779-49d7-a14e-a067b491688f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5B60B51</paraID>
      <start>0</start>
      <end>2</end>
      <status>ignored</status>
      <modifiedWord/>
      <trackRevisions>false</trackRevisions>
    </reviewItem>
    <reviewItem>
      <errorID>21566cdb-845b-49b1-b72d-5acf1acd491b</errorID>
      <errorWord>污水</errorWord>
      <group>L1_Punc</group>
      <groupName>标点问题</groupName>
      <ability>L2_Punc_CN</ability>
      <abilityName>标点符号问题</abilityName>
      <candidateList>
        <item>污水。</item>
      </candidateList>
      <explain/>
      <paraID> 5B60B51</paraID>
      <start>30</start>
      <end>33</end>
      <status>modified</status>
      <modifiedWord>污水。</modifiedWord>
      <trackRevisions>false</trackRevisions>
    </reviewItem>
    <reviewItem>
      <errorID>339d7bb2-85ca-4b41-a6ab-4772cd2dfb03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30AD882D</paraID>
      <start>0</start>
      <end>2</end>
      <status>ignored</status>
      <modifiedWord/>
      <trackRevisions>false</trackRevisions>
    </reviewItem>
    <reviewItem>
      <errorID>66c03af4-6a6a-4c36-87ef-f45272d75f42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4652C107</paraID>
      <start>0</start>
      <end>2</end>
      <status>ignored</status>
      <modifiedWord/>
      <trackRevisions>false</trackRevisions>
    </reviewItem>
    <reviewItem>
      <errorID>e1dd6d72-9f04-4d86-9ff1-6093a638f1a5</errorID>
      <errorWord>污水</errorWord>
      <group>L1_Punc</group>
      <groupName>标点问题</groupName>
      <ability>L2_Punc_CN</ability>
      <abilityName>标点符号问题</abilityName>
      <candidateList>
        <item>污水。</item>
      </candidateList>
      <explain/>
      <paraID>4652C107</paraID>
      <start>14</start>
      <end>17</end>
      <status>modified</status>
      <modifiedWord>污水。</modifiedWord>
      <trackRevisions>false</trackRevisions>
    </reviewItem>
    <reviewItem>
      <errorID>30afb290-3acf-4e9a-be9c-188c6894e5f4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82A73A5</paraID>
      <start>0</start>
      <end>2</end>
      <status>ignored</status>
      <modifiedWord/>
      <trackRevisions>false</trackRevisions>
    </reviewItem>
    <reviewItem>
      <errorID>2e1d3c73-5735-4222-b063-203c9b99acf0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6B4CBE1C</paraID>
      <start>0</start>
      <end>2</end>
      <status>ignored</status>
      <modifiedWord/>
      <trackRevisions>false</trackRevisions>
    </reviewItem>
    <reviewItem>
      <errorID>3c16d411-70e2-430a-a1fe-83b48b7c19f0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6D22EC42</paraID>
      <start>0</start>
      <end>2</end>
      <status>ignored</status>
      <modifiedWord/>
      <trackRevisions>false</trackRevisions>
    </reviewItem>
    <reviewItem>
      <errorID>54f2aecd-6256-4d11-998e-744b7fbd1476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1EDC203A</paraID>
      <start>0</start>
      <end>2</end>
      <status>ignored</status>
      <modifiedWord/>
      <trackRevisions>false</trackRevisions>
    </reviewItem>
    <reviewItem>
      <errorID>516bd24f-3738-49e9-8060-21df99069088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5254B4A4</paraID>
      <start>0</start>
      <end>2</end>
      <status>ignored</status>
      <modifiedWord/>
      <trackRevisions>false</trackRevisions>
    </reviewItem>
    <reviewItem>
      <errorID>61af454b-e7c6-474d-bc9a-8546d687f945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57927561</paraID>
      <start>0</start>
      <end>2</end>
      <status>ignored</status>
      <modifiedWord/>
      <trackRevisions>false</trackRevisions>
    </reviewItem>
    <reviewItem>
      <errorID>55521480-f5c0-478b-844c-681e10fe56b7</errorID>
      <errorWord>提供</errorWord>
      <group>L1_Punc</group>
      <groupName>标点问题</groupName>
      <ability>L2_Punc_CN</ability>
      <abilityName>标点符号问题</abilityName>
      <candidateList>
        <item>提供。</item>
      </candidateList>
      <explain/>
      <paraID>57927561</paraID>
      <start>15</start>
      <end>18</end>
      <status>modified</status>
      <modifiedWord>提供。</modifiedWord>
      <trackRevisions>false</trackRevisions>
    </reviewItem>
    <reviewItem>
      <errorID>f7367542-1ce0-46ca-a1cd-71198a7d6253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5E14170D</paraID>
      <start>0</start>
      <end>2</end>
      <status>ignored</status>
      <modifiedWord/>
      <trackRevisions>false</trackRevisions>
    </reviewItem>
    <reviewItem>
      <errorID>8b9edeee-4067-4919-8d89-a92f098c8b20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3B0E5405</paraID>
      <start>0</start>
      <end>2</end>
      <status>ignored</status>
      <modifiedWord/>
      <trackRevisions>false</trackRevisions>
    </reviewItem>
    <reviewItem>
      <errorID>483bd128-d581-444b-b0e3-983f710f99c2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60F61E6D</paraID>
      <start>0</start>
      <end>2</end>
      <status>ignored</status>
      <modifiedWord/>
      <trackRevisions>false</trackRevisions>
    </reviewItem>
    <reviewItem>
      <errorID>a1299815-e3e5-4483-950a-447abe71751c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6DD23512</paraID>
      <start>0</start>
      <end>2</end>
      <status>ignored</status>
      <modifiedWord/>
      <trackRevisions>false</trackRevisions>
    </reviewItem>
    <reviewItem>
      <errorID>d4bf284f-934e-49eb-baab-326d0fdb6b23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2433EA50</paraID>
      <start>0</start>
      <end>2</end>
      <status>ignored</status>
      <modifiedWord/>
      <trackRevisions>false</trackRevisions>
    </reviewItem>
    <reviewItem>
      <errorID>2c4ebcca-f0d5-4daa-b3ad-b8f07597323c</errorID>
      <errorWord>要求</errorWord>
      <group>L1_Punc</group>
      <groupName>标点问题</groupName>
      <ability>L2_Punc_CN</ability>
      <abilityName>标点符号问题</abilityName>
      <candidateList>
        <item>要求。</item>
      </candidateList>
      <explain/>
      <paraID>2433EA50</paraID>
      <start>22</start>
      <end>25</end>
      <status>modified</status>
      <modifiedWord>要求。</modifiedWord>
      <trackRevisions>false</trackRevisions>
    </reviewItem>
    <reviewItem>
      <errorID>380b3bf1-5c50-44da-94a6-47d8570283ba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2ECF0C0C</paraID>
      <start>0</start>
      <end>2</end>
      <status>ignored</status>
      <modifiedWord/>
      <trackRevisions>false</trackRevisions>
    </reviewItem>
    <reviewItem>
      <errorID>16b1621e-edc4-40c9-b228-1eacf7cc115b</errorID>
      <errorWord>污泥</errorWord>
      <group>L1_Word</group>
      <groupName>字词问题</groupName>
      <ability>L2_Typo</ability>
      <abilityName>字词错误</abilityName>
      <candidateList>
        <item>的污泥</item>
      </candidateList>
      <explain/>
      <paraID>2ECF0C0C</paraID>
      <start>19</start>
      <end>21</end>
      <status>ignored</status>
      <modifiedWord/>
      <trackRevisions>false</trackRevisions>
    </reviewItem>
    <reviewItem>
      <errorID>8358418b-5564-493b-a321-838a51c741f5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715A12E5</paraID>
      <start>0</start>
      <end>2</end>
      <status>ignored</status>
      <modifiedWord/>
      <trackRevisions>false</trackRevisions>
    </reviewItem>
    <reviewItem>
      <errorID>27d454c1-fbca-4af6-98d3-e73607ac5d2c</errorID>
      <errorWord>，</errorWord>
      <group>L1_Word</group>
      <groupName>字词问题</groupName>
      <ability>L2_Typo</ability>
      <abilityName>字词错误</abilityName>
      <candidateList>
        <item>，对</item>
      </candidateList>
      <explain/>
      <paraID>715A12E5</paraID>
      <start>42</start>
      <end>43</end>
      <status>ignored</status>
      <modifiedWord/>
      <trackRevisions>false</trackRevisions>
    </reviewItem>
    <reviewItem>
      <errorID>7f6143c3-db0c-4773-95a2-8961eb1cd792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7140B941</paraID>
      <start>0</start>
      <end>2</end>
      <status>ignored</status>
      <modifiedWord/>
      <trackRevisions>false</trackRevisions>
    </reviewItem>
    <reviewItem>
      <errorID>dee5fb7e-0fa7-4b15-ab58-98fe91fa863b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9E213D8</paraID>
      <start>0</start>
      <end>2</end>
      <status>ignored</status>
      <modifiedWord/>
      <trackRevisions>false</trackRevisions>
    </reviewItem>
    <reviewItem>
      <errorID>14d2b80a-c73f-47c6-a108-760a8a90d79f</errorID>
      <errorWord>处理、处置</errorWord>
      <group>L1_Grammar</group>
      <groupName>语法问题</groupName>
      <ability>L2_Grammar</ability>
      <abilityName>语法错误</abilityName>
      <candidateList>
        <item>处理</item>
      </candidateList>
      <explain/>
      <paraID> 9E213D8</paraID>
      <start>103</start>
      <end>108</end>
      <status>ignored</status>
      <modifiedWord/>
      <trackRevisions>false</trackRevisions>
    </reviewItem>
    <reviewItem>
      <errorID>2ec86d8a-71de-4331-b169-53e466440d85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618F6AC9</paraID>
      <start>0</start>
      <end>2</end>
      <status>ignored</status>
      <modifiedWord/>
      <trackRevisions>false</trackRevisions>
    </reviewItem>
    <reviewItem>
      <errorID>b533afcc-13ed-4159-b08d-917095844965</errorID>
      <errorWord>危险废物全链条监管</errorWord>
      <group>L1_Political</group>
      <groupName>政治性问题</groupName>
      <ability>L2_Keyword</ability>
      <abilityName>固定表述</abilityName>
      <candidateList>
        <item>危险废物全过程监管</item>
      </candidateList>
      <explain>词汇“危险废物全过程监管”在特定场景下为固定表述形式，请确认此处的“危险废物全链条监管”是否存在不当。</explain>
      <paraID>618F6AC9</paraID>
      <start>84</start>
      <end>93</end>
      <status>ignored</status>
      <modifiedWord/>
      <trackRevisions>false</trackRevisions>
    </reviewItem>
    <reviewItem>
      <errorID>a2e6d7de-7109-4be3-b528-6f079a48c247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418029CC</paraID>
      <start>0</start>
      <end>2</end>
      <status>ignored</status>
      <modifiedWord/>
      <trackRevisions>false</trackRevisions>
    </reviewItem>
    <reviewItem>
      <errorID>e00bb64b-5ae1-41c4-ae3e-75131d287558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6B196B08</paraID>
      <start>0</start>
      <end>2</end>
      <status>ignored</status>
      <modifiedWord/>
      <trackRevisions>false</trackRevisions>
    </reviewItem>
    <reviewItem>
      <errorID>b60cff78-c003-42b0-b642-0517811de1b6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40EB2A08</paraID>
      <start>0</start>
      <end>2</end>
      <status>ignored</status>
      <modifiedWord/>
      <trackRevisions>false</trackRevisions>
    </reviewItem>
    <reviewItem>
      <errorID>ed25dee5-97fe-40f8-8596-834e9f1395f9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3AD1693A</paraID>
      <start>0</start>
      <end>2</end>
      <status>ignored</status>
      <modifiedWord/>
      <trackRevisions>false</trackRevisions>
    </reviewItem>
    <reviewItem>
      <errorID>e1b741e5-446a-4f29-8e21-631433334c9b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1B257A4F</paraID>
      <start>0</start>
      <end>2</end>
      <status>ignored</status>
      <modifiedWord/>
      <trackRevisions>false</trackRevisions>
    </reviewItem>
    <reviewItem>
      <errorID>8b32d99b-8bda-4a73-b850-28553d3db36c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3870EEE5</paraID>
      <start>0</start>
      <end>2</end>
      <status>ignored</status>
      <modifiedWord/>
      <trackRevisions>false</trackRevisions>
    </reviewItem>
    <reviewItem>
      <errorID>a9f851ef-79ef-41fd-8ee2-6d1cfd56dfcb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71334E5B</paraID>
      <start>0</start>
      <end>2</end>
      <status>ignored</status>
      <modifiedWord/>
      <trackRevisions>false</trackRevisions>
    </reviewItem>
    <reviewItem>
      <errorID>baa8dc64-b69d-4617-8263-d7eb44bb412a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7F162B5F</paraID>
      <start>0</start>
      <end>2</end>
      <status>ignored</status>
      <modifiedWord/>
      <trackRevisions>false</trackRevisions>
    </reviewItem>
    <reviewItem>
      <errorID>7256b5f7-302f-4d41-ac55-13bfbd7e09b6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50088986</paraID>
      <start>0</start>
      <end>2</end>
      <status>ignored</status>
      <modifiedWord/>
      <trackRevisions>false</trackRevisions>
    </reviewItem>
    <reviewItem>
      <errorID>46d7d3e7-4659-438a-848f-5b499e30b040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7D6D137C</paraID>
      <start>0</start>
      <end>2</end>
      <status>ignored</status>
      <modifiedWord/>
      <trackRevisions>false</trackRevisions>
    </reviewItem>
    <reviewItem>
      <errorID>c5f61c82-ea2d-4964-b295-6415b762cb4a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5AADCCBA</paraID>
      <start>0</start>
      <end>2</end>
      <status>ignored</status>
      <modifiedWord/>
      <trackRevisions>false</trackRevisions>
    </reviewItem>
    <reviewItem>
      <errorID>feea68e5-3049-4f44-b080-1c4fafb2a298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1626DCA9</paraID>
      <start>0</start>
      <end>2</end>
      <status>ignored</status>
      <modifiedWord/>
      <trackRevisions>false</trackRevisions>
    </reviewItem>
    <reviewItem>
      <errorID>d489ea2f-c844-464d-955d-9c23eb753c9d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23963C7F</paraID>
      <start>0</start>
      <end>2</end>
      <status>ignored</status>
      <modifiedWord/>
      <trackRevisions>false</trackRevisions>
    </reviewItem>
    <reviewItem>
      <errorID>76e90214-3557-4c76-bf3c-15ae9a6e122b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7E6F75C</paraID>
      <start>0</start>
      <end>2</end>
      <status>ignored</status>
      <modifiedWord/>
      <trackRevisions>false</trackRevisions>
    </reviewItem>
    <reviewItem>
      <errorID>62c598c0-a83d-4274-8642-b2eee020299a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4F308E87</paraID>
      <start>0</start>
      <end>3</end>
      <status>ignored</status>
      <modifiedWord/>
      <trackRevisions>false</trackRevisions>
    </reviewItem>
    <reviewItem>
      <errorID>ba3b113d-979c-4f53-ba44-af017487c64f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4819E8EB</paraID>
      <start>0</start>
      <end>2</end>
      <status>ignored</status>
      <modifiedWord/>
      <trackRevisions>false</trackRevisions>
    </reviewItem>
    <reviewItem>
      <errorID>bf294250-d87a-4e42-be7e-a9b355c40318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B65B040</paraID>
      <start>0</start>
      <end>2</end>
      <status>ignored</status>
      <modifiedWord/>
      <trackRevisions>false</trackRevisions>
    </reviewItem>
    <reviewItem>
      <errorID>8147f603-a9db-4515-8951-5c4ca906c097</errorID>
      <errorWord>,</errorWord>
      <group>L1_Format</group>
      <groupName>格式问题</groupName>
      <ability>L2_HalfPunc_CN</ability>
      <abilityName>全半角问题</abilityName>
      <candidateList>
        <item>，</item>
      </candidateList>
      <explain>文本全半角错误。</explain>
      <paraID>4C50FBF5</paraID>
      <start>47</start>
      <end>48</end>
      <status>modified</status>
      <modifiedWord>，</modifiedWord>
      <trackRevisions>false</trackRevisions>
    </reviewItem>
    <reviewItem>
      <errorID>49b41d9e-e6db-4d2c-ba85-272f1d319f24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2C494601</paraID>
      <start>0</start>
      <end>2</end>
      <status>ignored</status>
      <modifiedWord/>
      <trackRevisions>false</trackRevisions>
    </reviewItem>
    <reviewItem>
      <errorID>5ab4aa66-0bf5-42f8-bfc9-9c588362cb29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3E312298</paraID>
      <start>0</start>
      <end>2</end>
      <status>ignored</status>
      <modifiedWord/>
      <trackRevisions>false</trackRevisions>
    </reviewItem>
    <reviewItem>
      <errorID>4c1e9331-2809-48b9-9097-f770ebf57966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794D3ED5</paraID>
      <start>0</start>
      <end>2</end>
      <status>ignored</status>
      <modifiedWord/>
      <trackRevisions>false</trackRevisions>
    </reviewItem>
    <reviewItem>
      <errorID>3986a557-f3b3-4993-8299-7d14ab3b7636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2A31F1EE</paraID>
      <start>0</start>
      <end>2</end>
      <status>ignored</status>
      <modifiedWord/>
      <trackRevisions>false</trackRevisions>
    </reviewItem>
    <reviewItem>
      <errorID>68d3045e-d6f6-4894-a408-958323b63d25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8211EF4</paraID>
      <start>0</start>
      <end>2</end>
      <status>ignored</status>
      <modifiedWord/>
      <trackRevisions>false</trackRevisions>
    </reviewItem>
    <reviewItem>
      <errorID>f046de76-384c-4444-a053-2262069cc6eb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2F78D08B</paraID>
      <start>0</start>
      <end>2</end>
      <status>ignored</status>
      <modifiedWord/>
      <trackRevisions>false</trackRevisions>
    </reviewItem>
    <reviewItem>
      <errorID>e0853def-fe8b-42d8-8f05-af2183ee2f6e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7E0D5DBA</paraID>
      <start>0</start>
      <end>2</end>
      <status>ignored</status>
      <modifiedWord/>
      <trackRevisions>false</trackRevisions>
    </reviewItem>
    <reviewItem>
      <errorID>26b373fa-e3e4-4f5c-8657-34f67e7a82ba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2CD8F510</paraID>
      <start>0</start>
      <end>2</end>
      <status>ignored</status>
      <modifiedWord/>
      <trackRevisions>false</trackRevisions>
    </reviewItem>
    <reviewItem>
      <errorID>e00a7939-63ef-4ed0-a00b-4c41972fe430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628D894</paraID>
      <start>0</start>
      <end>2</end>
      <status>ignored</status>
      <modifiedWord/>
      <trackRevisions>false</trackRevisions>
    </reviewItem>
    <reviewItem>
      <errorID>0896b93d-52df-4a0a-b8b2-dd4381f41818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6D1F3E9C</paraID>
      <start>0</start>
      <end>2</end>
      <status>ignored</status>
      <modifiedWord/>
      <trackRevisions>false</trackRevisions>
    </reviewItem>
    <reviewItem>
      <errorID>7c9102c2-196a-4fb9-8740-95c69c9f2b69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664A09A3</paraID>
      <start>0</start>
      <end>2</end>
      <status>ignored</status>
      <modifiedWord/>
      <trackRevisions>false</trackRevisions>
    </reviewItem>
    <reviewItem>
      <errorID>0707380b-5fa6-4f92-be30-3c1f0936e50f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2305425C</paraID>
      <start>0</start>
      <end>2</end>
      <status>ignored</status>
      <modifiedWord/>
      <trackRevisions>false</trackRevisions>
    </reviewItem>
    <reviewItem>
      <errorID>d5fea360-e522-481c-8653-3c418b074278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D5C78C7</paraID>
      <start>0</start>
      <end>2</end>
      <status>ignored</status>
      <modifiedWord/>
      <trackRevisions>false</trackRevisions>
    </reviewItem>
    <reviewItem>
      <errorID>52871fc3-7a21-48f0-8d91-5af6b05c9daa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18D01308</paraID>
      <start>0</start>
      <end>2</end>
      <status>ignored</status>
      <modifiedWord/>
      <trackRevisions>false</trackRevisions>
    </reviewItem>
    <reviewItem>
      <errorID>e347fda4-bf1a-4611-b894-223a73fd0d46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36964B93</paraID>
      <start>0</start>
      <end>2</end>
      <status>ignored</status>
      <modifiedWord/>
      <trackRevisions>false</trackRevisions>
    </reviewItem>
    <reviewItem>
      <errorID>ee3cb079-5546-47d4-b91d-496c6ee53be5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1F4508C1</paraID>
      <start>0</start>
      <end>2</end>
      <status>ignored</status>
      <modifiedWord/>
      <trackRevisions>false</trackRevisions>
    </reviewItem>
    <reviewItem>
      <errorID>6a67406d-bf43-43e9-8ed2-05683815fe0e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522BD776</paraID>
      <start>0</start>
      <end>2</end>
      <status>ignored</status>
      <modifiedWord/>
      <trackRevisions>false</trackRevisions>
    </reviewItem>
    <reviewItem>
      <errorID>484366d7-a221-4164-bf67-1f3ece26ddf3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63BA3DD3</paraID>
      <start>0</start>
      <end>2</end>
      <status>ignored</status>
      <modifiedWord/>
      <trackRevisions>false</trackRevisions>
    </reviewItem>
    <reviewItem>
      <errorID>c0b4197c-71c1-4adf-b56a-315d1447acbe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6FBAD765</paraID>
      <start>0</start>
      <end>2</end>
      <status>ignored</status>
      <modifiedWord/>
      <trackRevisions>false</trackRevisions>
    </reviewItem>
    <reviewItem>
      <errorID>758dca23-08d8-427f-81fe-376cc348a835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23AA05D7</paraID>
      <start>0</start>
      <end>2</end>
      <status>ignored</status>
      <modifiedWord/>
      <trackRevisions>false</trackRevisions>
    </reviewItem>
    <reviewItem>
      <errorID>391baefa-ca2e-44af-b391-e3b817813bcf</errorID>
      <errorWord>》</errorWord>
      <group>L1_Word</group>
      <groupName>字词问题</groupName>
      <ability>L2_Typo</ability>
      <abilityName>字词错误</abilityName>
      <candidateList>
        <item>》等</item>
      </candidateList>
      <explain/>
      <paraID>23AA05D7</paraID>
      <start>41</start>
      <end>42</end>
      <status>ignored</status>
      <modifiedWord/>
      <trackRevisions>false</trackRevisions>
    </reviewItem>
    <reviewItem>
      <errorID>bfa4e702-cd77-444c-8285-2fbc85fb65f0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57807E87</paraID>
      <start>0</start>
      <end>2</end>
      <status>ignored</status>
      <modifiedWord/>
      <trackRevisions>false</trackRevisions>
    </reviewItem>
    <reviewItem>
      <errorID>b65cc73b-c71a-44a3-931d-3ff2490bd33a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66BC2A6C</paraID>
      <start>0</start>
      <end>2</end>
      <status>ignored</status>
      <modifiedWord/>
      <trackRevisions>false</trackRevisions>
    </reviewItem>
    <reviewItem>
      <errorID>3bcf9e23-dad5-42ed-b5ed-c13ee6fb5cdc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2D7551EB</paraID>
      <start>0</start>
      <end>2</end>
      <status>ignored</status>
      <modifiedWord/>
      <trackRevisions>false</trackRevisions>
    </reviewItem>
    <reviewItem>
      <errorID>74b7acf3-525f-4bba-afbd-24b496ddfce5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7A646F9D</paraID>
      <start>0</start>
      <end>2</end>
      <status>ignored</status>
      <modifiedWord/>
      <trackRevisions>false</trackRevisions>
    </reviewItem>
    <reviewItem>
      <errorID>caafcd05-a6bd-44e0-94bb-8459b8941d1e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29127A3D</paraID>
      <start>0</start>
      <end>2</end>
      <status>ignored</status>
      <modifiedWord/>
      <trackRevisions>false</trackRevisions>
    </reviewItem>
    <reviewItem>
      <errorID>19c6ce93-3d49-4850-80d2-4f7c07fa5087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3991B2F1</paraID>
      <start>0</start>
      <end>2</end>
      <status>ignored</status>
      <modifiedWord/>
      <trackRevisions>false</trackRevisions>
    </reviewItem>
    <reviewItem>
      <errorID>059d25b6-d8b7-4cf3-80ae-cb9fec898c7e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30218CF5</paraID>
      <start>0</start>
      <end>2</end>
      <status>ignored</status>
      <modifiedWord/>
      <trackRevisions>false</trackRevisions>
    </reviewItem>
    <reviewItem>
      <errorID>4ba19bff-5a7a-4f85-94bf-529c9887a6e3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19D1D000</paraID>
      <start>0</start>
      <end>2</end>
      <status>ignored</status>
      <modifiedWord/>
      <trackRevisions>false</trackRevisions>
    </reviewItem>
    <reviewItem>
      <errorID>51d2086f-2bd9-4a62-9a40-6ae14d5cc9b1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2327A0A7</paraID>
      <start>0</start>
      <end>3</end>
      <status>ignored</status>
      <modifiedWord/>
      <trackRevisions>false</trackRevisions>
    </reviewItem>
    <reviewItem>
      <errorID>b5058a64-2f05-408b-a8e5-391d7fbad815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55A66716</paraID>
      <start>0</start>
      <end>3</end>
      <status>ignored</status>
      <modifiedWord/>
      <trackRevisions>false</trackRevisions>
    </reviewItem>
    <reviewItem>
      <errorID>884176fc-0011-4376-95b1-4aac96ebffa2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2F071857</paraID>
      <start>0</start>
      <end>3</end>
      <status>ignored</status>
      <modifiedWord/>
      <trackRevisions>false</trackRevisions>
    </reviewItem>
    <reviewItem>
      <errorID>ac4b84ef-aed6-480f-b3c1-3000fd3bff92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35C106FF</paraID>
      <start>0</start>
      <end>3</end>
      <status>ignored</status>
      <modifiedWord/>
      <trackRevisions>false</trackRevisions>
    </reviewItem>
    <reviewItem>
      <errorID>f5782956-7ecf-42e6-93ac-c48f389d7595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3F025B0B</paraID>
      <start>0</start>
      <end>3</end>
      <status>ignored</status>
      <modifiedWord/>
      <trackRevisions>false</trackRevisions>
    </reviewItem>
    <reviewItem>
      <errorID>24b9d1d3-8236-46c4-bc77-135d3b4e9936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1458DCA9</paraID>
      <start>0</start>
      <end>3</end>
      <status>ignored</status>
      <modifiedWord/>
      <trackRevisions>false</trackRevisions>
    </reviewItem>
    <reviewItem>
      <errorID>0fe3d815-ff8f-4f20-8b62-c522ca3743eb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3CF4E455</paraID>
      <start>0</start>
      <end>3</end>
      <status>ignored</status>
      <modifiedWord/>
      <trackRevisions>false</trackRevisions>
    </reviewItem>
    <reviewItem>
      <errorID>e38ebad8-8c6c-4e93-b445-9ad32a66a7da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700AE641</paraID>
      <start>0</start>
      <end>3</end>
      <status>ignored</status>
      <modifiedWord/>
      <trackRevisions>false</trackRevisions>
    </reviewItem>
    <reviewItem>
      <errorID>18675f2d-2a3c-48db-9f76-67395d5aae6f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14D99F1B</paraID>
      <start>0</start>
      <end>3</end>
      <status>ignored</status>
      <modifiedWord/>
      <trackRevisions>false</trackRevisions>
    </reviewItem>
    <reviewItem>
      <errorID>97dfb240-ef68-47be-84cd-baf46c47c3e3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644B0BF8</paraID>
      <start>0</start>
      <end>2</end>
      <status>ignored</status>
      <modifiedWord/>
      <trackRevisions>false</trackRevisions>
    </reviewItem>
    <reviewItem>
      <errorID>e58cfeb2-9660-4a20-91f9-487877a0827e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3C0F2B4F</paraID>
      <start>0</start>
      <end>3</end>
      <status>ignored</status>
      <modifiedWord/>
      <trackRevisions>false</trackRevisions>
    </reviewItem>
    <reviewItem>
      <errorID>81eb137a-2ee9-4683-a52a-94b14e5bf0b2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205BF64E</paraID>
      <start>0</start>
      <end>2</end>
      <status>ignored</status>
      <modifiedWord/>
      <trackRevisions>false</trackRevisions>
    </reviewItem>
    <reviewItem>
      <errorID>208dd4d8-e0b3-42af-aa2e-0f4feac38798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476F9711</paraID>
      <start>0</start>
      <end>2</end>
      <status>ignored</status>
      <modifiedWord/>
      <trackRevisions>false</trackRevisions>
    </reviewItem>
    <reviewItem>
      <errorID>5cffe51c-328d-461a-b593-a2f94fd4ca4c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4B094036</paraID>
      <start>0</start>
      <end>2</end>
      <status>ignored</status>
      <modifiedWord/>
      <trackRevisions>false</trackRevisions>
    </reviewItem>
    <reviewItem>
      <errorID>62552967-ff8d-40cb-9c41-e980a88fde97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770B502D</paraID>
      <start>0</start>
      <end>2</end>
      <status>ignored</status>
      <modifiedWord/>
      <trackRevisions>false</trackRevisions>
    </reviewItem>
    <reviewItem>
      <errorID>6250feb2-5f7b-4928-9edb-d67d6082baba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770B502D</paraID>
      <start>174</start>
      <end>177</end>
      <status>ignored</status>
      <modifiedWord/>
      <trackRevisions>false</trackRevisions>
    </reviewItem>
    <reviewItem>
      <errorID>5c97b7ce-a35a-4ea0-8403-7df281a9aed7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1525751F</paraID>
      <start>0</start>
      <end>2</end>
      <status>ignored</status>
      <modifiedWord/>
      <trackRevisions>false</trackRevisions>
    </reviewItem>
    <reviewItem>
      <errorID>1e9abe18-a2f2-4bd0-a343-f5f39287f3f3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2D14172</paraID>
      <start>0</start>
      <end>2</end>
      <status>ignored</status>
      <modifiedWord/>
      <trackRevisions>false</trackRevisions>
    </reviewItem>
    <reviewItem>
      <errorID>d32a7dd2-2ce3-4561-985f-879b1762e557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20653A33</paraID>
      <start>0</start>
      <end>2</end>
      <status>ignored</status>
      <modifiedWord/>
      <trackRevisions>false</trackRevisions>
    </reviewItem>
    <reviewItem>
      <errorID>a6cb41d5-b15e-4e34-a670-2046741e78ae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24E34E08</paraID>
      <start>0</start>
      <end>2</end>
      <status>ignored</status>
      <modifiedWord/>
      <trackRevisions>false</trackRevisions>
    </reviewItem>
    <reviewItem>
      <errorID>e3ed3e09-8a29-4f55-be57-86a57875fb23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3BD73E54</paraID>
      <start>0</start>
      <end>2</end>
      <status>ignored</status>
      <modifiedWord/>
      <trackRevisions>false</trackRevisions>
    </reviewItem>
    <reviewItem>
      <errorID>60b50390-dc7b-45be-a655-c624b4456c9c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6910C0DC</paraID>
      <start>0</start>
      <end>2</end>
      <status>ignored</status>
      <modifiedWord/>
      <trackRevisions>false</trackRevisions>
    </reviewItem>
    <reviewItem>
      <errorID>2edbe0ad-2bae-4da9-b91f-67b070a3a713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177BB793</paraID>
      <start>0</start>
      <end>2</end>
      <status>ignored</status>
      <modifiedWord/>
      <trackRevisions>false</trackRevisions>
    </reviewItem>
    <reviewItem>
      <errorID>7f63e584-11bc-4424-a056-6374e577506b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2030C008</paraID>
      <start>0</start>
      <end>2</end>
      <status>ignored</status>
      <modifiedWord/>
      <trackRevisions>false</trackRevisions>
    </reviewItem>
    <reviewItem>
      <errorID>f1c4ab12-9a66-43f1-89e7-fc488d4a5746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B27A6C1</paraID>
      <start>0</start>
      <end>2</end>
      <status>ignored</status>
      <modifiedWord/>
      <trackRevisions>false</trackRevisions>
    </reviewItem>
    <reviewItem>
      <errorID>66f1f900-5b23-4ade-8e0c-cbaeae54f8f3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7F1DA28</paraID>
      <start>0</start>
      <end>2</end>
      <status>ignored</status>
      <modifiedWord/>
      <trackRevisions>false</trackRevisions>
    </reviewItem>
    <reviewItem>
      <errorID>25cbf012-6b7b-410b-bee1-42451c1f8a36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2F97D47D</paraID>
      <start>0</start>
      <end>2</end>
      <status>ignored</status>
      <modifiedWord/>
      <trackRevisions>false</trackRevisions>
    </reviewItem>
    <reviewItem>
      <errorID>e577ac4a-ffcd-4a82-abb2-fda1eb46c9a9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25082471</paraID>
      <start>0</start>
      <end>2</end>
      <status>ignored</status>
      <modifiedWord/>
      <trackRevisions>false</trackRevisions>
    </reviewItem>
    <reviewItem>
      <errorID>7dac7bc5-b662-4e96-9855-6cdefaf99d91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6D79E568</paraID>
      <start>0</start>
      <end>2</end>
      <status>ignored</status>
      <modifiedWord/>
      <trackRevisions>false</trackRevisions>
    </reviewItem>
    <reviewItem>
      <errorID>5983367d-0cd2-4876-8d90-922742b260e7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713EBB79</paraID>
      <start>0</start>
      <end>2</end>
      <status>ignored</status>
      <modifiedWord/>
      <trackRevisions>false</trackRevisions>
    </reviewItem>
    <reviewItem>
      <errorID>626c69b0-c1fd-40c1-af6b-2b16597c1ce2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5B8A3BB0</paraID>
      <start>0</start>
      <end>2</end>
      <status>ignored</status>
      <modifiedWord/>
      <trackRevisions>false</trackRevisions>
    </reviewItem>
    <reviewItem>
      <errorID>082e974c-a298-41d6-ad12-f40649bddde4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589AED07</paraID>
      <start>0</start>
      <end>2</end>
      <status>ignored</status>
      <modifiedWord/>
      <trackRevisions>false</trackRevisions>
    </reviewItem>
    <reviewItem>
      <errorID>c91605c7-8273-48eb-a99b-6aea72bce2b2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6A46975B</paraID>
      <start>0</start>
      <end>2</end>
      <status>ignored</status>
      <modifiedWord/>
      <trackRevisions>false</trackRevisions>
    </reviewItem>
    <reviewItem>
      <errorID>27b355ae-4d50-49d2-9299-0f3fee260c9c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2CEA70C7</paraID>
      <start>0</start>
      <end>2</end>
      <status>ignored</status>
      <modifiedWord/>
      <trackRevisions>false</trackRevisions>
    </reviewItem>
    <reviewItem>
      <errorID>9ba806e5-7aed-407f-90c2-6fe73b28a223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1DCBBEDF</paraID>
      <start>0</start>
      <end>2</end>
      <status>ignored</status>
      <modifiedWord/>
      <trackRevisions>false</trackRevisions>
    </reviewItem>
    <reviewItem>
      <errorID>d72566e4-f241-4819-81be-88265d727039</errorID>
      <errorWord>碳排放权交易制度</errorWord>
      <group>L1_Political</group>
      <groupName>政治性问题</groupName>
      <ability>L2_Keyword</ability>
      <abilityName>固定表述</abilityName>
      <candidateList>
        <item>碳排放权市场交易制度</item>
      </candidateList>
      <explain>词汇“碳排放权市场交易制度”在特定场景下为固定表述形式，请确认此处的“碳排放权交易制度”是否存在不当。</explain>
      <paraID>59542843</paraID>
      <start>33</start>
      <end>41</end>
      <status>ignored</status>
      <modifiedWord/>
      <trackRevisions>false</trackRevisions>
    </reviewItem>
    <reviewItem>
      <errorID>c1153f23-3aad-4654-8aff-baec48164064</errorID>
      <errorWord>碳排放权交易制度</errorWord>
      <group>L1_Political</group>
      <groupName>政治性问题</groupName>
      <ability>L2_Keyword</ability>
      <abilityName>固定表述</abilityName>
      <candidateList>
        <item>碳排放权市场交易制度</item>
      </candidateList>
      <explain>词汇“碳排放权市场交易制度”在特定场景下为固定表述形式，请确认此处的“碳排放权交易制度”是否存在不当。</explain>
      <paraID>7346C245</paraID>
      <start>33</start>
      <end>41</end>
      <status>ignored</status>
      <modifiedWord/>
      <trackRevisions>false</trackRevisions>
    </reviewItem>
    <reviewItem>
      <errorID>5c5cb026-1ea2-47f8-9585-c1ac5dbbbdae</errorID>
      <errorWord>备</errorWord>
      <group>L1_Word</group>
      <groupName>字词问题</groupName>
      <ability>L2_Typo</ability>
      <abilityName>字词错误</abilityName>
      <candidateList>
        <item>备和</item>
      </candidateList>
      <explain/>
      <paraID>3AD741C9</paraID>
      <start>46</start>
      <end>47</end>
      <status>ignored</status>
      <modifiedWord/>
      <trackRevisions>false</trackRevisions>
    </reviewItem>
    <reviewItem>
      <errorID>f795c715-e587-4866-b173-8b86922877b4</errorID>
      <errorWord>程</errorWord>
      <group>L1_Word</group>
      <groupName>字词问题</groupName>
      <ability>L2_Typo</ability>
      <abilityName>字词错误</abilityName>
      <candidateList>
        <item>程中</item>
      </candidateList>
      <explain/>
      <paraID>4B0456DA</paraID>
      <start>9</start>
      <end>10</end>
      <status>ignored</status>
      <modifiedWord/>
      <trackRevisions>false</trackRevisions>
    </reviewItem>
    <reviewItem>
      <errorID>4b22dde6-6e00-4923-8068-30671dea4257</errorID>
      <errorWord>连续二周</errorWord>
      <group>L1_Word</group>
      <groupName>字词问题</groupName>
      <ability>L2_Typo</ability>
      <abilityName>字词错误</abilityName>
      <candidateList>
        <item>连续两周</item>
      </candidateList>
      <explain/>
      <paraID>1B5F3933</paraID>
      <start>49</start>
      <end>53</end>
      <status>ignored</status>
      <modifiedWord/>
      <trackRevisions>false</trackRevisions>
    </reviewItem>
    <reviewItem>
      <errorID>bc0d454d-de27-4e72-9650-672206c4577b</errorID>
      <errorWord>超过半年以上</errorWord>
      <group>L1_Grammar</group>
      <groupName>语法问题</groupName>
      <ability>L2_Grammar</ability>
      <abilityName>语法错误</abilityName>
      <candidateList>
        <item>超过半年</item>
      </candidateList>
      <explain>该表达中的“超过半年以上”存在语义重复。</explain>
      <paraID>1B5F3933</paraID>
      <start>162</start>
      <end>168</end>
      <status>ignored</status>
      <modifiedWord/>
      <trackRevisions>false</trackRevisions>
    </reviewItem>
    <reviewItem>
      <errorID>ce66f756-1ba6-4963-a3db-9a5b2036ce27</errorID>
      <errorWord>程</errorWord>
      <group>L1_Word</group>
      <groupName>字词问题</groupName>
      <ability>L2_Typo</ability>
      <abilityName>字词错误</abilityName>
      <candidateList>
        <item>程中</item>
      </candidateList>
      <explain/>
      <paraID>42066CCE</paraID>
      <start>6</start>
      <end>8</end>
      <status>modified</status>
      <modifiedWord>程中</modifiedWord>
      <trackRevisions>false</trackRevisions>
    </reviewItem>
    <reviewItem>
      <errorID>d530c62a-a9de-456a-9687-af47951b48f5</errorID>
      <errorWord>“无废”细胞</errorWord>
      <group>L1_Political</group>
      <groupName>政治性问题</groupName>
      <ability>L2_Keyword</ability>
      <abilityName>固定表述</abilityName>
      <candidateList>
        <item>“无废细胞”</item>
      </candidateList>
      <explain>注意检查当前固定表述标点是否使用规范。</explain>
      <paraID>7863B7D4</paraID>
      <start>8</start>
      <end>14</end>
      <status>ignored</status>
      <modifiedWord/>
      <trackRevisions>false</trackRevisions>
    </reviewItem>
    <reviewItem>
      <errorID>a5dea895-5377-41a6-ae4b-f8f1f207440d</errorID>
      <errorWord>单位为</errorWord>
      <group>L1_Word</group>
      <groupName>字词问题</groupName>
      <ability>L2_Typo</ability>
      <abilityName>字词错误</abilityName>
      <candidateList>
        <item>单位</item>
      </candidateList>
      <explain/>
      <paraID>6424C6DC</paraID>
      <start>31</start>
      <end>33</end>
      <status>modified</status>
      <modifiedWord>单位</modifiedWord>
      <trackRevisions>false</trackRevisions>
    </reviewItem>
    <reviewItem>
      <errorID>a538a31b-e2b7-4a2c-8905-3a4c1f06b698</errorID>
      <errorWord>属于订</errorWord>
      <group>L1_Word</group>
      <groupName>字词问题</groupName>
      <ability>L2_Typo</ability>
      <abilityName>字词错误</abilityName>
      <candidateList>
        <item>属于</item>
      </candidateList>
      <explain/>
      <paraID>2B2B773D</paraID>
      <start>3</start>
      <end>5</end>
      <status>modified</status>
      <modifiedWord>属于</modifiedWord>
      <trackRevisions>false</trackRevisions>
    </reviewItem>
    <reviewItem>
      <errorID>607c40dc-74da-49fd-b7ab-5b23f5599154</errorID>
      <errorWord>[2026]18号</errorWord>
      <group>L1_Knowledge</group>
      <groupName>知识性问题</groupName>
      <ability>L2_Knowledge</ability>
      <abilityName>其他知识</abilityName>
      <candidateList>
        <item>〔2026〕18号</item>
      </candidateList>
      <explain>发文字号格式错误。</explain>
      <paraID>5243288F</paraID>
      <start>24</start>
      <end>33</end>
      <status>ignored</status>
      <modifiedWord/>
      <trackRevisions>false</trackRevisions>
    </reviewItem>
    <reviewItem>
      <errorID>f92983be-7420-456d-b63b-077839af8fd1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3BEA98E2</paraID>
      <start>0</start>
      <end>3</end>
      <status>ignored</status>
      <modifiedWord/>
      <trackRevisions>false</trackRevisions>
    </reviewItem>
    <reviewItem>
      <errorID>46ec2c91-d827-40dd-bdbd-a0249f718c4b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41580670</paraID>
      <start>0</start>
      <end>3</end>
      <status>ignored</status>
      <modifiedWord/>
      <trackRevisions>false</trackRevisions>
    </reviewItem>
    <reviewItem>
      <errorID>d1256b21-7d06-46fd-9c26-602ded0ffca9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3D925FF5</paraID>
      <start>0</start>
      <end>3</end>
      <status>ignored</status>
      <modifiedWord/>
      <trackRevisions>false</trackRevisions>
    </reviewItem>
    <reviewItem>
      <errorID>f1faa732-ec92-4dea-b2b3-a38df969ccf3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38916017</paraID>
      <start>0</start>
      <end>3</end>
      <status>ignored</status>
      <modifiedWord/>
      <trackRevisions>false</trackRevisions>
    </reviewItem>
    <reviewItem>
      <errorID>00d1a27e-1dd0-4112-8357-51ebedd3ede3</errorID>
      <errorWord>;</errorWord>
      <group>L1_Format</group>
      <groupName>格式问题</groupName>
      <ability>L2_HalfPunc_CN</ability>
      <abilityName>全半角问题</abilityName>
      <candidateList>
        <item>；</item>
      </candidateList>
      <explain>文本全半角错误。</explain>
      <paraID>34E65E76</paraID>
      <start>23</start>
      <end>24</end>
      <status>modified</status>
      <modifiedWord>；</modifiedWord>
      <trackRevisions>false</trackRevisions>
    </reviewItem>
    <reviewItem>
      <errorID>a481e38c-3bab-480b-9e8b-80b8aa6749f7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6D3F6A7F</paraID>
      <start>0</start>
      <end>2</end>
      <status>ignored</status>
      <modifiedWord/>
      <trackRevisions>false</trackRevisions>
    </reviewItem>
    <reviewItem>
      <errorID>9a408c2b-63cb-4d2a-956d-67773a50f8f8</errorID>
      <errorWord>;</errorWord>
      <group>L1_Format</group>
      <groupName>格式问题</groupName>
      <ability>L2_HalfPunc_CN</ability>
      <abilityName>全半角问题</abilityName>
      <candidateList>
        <item>；</item>
      </candidateList>
      <explain>文本全半角错误。</explain>
      <paraID>6D3F6A7F</paraID>
      <start>20</start>
      <end>21</end>
      <status>modified</status>
      <modifiedWord>；</modifiedWord>
      <trackRevisions>false</trackRevisions>
    </reviewItem>
    <reviewItem>
      <errorID>0ec22e21-b9c8-450e-9557-96e91e9f108a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D91E566</paraID>
      <start>0</start>
      <end>2</end>
      <status>ignored</status>
      <modifiedWord/>
      <trackRevisions>false</trackRevisions>
    </reviewItem>
    <reviewItem>
      <errorID>1d5a0667-3684-48f9-adac-bc3ed31ec8cc</errorID>
      <errorWord>;</errorWord>
      <group>L1_Format</group>
      <groupName>格式问题</groupName>
      <ability>L2_HalfPunc_CN</ability>
      <abilityName>全半角问题</abilityName>
      <candidateList>
        <item>；</item>
      </candidateList>
      <explain>文本全半角错误。</explain>
      <paraID> D91E566</paraID>
      <start>31</start>
      <end>32</end>
      <status>modified</status>
      <modifiedWord>；</modifiedWord>
      <trackRevisions>false</trackRevisions>
    </reviewItem>
    <reviewItem>
      <errorID>c60bb4ee-043a-44ab-9535-867c439fe239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2623EFEB</paraID>
      <start>0</start>
      <end>2</end>
      <status>ignored</status>
      <modifiedWord/>
      <trackRevisions>false</trackRevisions>
    </reviewItem>
    <reviewItem>
      <errorID>8aaef596-966d-4110-bde0-8a6f2c5edfba</errorID>
      <errorWord>;</errorWord>
      <group>L1_Format</group>
      <groupName>格式问题</groupName>
      <ability>L2_HalfPunc_CN</ability>
      <abilityName>全半角问题</abilityName>
      <candidateList>
        <item>；</item>
      </candidateList>
      <explain>文本全半角错误。</explain>
      <paraID>2623EFEB</paraID>
      <start>29</start>
      <end>30</end>
      <status>modified</status>
      <modifiedWord>；</modifiedWord>
      <trackRevisions>false</trackRevisions>
    </reviewItem>
    <reviewItem>
      <errorID>60564770-0848-423b-8bad-93de2ee5e157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BD484F4</paraID>
      <start>0</start>
      <end>2</end>
      <status>ignored</status>
      <modifiedWord/>
      <trackRevisions>false</trackRevisions>
    </reviewItem>
    <reviewItem>
      <errorID>9a071428-5ee5-4242-bbd0-7301575e24c8</errorID>
      <errorWord>;</errorWord>
      <group>L1_Format</group>
      <groupName>格式问题</groupName>
      <ability>L2_HalfPunc_CN</ability>
      <abilityName>全半角问题</abilityName>
      <candidateList>
        <item>；</item>
      </candidateList>
      <explain>文本全半角错误。</explain>
      <paraID> BD484F4</paraID>
      <start>58</start>
      <end>59</end>
      <status>modified</status>
      <modifiedWord>；</modifiedWord>
      <trackRevisions>false</trackRevisions>
    </reviewItem>
    <reviewItem>
      <errorID>25ece22b-8e42-467e-9769-6523dd2ed77b</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225089F</paraID>
      <start>0</start>
      <end>2</end>
      <status>ignored</status>
      <modifiedWord/>
      <trackRevisions>false</trackRevisions>
    </reviewItem>
    <reviewItem>
      <errorID>1adb283f-7b8f-40f0-b0e5-6f9d917e68e0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60E63B31</paraID>
      <start>0</start>
      <end>2</end>
      <status>ignored</status>
      <modifiedWord/>
      <trackRevisions>false</trackRevisions>
    </reviewItem>
    <reviewItem>
      <errorID>ecfebe61-392a-43de-9cf3-89a6bb4efd49</errorID>
      <errorWord>;</errorWord>
      <group>L1_Format</group>
      <groupName>格式问题</groupName>
      <ability>L2_HalfPunc_CN</ability>
      <abilityName>全半角问题</abilityName>
      <candidateList>
        <item>；</item>
      </candidateList>
      <explain>文本全半角错误。</explain>
      <paraID>60E63B31</paraID>
      <start>66</start>
      <end>67</end>
      <status>modified</status>
      <modifiedWord>；</modifiedWord>
      <trackRevisions>false</trackRevisions>
    </reviewItem>
    <reviewItem>
      <errorID>c1ca6d93-8e72-4a00-a60f-a5aadb839d59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469F9D73</paraID>
      <start>0</start>
      <end>2</end>
      <status>ignored</status>
      <modifiedWord/>
      <trackRevisions>false</trackRevisions>
    </reviewItem>
    <reviewItem>
      <errorID>42a3627a-e86f-456c-9385-d849927f754c</errorID>
      <errorWord>;</errorWord>
      <group>L1_Format</group>
      <groupName>格式问题</groupName>
      <ability>L2_HalfPunc_CN</ability>
      <abilityName>全半角问题</abilityName>
      <candidateList>
        <item>；</item>
      </candidateList>
      <explain>文本全半角错误。</explain>
      <paraID>469F9D73</paraID>
      <start>17</start>
      <end>18</end>
      <status>modified</status>
      <modifiedWord>；</modifiedWord>
      <trackRevisions>false</trackRevisions>
    </reviewItem>
    <reviewItem>
      <errorID>e2dd31ee-ff72-498b-8442-c375ea441a6f</errorID>
      <errorWord>;</errorWord>
      <group>L1_Format</group>
      <groupName>格式问题</groupName>
      <ability>L2_HalfPunc_CN</ability>
      <abilityName>全半角问题</abilityName>
      <candidateList>
        <item>；</item>
      </candidateList>
      <explain>文本全半角错误。</explain>
      <paraID>469F9D73</paraID>
      <start>42</start>
      <end>43</end>
      <status>modified</status>
      <modifiedWord>；</modifiedWord>
      <trackRevisions>false</trackRevisions>
    </reviewItem>
    <reviewItem>
      <errorID>dbdc15ad-98a5-4360-874d-fcb6888c92fe</errorID>
      <errorWord>符合的</errorWord>
      <group>L1_Word</group>
      <groupName>字词问题</groupName>
      <ability>L2_Typo</ability>
      <abilityName>字词错误</abilityName>
      <candidateList>
        <item>符合</item>
      </candidateList>
      <explain/>
      <paraID>403F4575</paraID>
      <start>15</start>
      <end>17</end>
      <status>modified</status>
      <modifiedWord>符合</modifiedWord>
      <trackRevisions>false</trackRevisions>
    </reviewItem>
    <reviewItem>
      <errorID>8053dc81-d8b3-4fc8-b3f0-3ea30a381b05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7E8E9152</paraID>
      <start>0</start>
      <end>2</end>
      <status>ignored</status>
      <modifiedWord/>
      <trackRevisions>false</trackRevisions>
    </reviewItem>
    <reviewItem>
      <errorID>1a88715d-32b5-4214-ad40-648cfb5e920d</errorID>
      <errorWord>,</errorWord>
      <group>L1_Format</group>
      <groupName>格式问题</groupName>
      <ability>L2_HalfPunc_CN</ability>
      <abilityName>全半角问题</abilityName>
      <candidateList>
        <item>，</item>
      </candidateList>
      <explain>文本全半角错误。</explain>
      <paraID>7E8E9152</paraID>
      <start>17</start>
      <end>18</end>
      <status>modified</status>
      <modifiedWord>，</modifiedWord>
      <trackRevisions>false</trackRevisions>
    </reviewItem>
    <reviewItem>
      <errorID>071ff446-0c9b-4c8f-a6a9-0d111f51f5f6</errorID>
      <errorWord>;</errorWord>
      <group>L1_Format</group>
      <groupName>格式问题</groupName>
      <ability>L2_HalfPunc_CN</ability>
      <abilityName>全半角问题</abilityName>
      <candidateList>
        <item>；</item>
      </candidateList>
      <explain>文本全半角错误。</explain>
      <paraID>7E8E9152</paraID>
      <start>66</start>
      <end>67</end>
      <status>modified</status>
      <modifiedWord>；</modifiedWord>
      <trackRevisions>false</trackRevisions>
    </reviewItem>
    <reviewItem>
      <errorID>30669003-a4d1-4f3c-8163-3e67bd209a32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25FFA99F</paraID>
      <start>0</start>
      <end>2</end>
      <status>ignored</status>
      <modifiedWord/>
      <trackRevisions>false</trackRevisions>
    </reviewItem>
    <reviewItem>
      <errorID>a7f3d558-e1a8-464b-93ef-c98ec38da82e</errorID>
      <errorWord>出人口</errorWord>
      <group>L1_Word</group>
      <groupName>字词问题</groupName>
      <ability>L2_Typo</ability>
      <abilityName>字词错误</abilityName>
      <candidateList>
        <item>出入口</item>
      </candidateList>
      <explain/>
      <paraID>25FFA99F</paraID>
      <start>4</start>
      <end>7</end>
      <status>modified</status>
      <modifiedWord>出入口</modifiedWord>
      <trackRevisions>false</trackRevisions>
    </reviewItem>
    <reviewItem>
      <errorID>367312c1-0a14-4736-97bf-1ae104d24c63</errorID>
      <errorWord>;</errorWord>
      <group>L1_Format</group>
      <groupName>格式问题</groupName>
      <ability>L2_HalfPunc_CN</ability>
      <abilityName>全半角问题</abilityName>
      <candidateList>
        <item>；</item>
      </candidateList>
      <explain>文本全半角错误。</explain>
      <paraID>25FFA99F</paraID>
      <start>57</start>
      <end>58</end>
      <status>modified</status>
      <modifiedWord>；</modifiedWord>
      <trackRevisions>false</trackRevisions>
    </reviewItem>
    <reviewItem>
      <errorID>b1714b29-22ea-4800-b8cd-0eb88ea34a6c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726D92C7</paraID>
      <start>0</start>
      <end>2</end>
      <status>ignored</status>
      <modifiedWord/>
      <trackRevisions>false</trackRevisions>
    </reviewItem>
    <reviewItem>
      <errorID>f9d3da3c-b2dd-4b66-85bc-b86780fa6617</errorID>
      <errorWord>;</errorWord>
      <group>L1_Format</group>
      <groupName>格式问题</groupName>
      <ability>L2_HalfPunc_CN</ability>
      <abilityName>全半角问题</abilityName>
      <candidateList>
        <item>；</item>
      </candidateList>
      <explain>文本全半角错误。</explain>
      <paraID>726D92C7</paraID>
      <start>67</start>
      <end>68</end>
      <status>modified</status>
      <modifiedWord>；</modifiedWord>
      <trackRevisions>false</trackRevisions>
    </reviewItem>
    <reviewItem>
      <errorID>cf4bce34-fc8b-4b49-9888-84690e8b9129</errorID>
      <errorWord>（</errorWord>
      <group>L1_Format</group>
      <groupName>格式问题</groupName>
      <ability>L2_HalfPunc_CN</ability>
      <abilityName>全半角问题</abilityName>
      <candidateList>
        <item>(</item>
      </candidateList>
      <explain>文本全半角错误。</explain>
      <paraID> 35833F6</paraID>
      <start>0</start>
      <end>1</end>
      <status>modified</status>
      <modifiedWord>(</modifiedWord>
      <trackRevisions>false</trackRevisions>
    </reviewItem>
    <reviewItem>
      <errorID>72a7c0b6-f67e-4afe-834f-83f42643e023</errorID>
      <errorWord>）</errorWord>
      <group>L1_Format</group>
      <groupName>格式问题</groupName>
      <ability>L2_HalfPunc_CN</ability>
      <abilityName>全半角问题</abilityName>
      <candidateList>
        <item>)</item>
      </candidateList>
      <explain>文本全半角错误。</explain>
      <paraID> 35833F6</paraID>
      <start>15</start>
      <end>16</end>
      <status>modified</status>
      <modifiedWord>)</modifiedWord>
      <trackRevisions>false</trackRevisions>
    </reviewItem>
    <reviewItem>
      <errorID>55a384c9-e79c-4640-8a4b-0e91e6a7bd8a</errorID>
      <errorWord>;</errorWord>
      <group>L1_Format</group>
      <groupName>格式问题</groupName>
      <ability>L2_HalfPunc_CN</ability>
      <abilityName>全半角问题</abilityName>
      <candidateList>
        <item>；</item>
      </candidateList>
      <explain>文本全半角错误。</explain>
      <paraID>6CF93E83</paraID>
      <start>44</start>
      <end>45</end>
      <status>modified</status>
      <modifiedWord>；</modifiedWord>
      <trackRevisions>false</trackRevisions>
    </reviewItem>
    <reviewItem>
      <errorID>c2ee7781-d461-4c51-b85f-0e90dbbaee09</errorID>
      <errorWord>；</errorWord>
      <group>L1_Word</group>
      <groupName>字词问题</groupName>
      <ability>L2_Typo</ability>
      <abilityName>字词错误</abilityName>
      <candidateList>
        <item>；在</item>
      </candidateList>
      <explain/>
      <paraID>1CC97F9C</paraID>
      <start>80</start>
      <end>82</end>
      <status>modified</status>
      <modifiedWord>；在</modifiedWord>
      <trackRevisions>false</trackRevisions>
    </reviewItem>
    <reviewItem>
      <errorID>1770ff4f-dc07-486b-a73d-609c20ed0c9f</errorID>
      <errorWord>(</errorWord>
      <group>L1_Format</group>
      <groupName>格式问题</groupName>
      <ability>L2_HalfPunc_CN</ability>
      <abilityName>全半角问题</abilityName>
      <candidateList>
        <item>（</item>
      </candidateList>
      <explain>文本全半角错误。</explain>
      <paraID>62EA421C</paraID>
      <start>20</start>
      <end>21</end>
      <status>modified</status>
      <modifiedWord>（</modifiedWord>
      <trackRevisions>false</trackRevisions>
    </reviewItem>
    <reviewItem>
      <errorID>66911788-1f9f-4d2b-ba75-344bd5ba53da</errorID>
      <errorWord>(</errorWord>
      <group>L1_Format</group>
      <groupName>格式问题</groupName>
      <ability>L2_HalfPunc_CN</ability>
      <abilityName>全半角问题</abilityName>
      <candidateList>
        <item>（</item>
      </candidateList>
      <explain>文本全半角错误。</explain>
      <paraID>19CF8531</paraID>
      <start>4</start>
      <end>5</end>
      <status>modified</status>
      <modifiedWord>（</modifiedWord>
      <trackRevisions>false</trackRevisions>
    </reviewItem>
    <reviewItem>
      <errorID>4d009a75-1b93-44e7-b049-c15a47996a01</errorID>
      <errorWord>)</errorWord>
      <group>L1_Format</group>
      <groupName>格式问题</groupName>
      <ability>L2_HalfPunc_CN</ability>
      <abilityName>全半角问题</abilityName>
      <candidateList>
        <item>）</item>
      </candidateList>
      <explain>文本全半角错误。</explain>
      <paraID>19CF8531</paraID>
      <start>17</start>
      <end>18</end>
      <status>modified</status>
      <modifiedWord>）</modifiedWord>
      <trackRevisions>false</trackRevisions>
    </reviewItem>
    <reviewItem>
      <errorID>3bb76fc7-902a-469e-aca6-bc37ecca024e</errorID>
      <errorWord>(</errorWord>
      <group>L1_Format</group>
      <groupName>格式问题</groupName>
      <ability>L2_HalfPunc_CN</ability>
      <abilityName>全半角问题</abilityName>
      <candidateList>
        <item>（</item>
      </candidateList>
      <explain>文本全半角错误。</explain>
      <paraID>47D3C530</paraID>
      <start>4</start>
      <end>5</end>
      <status>modified</status>
      <modifiedWord>（</modifiedWord>
      <trackRevisions>false</trackRevisions>
    </reviewItem>
    <reviewItem>
      <errorID>db259ba2-f6d9-4533-8228-d25fd6b1f766</errorID>
      <errorWord>)</errorWord>
      <group>L1_Format</group>
      <groupName>格式问题</groupName>
      <ability>L2_HalfPunc_CN</ability>
      <abilityName>全半角问题</abilityName>
      <candidateList>
        <item>）</item>
      </candidateList>
      <explain>文本全半角错误。</explain>
      <paraID>47D3C530</paraID>
      <start>19</start>
      <end>20</end>
      <status>modified</status>
      <modifiedWord>）</modifiedWord>
      <trackRevisions>false</trackRevisions>
    </reviewItem>
    <reviewItem>
      <errorID>b3e6ae64-dba9-4dc2-8b7b-eb7b0fac02ad</errorID>
      <errorWord>(</errorWord>
      <group>L1_Format</group>
      <groupName>格式问题</groupName>
      <ability>L2_HalfPunc_CN</ability>
      <abilityName>全半角问题</abilityName>
      <candidateList>
        <item>（</item>
      </candidateList>
      <explain>文本全半角错误。</explain>
      <paraID>1DC5364F</paraID>
      <start>135</start>
      <end>136</end>
      <status>modified</status>
      <modifiedWord>（</modifiedWord>
      <trackRevisions>false</trackRevisions>
    </reviewItem>
    <reviewItem>
      <errorID>2f3c04e2-e3bc-41f8-85ed-71ba0f593301</errorID>
      <errorWord>)</errorWord>
      <group>L1_Format</group>
      <groupName>格式问题</groupName>
      <ability>L2_HalfPunc_CN</ability>
      <abilityName>全半角问题</abilityName>
      <candidateList>
        <item>）</item>
      </candidateList>
      <explain>文本全半角错误。</explain>
      <paraID>1DC5364F</paraID>
      <start>140</start>
      <end>141</end>
      <status>modified</status>
      <modifiedWord>）</modifiedWord>
      <trackRevisions>false</trackRevisions>
    </reviewItem>
    <reviewItem>
      <errorID>3f5e7ddf-1ff6-4178-b9f0-5021460a2e65</errorID>
      <errorWord>(</errorWord>
      <group>L1_Format</group>
      <groupName>格式问题</groupName>
      <ability>L2_HalfPunc_CN</ability>
      <abilityName>全半角问题</abilityName>
      <candidateList>
        <item>（</item>
      </candidateList>
      <explain>文本全半角错误。</explain>
      <paraID>1DC5364F</paraID>
      <start>282</start>
      <end>283</end>
      <status>modified</status>
      <modifiedWord>（</modifiedWord>
      <trackRevisions>false</trackRevisions>
    </reviewItem>
    <reviewItem>
      <errorID>3ce3e4ad-e59f-4448-bc78-87b664fc4a94</errorID>
      <errorWord>)</errorWord>
      <group>L1_Format</group>
      <groupName>格式问题</groupName>
      <ability>L2_HalfPunc_CN</ability>
      <abilityName>全半角问题</abilityName>
      <candidateList>
        <item>）</item>
      </candidateList>
      <explain>文本全半角错误。</explain>
      <paraID>1DC5364F</paraID>
      <start>293</start>
      <end>294</end>
      <status>modified</status>
      <modifiedWord>）</modifiedWord>
      <trackRevisions>false</trackRevisions>
    </reviewItem>
    <reviewItem>
      <errorID>7ba3c0d8-6732-4e9e-99a9-620c9cde9328</errorID>
      <errorWord>(</errorWord>
      <group>L1_Format</group>
      <groupName>格式问题</groupName>
      <ability>L2_HalfPunc_CN</ability>
      <abilityName>全半角问题</abilityName>
      <candidateList>
        <item>（</item>
      </candidateList>
      <explain>文本全半角错误。</explain>
      <paraID>1DC5364F</paraID>
      <start>303</start>
      <end>304</end>
      <status>modified</status>
      <modifiedWord>（</modifiedWord>
      <trackRevisions>false</trackRevisions>
    </reviewItem>
    <reviewItem>
      <errorID>231c18e4-0026-441b-bfcf-a4856717a8b2</errorID>
      <errorWord>)</errorWord>
      <group>L1_Format</group>
      <groupName>格式问题</groupName>
      <ability>L2_HalfPunc_CN</ability>
      <abilityName>全半角问题</abilityName>
      <candidateList>
        <item>）</item>
      </candidateList>
      <explain>文本全半角错误。</explain>
      <paraID>1DC5364F</paraID>
      <start>314</start>
      <end>315</end>
      <status>modified</status>
      <modifiedWord>）</modifiedWord>
      <trackRevisions>false</trackRevisions>
    </reviewItem>
    <reviewItem>
      <errorID>4b4e2caf-c7e4-4561-9941-3199b086a30d</errorID>
      <errorWord>十五五规划</errorWord>
      <group>L1_Political</group>
      <groupName>政治性问题</groupName>
      <ability>L2_Keyword</ability>
      <abilityName>固定表述</abilityName>
      <candidateList>
        <item>“十五五”规划</item>
      </candidateList>
      <explain>注意检查当前固定表述标点是否使用规范。</explain>
      <paraID>1677F29F</paraID>
      <start>9</start>
      <end>16</end>
      <status>modified</status>
      <modifiedWord>“十五五”规划</modifiedWord>
      <trackRevisions>false</trackRevisions>
    </reviewItem>
    <reviewItem>
      <errorID>ca6ad5e7-b31a-4ac3-b5ad-854f44c4dffc</errorID>
      <errorWord>理</errorWord>
      <group>L1_Word</group>
      <groupName>字词问题</groupName>
      <ability>L2_Typo</ability>
      <abilityName>字词错误</abilityName>
      <candidateList>
        <item>理和</item>
      </candidateList>
      <explain/>
      <paraID>45BDC81E</paraID>
      <start>63</start>
      <end>65</end>
      <status>modified</status>
      <modifiedWord>理和</modifiedWord>
      <trackRevisions>false</trackRevisions>
    </reviewItem>
    <reviewItem>
      <errorID>c1fb3d78-ba75-471a-ade2-3d98c1edc197</errorID>
      <errorWord>无废城市”</errorWord>
      <group>L1_Political</group>
      <groupName>政治性问题</groupName>
      <ability>L2_Keyword</ability>
      <abilityName>固定表述</abilityName>
      <candidateList>
        <item>“无废城市”</item>
      </candidateList>
      <explain>注意检查当前固定表述标点是否使用规范。</explain>
      <paraID>74DC7962</paraID>
      <start>4</start>
      <end>10</end>
      <status>modified</status>
      <modifiedWord>“无废城市”</modifiedWord>
      <trackRevisions>false</trackRevisions>
    </reviewItem>
    <reviewItem>
      <errorID>3a0cb282-7b39-4e56-9493-2aeebf5a8f5f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42C54EA8</paraID>
      <start>15</start>
      <end>17</end>
      <status>modified</status>
      <modifiedWord>》《</modifiedWord>
      <trackRevisions>false</trackRevisions>
    </reviewItem>
    <reviewItem>
      <errorID>2e71d580-88e6-46fc-94ba-6cadf06b0786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42C54EA8</paraID>
      <start>31</start>
      <end>33</end>
      <status>modified</status>
      <modifiedWord>》《</modifiedWord>
      <trackRevisions>false</trackRevisions>
    </reviewItem>
    <reviewItem>
      <errorID>61267bb2-9bd0-4e39-af0a-8c87e65c6958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2C3BBF92</paraID>
      <start>0</start>
      <end>2</end>
      <status>ignored</status>
      <modifiedWord/>
      <trackRevisions>false</trackRevisions>
    </reviewItem>
    <reviewItem>
      <errorID>02923c32-c7d6-4c60-958c-bf9bc323ae04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5E7A1E02</paraID>
      <start>0</start>
      <end>2</end>
      <status>ignored</status>
      <modifiedWord/>
      <trackRevisions>false</trackRevisions>
    </reviewItem>
    <reviewItem>
      <errorID>f22d60c6-6ef9-48a3-b23e-f676bf873d0d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5C0C1F2A</paraID>
      <start>0</start>
      <end>2</end>
      <status>ignored</status>
      <modifiedWord/>
      <trackRevisions>false</trackRevisions>
    </reviewItem>
    <reviewItem>
      <errorID>30f5d810-2422-4f2f-873a-a219b3eb92c8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208DFF38</paraID>
      <start>0</start>
      <end>2</end>
      <status>ignored</status>
      <modifiedWord/>
      <trackRevisions>false</trackRevisions>
    </reviewItem>
    <reviewItem>
      <errorID>96130ba2-8229-444f-8349-52317de4f910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73431D5</paraID>
      <start>0</start>
      <end>2</end>
      <status>ignored</status>
      <modifiedWord/>
      <trackRevisions>false</trackRevisions>
    </reviewItem>
    <reviewItem>
      <errorID>3ea59bfd-5a5f-4072-9e22-81dd35ca2ef8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10EDD6E2</paraID>
      <start>0</start>
      <end>2</end>
      <status>ignored</status>
      <modifiedWord/>
      <trackRevisions>false</trackRevisions>
    </reviewItem>
    <reviewItem>
      <errorID>3f33eefa-d973-4a96-9e60-1364da5c4686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769F31AF</paraID>
      <start>0</start>
      <end>2</end>
      <status>ignored</status>
      <modifiedWord/>
      <trackRevisions>false</trackRevisions>
    </reviewItem>
    <reviewItem>
      <errorID>d8d61ae6-6022-40bd-ba7f-ffcfc7ecba6c</errorID>
      <errorWord>隔档</errorWord>
      <group>L1_Word</group>
      <groupName>字词问题</groupName>
      <ability>L2_Typo</ability>
      <abilityName>字词错误</abilityName>
      <candidateList>
        <item>隔挡</item>
      </candidateList>
      <explain/>
      <paraID>2E625D2A</paraID>
      <start>85</start>
      <end>87</end>
      <status>modified</status>
      <modifiedWord>隔挡</modifiedWord>
      <trackRevisions>false</trackRevisions>
    </reviewItem>
    <reviewItem>
      <errorID>909ec72a-1d54-4727-84c1-6c98de520481</errorID>
      <errorWord>交有</errorWord>
      <group>L1_Word</group>
      <groupName>字词问题</groupName>
      <ability>L2_Typo</ability>
      <abilityName>字词错误</abilityName>
      <candidateList>
        <item>交由</item>
      </candidateList>
      <explain>存在发音相同字词的误用。</explain>
      <paraID>42D3191F</paraID>
      <start>84</start>
      <end>86</end>
      <status>ignored</status>
      <modifiedWord/>
      <trackRevisions>false</trackRevisions>
    </reviewItem>
    <reviewItem>
      <errorID>d991207c-7fde-4c72-a7cf-ecb0f0c7160b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4412930D</paraID>
      <start>51</start>
      <end>52</end>
      <status>ignored</status>
      <modifiedWord/>
      <trackRevisions>false</trackRevisions>
    </reviewItem>
    <reviewItem>
      <errorID>c3fab3f3-dcd4-4b13-aaca-85895b88c4b8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3F1BBE3C</paraID>
      <start>32</start>
      <end>33</end>
      <status>ignored</status>
      <modifiedWord/>
      <trackRevisions>false</trackRevisions>
    </reviewItem>
    <reviewItem>
      <errorID>4644bd9d-e504-4671-b0fa-d7ce30ceb234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328836C8</paraID>
      <start>30</start>
      <end>31</end>
      <status>ignored</status>
      <modifiedWord/>
      <trackRevisions>false</trackRevisions>
    </reviewItem>
    <reviewItem>
      <errorID>c9827ea9-fa3d-4a84-8b1c-e451d239db37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3B403949</paraID>
      <start>0</start>
      <end>2</end>
      <status>ignored</status>
      <modifiedWord/>
      <trackRevisions>false</trackRevisions>
    </reviewItem>
    <reviewItem>
      <errorID>54c30a50-fe60-482e-be7d-c957eafcd0aa</errorID>
      <errorWord>)</errorWord>
      <group>L1_Format</group>
      <groupName>格式问题</groupName>
      <ability>L2_HalfPunc_CN</ability>
      <abilityName>全半角问题</abilityName>
      <candidateList>
        <item>）</item>
      </candidateList>
      <explain>文本全半角错误。</explain>
      <paraID>648ECD8D</paraID>
      <start>72</start>
      <end>73</end>
      <status>modified</status>
      <modifiedWord>）</modifiedWord>
      <trackRevisions>false</trackRevisions>
    </reviewItem>
    <reviewItem>
      <errorID>8d46508a-8138-42d2-ad49-b37aa07faad8</errorID>
      <errorWord>理化</errorWord>
      <group>L1_Word</group>
      <groupName>字词问题</groupName>
      <ability>L2_Typo</ability>
      <abilityName>字词错误</abilityName>
      <candidateList>
        <item>量化</item>
      </candidateList>
      <explain/>
      <paraID>3E84AFD6</paraID>
      <start>0</start>
      <end>2</end>
      <status>ignored</status>
      <modifiedWord/>
      <trackRevisions>false</trackRevisions>
    </reviewItem>
    <reviewItem>
      <errorID>e4bd9b1b-1b72-48f2-a49e-db505844fc40</errorID>
      <errorWord>＜</errorWord>
      <group>L1_Format</group>
      <groupName>格式问题</groupName>
      <ability>L2_HalfPunc_CN</ability>
      <abilityName>全半角问题</abilityName>
      <candidateList>
        <item>&lt;</item>
      </candidateList>
      <explain>文本全半角错误。</explain>
      <paraID>7E761FDF</paraID>
      <start>0</start>
      <end>1</end>
      <status>modified</status>
      <modifiedWord>&lt;</modifiedWord>
      <trackRevisions>false</trackRevisions>
    </reviewItem>
    <reviewItem>
      <errorID>64fad619-40a3-424e-a31f-d183613e9b15</errorID>
      <errorWord>＞</errorWord>
      <group>L1_Format</group>
      <groupName>格式问题</groupName>
      <ability>L2_HalfPunc_CN</ability>
      <abilityName>全半角问题</abilityName>
      <candidateList>
        <item>&gt;</item>
      </candidateList>
      <explain>文本全半角错误。</explain>
      <paraID>3009761A</paraID>
      <start>0</start>
      <end>1</end>
      <status>modified</status>
      <modifiedWord>&gt;</modifiedWord>
      <trackRevisions>false</trackRevisions>
    </reviewItem>
    <reviewItem>
      <errorID>322c7862-4431-43ed-ab6a-93fae5774fd8</errorID>
      <errorWord>＞</errorWord>
      <group>L1_Format</group>
      <groupName>格式问题</groupName>
      <ability>L2_HalfPunc_CN</ability>
      <abilityName>全半角问题</abilityName>
      <candidateList>
        <item>&gt;</item>
      </candidateList>
      <explain>文本全半角错误。</explain>
      <paraID>7255B8B4</paraID>
      <start>0</start>
      <end>1</end>
      <status>modified</status>
      <modifiedWord>&gt;</modifiedWord>
      <trackRevisions>false</trackRevisions>
    </reviewItem>
    <reviewItem>
      <errorID>cb8a020c-b99e-4801-a851-d6119c5d7af7</errorID>
      <errorWord>理化</errorWord>
      <group>L1_Word</group>
      <groupName>字词问题</groupName>
      <ability>L2_Typo</ability>
      <abilityName>字词错误</abilityName>
      <candidateList>
        <item>量化</item>
      </candidateList>
      <explain/>
      <paraID>7DEA4CA9</paraID>
      <start>0</start>
      <end>2</end>
      <status>ignored</status>
      <modifiedWord/>
      <trackRevisions>false</trackRevisions>
    </reviewItem>
    <reviewItem>
      <errorID>c457d593-cb1e-4db3-88c0-9c3ee66035a8</errorID>
      <errorWord>＜</errorWord>
      <group>L1_Format</group>
      <groupName>格式问题</groupName>
      <ability>L2_HalfPunc_CN</ability>
      <abilityName>全半角问题</abilityName>
      <candidateList>
        <item>&lt;</item>
      </candidateList>
      <explain>文本全半角错误。</explain>
      <paraID>6ED2C83A</paraID>
      <start>0</start>
      <end>1</end>
      <status>modified</status>
      <modifiedWord>&lt;</modifiedWord>
      <trackRevisions>false</trackRevisions>
    </reviewItem>
    <reviewItem>
      <errorID>a0f1853d-a12a-490b-a090-8f4585ace898</errorID>
      <errorWord>＞</errorWord>
      <group>L1_Format</group>
      <groupName>格式问题</groupName>
      <ability>L2_HalfPunc_CN</ability>
      <abilityName>全半角问题</abilityName>
      <candidateList>
        <item>&gt;</item>
      </candidateList>
      <explain>文本全半角错误。</explain>
      <paraID>22005743</paraID>
      <start>0</start>
      <end>1</end>
      <status>modified</status>
      <modifiedWord>&gt;</modifiedWord>
      <trackRevisions>false</trackRevisions>
    </reviewItem>
    <reviewItem>
      <errorID>e74f5513-5938-4575-a1ea-3426dc734414</errorID>
      <errorWord>＞</errorWord>
      <group>L1_Format</group>
      <groupName>格式问题</groupName>
      <ability>L2_HalfPunc_CN</ability>
      <abilityName>全半角问题</abilityName>
      <candidateList>
        <item>&gt;</item>
      </candidateList>
      <explain>文本全半角错误。</explain>
      <paraID>5A614DBD</paraID>
      <start>0</start>
      <end>1</end>
      <status>modified</status>
      <modifiedWord>&gt;</modifiedWord>
      <trackRevisions>false</trackRevisions>
    </reviewItem>
    <reviewItem>
      <errorID>788a67b8-0b98-4feb-bb5c-e8f33194d3a8</errorID>
      <errorWord>理化</errorWord>
      <group>L1_Word</group>
      <groupName>字词问题</groupName>
      <ability>L2_Typo</ability>
      <abilityName>字词错误</abilityName>
      <candidateList>
        <item>量化</item>
      </candidateList>
      <explain/>
      <paraID>696AD28A</paraID>
      <start>0</start>
      <end>2</end>
      <status>ignored</status>
      <modifiedWord/>
      <trackRevisions>false</trackRevisions>
    </reviewItem>
    <reviewItem>
      <errorID>b524cfac-94e0-40ac-aba9-c161f09567f5</errorID>
      <errorWord>(</errorWord>
      <group>L1_Format</group>
      <groupName>格式问题</groupName>
      <ability>L2_HalfPunc_CN</ability>
      <abilityName>全半角问题</abilityName>
      <candidateList>
        <item>（</item>
      </candidateList>
      <explain>文本全半角错误。</explain>
      <paraID>31FD56EB</paraID>
      <start>17</start>
      <end>18</end>
      <status>modified</status>
      <modifiedWord>（</modifiedWord>
      <trackRevisions>false</trackRevisions>
    </reviewItem>
    <reviewItem>
      <errorID>fdedf180-0d9d-4f9f-a34b-b8929fa84f39</errorID>
      <errorWord>理化</errorWord>
      <group>L1_Word</group>
      <groupName>字词问题</groupName>
      <ability>L2_Typo</ability>
      <abilityName>字词错误</abilityName>
      <candidateList>
        <item>量化</item>
      </candidateList>
      <explain/>
      <paraID>78F96973</paraID>
      <start>0</start>
      <end>2</end>
      <status>ignored</status>
      <modifiedWord/>
      <trackRevisions>false</trackRevisions>
    </reviewItem>
    <reviewItem>
      <errorID>4ae9f5a9-c2e1-4c3a-8646-ec549f96f41d</errorID>
      <errorWord>＜</errorWord>
      <group>L1_Format</group>
      <groupName>格式问题</groupName>
      <ability>L2_HalfPunc_CN</ability>
      <abilityName>全半角问题</abilityName>
      <candidateList>
        <item>&lt;</item>
      </candidateList>
      <explain>文本全半角错误。</explain>
      <paraID>440E9EEF</paraID>
      <start>0</start>
      <end>1</end>
      <status>modified</status>
      <modifiedWord>&lt;</modifiedWord>
      <trackRevisions>false</trackRevisions>
    </reviewItem>
    <reviewItem>
      <errorID>c1474237-a089-41ba-a41c-ca0d5a0569ac</errorID>
      <errorWord>（</errorWord>
      <group>L1_Format</group>
      <groupName>格式问题</groupName>
      <ability>L2_HalfPunc_CN</ability>
      <abilityName>全半角问题</abilityName>
      <candidateList>
        <item>(</item>
      </candidateList>
      <explain>文本全半角错误。</explain>
      <paraID>4FD44509</paraID>
      <start>0</start>
      <end>1</end>
      <status>modified</status>
      <modifiedWord>(</modifiedWord>
      <trackRevisions>false</trackRevisions>
    </reviewItem>
    <reviewItem>
      <errorID>b6c24c63-2ac6-4bd7-ab65-8e4d4ff2674c</errorID>
      <errorWord>）</errorWord>
      <group>L1_Format</group>
      <groupName>格式问题</groupName>
      <ability>L2_HalfPunc_CN</ability>
      <abilityName>全半角问题</abilityName>
      <candidateList>
        <item>)</item>
      </candidateList>
      <explain>文本全半角错误。</explain>
      <paraID>4FD44509</paraID>
      <start>14</start>
      <end>15</end>
      <status>modified</status>
      <modifiedWord>)</modifiedWord>
      <trackRevisions>false</trackRevisions>
    </reviewItem>
    <reviewItem>
      <errorID>1d552b1c-05e5-467f-acca-cc579c5588ec</errorID>
      <errorWord>（</errorWord>
      <group>L1_Format</group>
      <groupName>格式问题</groupName>
      <ability>L2_HalfPunc_CN</ability>
      <abilityName>全半角问题</abilityName>
      <candidateList>
        <item>(</item>
      </candidateList>
      <explain>文本全半角错误。</explain>
      <paraID>6DE3B740</paraID>
      <start>0</start>
      <end>1</end>
      <status>modified</status>
      <modifiedWord>(</modifiedWord>
      <trackRevisions>false</trackRevisions>
    </reviewItem>
    <reviewItem>
      <errorID>9ab47a17-9e31-4418-9e98-645671e9a1b3</errorID>
      <errorWord>）</errorWord>
      <group>L1_Format</group>
      <groupName>格式问题</groupName>
      <ability>L2_HalfPunc_CN</ability>
      <abilityName>全半角问题</abilityName>
      <candidateList>
        <item>)</item>
      </candidateList>
      <explain>文本全半角错误。</explain>
      <paraID>6DE3B740</paraID>
      <start>14</start>
      <end>15</end>
      <status>modified</status>
      <modifiedWord>)</modifiedWord>
      <trackRevisions>false</trackRevisions>
    </reviewItem>
    <reviewItem>
      <errorID>d86c3ceb-5d3a-486e-9b37-d49a38876101</errorID>
      <errorWord>加入到</errorWord>
      <group>L1_Word</group>
      <groupName>字词问题</groupName>
      <ability>L2_Typo</ability>
      <abilityName>字词错误</abilityName>
      <candidateList>
        <item>加入</item>
      </candidateList>
      <explain/>
      <paraID>225E1DB3</paraID>
      <start>38</start>
      <end>40</end>
      <status>modified</status>
      <modifiedWord>加入</modifiedWord>
      <trackRevisions>false</trackRevisions>
    </reviewItem>
    <reviewItem>
      <errorID>269ac76e-0b90-419f-bc7d-21cf7a5ac8db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225E1DB3</paraID>
      <start>88</start>
      <end>89</end>
      <status>ignored</status>
      <modifiedWord/>
      <trackRevisions>false</trackRevisions>
    </reviewItem>
    <reviewItem>
      <errorID>031ad360-0317-47c7-9df1-a3381fd264f8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32E81E76</paraID>
      <start>0</start>
      <end>2</end>
      <status>ignored</status>
      <modifiedWord/>
      <trackRevisions>false</trackRevisions>
    </reviewItem>
    <reviewItem>
      <errorID>24e2c13b-78d4-4d12-8f45-3bd741adafad</errorID>
      <errorWord>(</errorWord>
      <group>L1_Format</group>
      <groupName>格式问题</groupName>
      <ability>L2_HalfPunc_CN</ability>
      <abilityName>全半角问题</abilityName>
      <candidateList>
        <item>（</item>
      </candidateList>
      <explain>文本全半角错误。</explain>
      <paraID>4D4B0B82</paraID>
      <start>18</start>
      <end>19</end>
      <status>modified</status>
      <modifiedWord>（</modifiedWord>
      <trackRevisions>false</trackRevisions>
    </reviewItem>
    <reviewItem>
      <errorID>8929d661-0bef-4f4e-9006-c40333cbc6d1</errorID>
      <errorWord>)</errorWord>
      <group>L1_Format</group>
      <groupName>格式问题</groupName>
      <ability>L2_HalfPunc_CN</ability>
      <abilityName>全半角问题</abilityName>
      <candidateList>
        <item>）</item>
      </candidateList>
      <explain>文本全半角错误。</explain>
      <paraID>4D4B0B82</paraID>
      <start>29</start>
      <end>30</end>
      <status>modified</status>
      <modifiedWord>）</modifiedWord>
      <trackRevisions>false</trackRevisions>
    </reviewItem>
    <reviewItem>
      <errorID>32242739-c2c9-41e7-9a7d-b4aae005a13e</errorID>
      <errorWord>，、</errorWord>
      <group>L1_Punc</group>
      <groupName>标点问题</groupName>
      <ability>L2_Punc_CN</ability>
      <abilityName>标点符号问题</abilityName>
      <candidateList>
        <item>，</item>
      </candidateList>
      <explain/>
      <paraID>4D4B0B82</paraID>
      <start>30</start>
      <end>31</end>
      <status>modified</status>
      <modifiedWord>，</modifiedWord>
      <trackRevisions>false</trackRevisions>
    </reviewItem>
    <reviewItem>
      <errorID>5867a6af-bf84-4577-8906-56f5a1152996</errorID>
      <errorWord>(</errorWord>
      <group>L1_Format</group>
      <groupName>格式问题</groupName>
      <ability>L2_HalfPunc_CN</ability>
      <abilityName>全半角问题</abilityName>
      <candidateList>
        <item>（</item>
      </candidateList>
      <explain>文本全半角错误。</explain>
      <paraID>4D4B0B82</paraID>
      <start>34</start>
      <end>35</end>
      <status>modified</status>
      <modifiedWord>（</modifiedWord>
      <trackRevisions>false</trackRevisions>
    </reviewItem>
    <reviewItem>
      <errorID>e1a0fecb-ccdf-4549-8f5a-d1965fb81cd0</errorID>
      <errorWord>)</errorWord>
      <group>L1_Format</group>
      <groupName>格式问题</groupName>
      <ability>L2_HalfPunc_CN</ability>
      <abilityName>全半角问题</abilityName>
      <candidateList>
        <item>）</item>
      </candidateList>
      <explain>文本全半角错误。</explain>
      <paraID>4D4B0B82</paraID>
      <start>45</start>
      <end>46</end>
      <status>modified</status>
      <modifiedWord>）</modifiedWord>
      <trackRevisions>false</trackRevisions>
    </reviewItem>
    <reviewItem>
      <errorID>9f57c6f4-4fa1-49ad-a4cc-c69f9a5753f6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7EBC808</paraID>
      <start>0</start>
      <end>3</end>
      <status>ignored</status>
      <modifiedWord/>
      <trackRevisions>false</trackRevisions>
    </reviewItem>
    <reviewItem>
      <errorID>14c9ca2c-abbd-4060-a0cf-12b179cd468e</errorID>
      <errorWord>~</errorWord>
      <group>L1_Format</group>
      <groupName>格式问题</groupName>
      <ability>L2_HalfPunc_CN</ability>
      <abilityName>全半角问题</abilityName>
      <candidateList>
        <item>～</item>
      </candidateList>
      <explain>文本全半角错误。</explain>
      <paraID>2012F95A</paraID>
      <start>93</start>
      <end>94</end>
      <status>modified</status>
      <modifiedWord>～</modifiedWord>
      <trackRevisions>false</trackRevisions>
    </reviewItem>
    <reviewItem>
      <errorID>497ff796-304b-49d6-984a-183edd85d75a</errorID>
      <errorWord>~</errorWord>
      <group>L1_Format</group>
      <groupName>格式问题</groupName>
      <ability>L2_HalfPunc_CN</ability>
      <abilityName>全半角问题</abilityName>
      <candidateList>
        <item>～</item>
      </candidateList>
      <explain>文本全半角错误。</explain>
      <paraID>2012F95A</paraID>
      <start>123</start>
      <end>124</end>
      <status>modified</status>
      <modifiedWord>～</modifiedWord>
      <trackRevisions>false</trackRevisions>
    </reviewItem>
    <reviewItem>
      <errorID>5663943c-a18d-495f-8e89-5dd20c855c61</errorID>
      <errorWord>本</errorWord>
      <group>L1_Word</group>
      <groupName>字词问题</groupName>
      <ability>L2_Typo</ability>
      <abilityName>字词错误</abilityName>
      <candidateList>
        <item>本次</item>
      </candidateList>
      <explain/>
      <paraID>2B3B0556</paraID>
      <start>0</start>
      <end>1</end>
      <status>ignored</status>
      <modifiedWord/>
      <trackRevisions>false</trackRevisions>
    </reviewItem>
    <reviewItem>
      <errorID>b54abded-9ff4-4c0e-b7f7-3b864bf506ca</errorID>
      <errorWord>)</errorWord>
      <group>L1_Format</group>
      <groupName>格式问题</groupName>
      <ability>L2_HalfPunc_CN</ability>
      <abilityName>全半角问题</abilityName>
      <candidateList>
        <item>）</item>
      </candidateList>
      <explain>文本全半角错误。</explain>
      <paraID> E904039</paraID>
      <start>556</start>
      <end>557</end>
      <status>modified</status>
      <modifiedWord>）</modifiedWord>
      <trackRevisions>false</trackRevisions>
    </reviewItem>
    <reviewItem>
      <errorID>bad50f7b-db1a-4c0c-8e8c-4a632c2af1dd</errorID>
      <errorWord>)</errorWord>
      <group>L1_Format</group>
      <groupName>格式问题</groupName>
      <ability>L2_HalfPunc_CN</ability>
      <abilityName>全半角问题</abilityName>
      <candidateList>
        <item>）</item>
      </candidateList>
      <explain>文本全半角错误。</explain>
      <paraID>53D8DB41</paraID>
      <start>570</start>
      <end>571</end>
      <status>modified</status>
      <modifiedWord>）</modifiedWord>
      <trackRevisions>false</trackRevisions>
    </reviewItem>
    <reviewItem>
      <errorID>2f25a73e-c2cc-4dbe-9ce0-34c0df2571b6</errorID>
      <errorWord>(</errorWord>
      <group>L1_Format</group>
      <groupName>格式问题</groupName>
      <ability>L2_HalfPunc_CN</ability>
      <abilityName>全半角问题</abilityName>
      <candidateList>
        <item>（</item>
      </candidateList>
      <explain>文本全半角错误。</explain>
      <paraID>6613460C</paraID>
      <start>360</start>
      <end>361</end>
      <status>modified</status>
      <modifiedWord>（</modifiedWord>
      <trackRevisions>false</trackRevisions>
    </reviewItem>
    <reviewItem>
      <errorID>ce035cf2-c67f-42b7-bd0e-817d59d9ced2</errorID>
      <errorWord>)</errorWord>
      <group>L1_Format</group>
      <groupName>格式问题</groupName>
      <ability>L2_HalfPunc_CN</ability>
      <abilityName>全半角问题</abilityName>
      <candidateList>
        <item>）</item>
      </candidateList>
      <explain>文本全半角错误。</explain>
      <paraID>6613460C</paraID>
      <start>362</start>
      <end>363</end>
      <status>modified</status>
      <modifiedWord>）</modifiedWord>
      <trackRevisions>false</trackRevisions>
    </reviewItem>
    <reviewItem>
      <errorID>57ea23fa-6477-4328-b7a0-3faa03d04238</errorID>
      <errorWord>，</errorWord>
      <group>L1_Format</group>
      <groupName>格式问题</groupName>
      <ability>L2_HalfPunc_CN</ability>
      <abilityName>全半角问题</abilityName>
      <candidateList>
        <item>, </item>
      </candidateList>
      <explain>文本全半角错误。</explain>
      <paraID>6761CB28</paraID>
      <start>2</start>
      <end>4</end>
      <status>modified</status>
      <modifiedWord>, </modifiedWord>
      <trackRevisions>false</trackRevisions>
    </reviewItem>
    <reviewItem>
      <errorID>aeaf0ede-bb0f-474e-8ed1-0a88b16a2fab</errorID>
      <errorWord>，</errorWord>
      <group>L1_Format</group>
      <groupName>格式问题</groupName>
      <ability>L2_HalfPunc_CN</ability>
      <abilityName>全半角问题</abilityName>
      <candidateList>
        <item>, </item>
      </candidateList>
      <explain>文本全半角错误。</explain>
      <paraID>31C49F23</paraID>
      <start>2</start>
      <end>4</end>
      <status>modified</status>
      <modifiedWord>, </modifiedWord>
      <trackRevisions>false</trackRevisions>
    </reviewItem>
    <reviewItem>
      <errorID>d43904fb-bb9b-4a67-9557-2f4820847240</errorID>
      <errorWord>，</errorWord>
      <group>L1_Format</group>
      <groupName>格式问题</groupName>
      <ability>L2_HalfPunc_CN</ability>
      <abilityName>全半角问题</abilityName>
      <candidateList>
        <item>, </item>
      </candidateList>
      <explain>文本全半角错误。</explain>
      <paraID>3B0C333F</paraID>
      <start>1</start>
      <end>3</end>
      <status>modified</status>
      <modifiedWord>, </modifiedWord>
      <trackRevisions>false</trackRevisions>
    </reviewItem>
    <reviewItem>
      <errorID>94bd3e2f-d277-434d-bfe7-964ee704670a</errorID>
      <errorWord>，</errorWord>
      <group>L1_Format</group>
      <groupName>格式问题</groupName>
      <ability>L2_HalfPunc_CN</ability>
      <abilityName>全半角问题</abilityName>
      <candidateList>
        <item>, </item>
      </candidateList>
      <explain>文本全半角错误。</explain>
      <paraID>31EC4E1A</paraID>
      <start>2</start>
      <end>4</end>
      <status>modified</status>
      <modifiedWord>, </modifiedWord>
      <trackRevisions>false</trackRevisions>
    </reviewItem>
    <reviewItem>
      <errorID>8949ec12-a746-4464-b7ff-d5776a636025</errorID>
      <errorWord>，</errorWord>
      <group>L1_Format</group>
      <groupName>格式问题</groupName>
      <ability>L2_HalfPunc_CN</ability>
      <abilityName>全半角问题</abilityName>
      <candidateList>
        <item>, </item>
      </candidateList>
      <explain>文本全半角错误。</explain>
      <paraID>27E2A213</paraID>
      <start>2</start>
      <end>4</end>
      <status>modified</status>
      <modifiedWord>, </modifiedWord>
      <trackRevisions>false</trackRevisions>
    </reviewItem>
    <reviewItem>
      <errorID>a391a243-cf86-444c-9dc9-6f8f567dae74</errorID>
      <errorWord>，</errorWord>
      <group>L1_Format</group>
      <groupName>格式问题</groupName>
      <ability>L2_HalfPunc_CN</ability>
      <abilityName>全半角问题</abilityName>
      <candidateList>
        <item>, </item>
      </candidateList>
      <explain>文本全半角错误。</explain>
      <paraID>41579B68</paraID>
      <start>2</start>
      <end>4</end>
      <status>modified</status>
      <modifiedWord>, </modifiedWord>
      <trackRevisions>false</trackRevisions>
    </reviewItem>
    <reviewItem>
      <errorID>6852977b-8e4c-4b61-a8f8-cb0c2a6aa6bc</errorID>
      <errorWord>，</errorWord>
      <group>L1_Format</group>
      <groupName>格式问题</groupName>
      <ability>L2_HalfPunc_CN</ability>
      <abilityName>全半角问题</abilityName>
      <candidateList>
        <item>, </item>
      </candidateList>
      <explain>文本全半角错误。</explain>
      <paraID>43F094F7</paraID>
      <start>1</start>
      <end>3</end>
      <status>modified</status>
      <modifiedWord>, </modifiedWord>
      <trackRevisions>false</trackRevisions>
    </reviewItem>
    <reviewItem>
      <errorID>6e9166e5-5d08-438b-9d66-9f473185f5a7</errorID>
      <errorWord>，</errorWord>
      <group>L1_Format</group>
      <groupName>格式问题</groupName>
      <ability>L2_HalfPunc_CN</ability>
      <abilityName>全半角问题</abilityName>
      <candidateList>
        <item>, </item>
      </candidateList>
      <explain>文本全半角错误。</explain>
      <paraID>30BC1EA3</paraID>
      <start>2</start>
      <end>4</end>
      <status>modified</status>
      <modifiedWord>, </modifiedWord>
      <trackRevisions>false</trackRevisions>
    </reviewItem>
    <reviewItem>
      <errorID>5df7bfe2-a7a3-4f70-a8e7-8f8230b74c7c</errorID>
      <errorWord>，</errorWord>
      <group>L1_Format</group>
      <groupName>格式问题</groupName>
      <ability>L2_HalfPunc_CN</ability>
      <abilityName>全半角问题</abilityName>
      <candidateList>
        <item>, </item>
      </candidateList>
      <explain>文本全半角错误。</explain>
      <paraID> 91CC36A</paraID>
      <start>2</start>
      <end>4</end>
      <status>modified</status>
      <modifiedWord>, </modifiedWord>
      <trackRevisions>false</trackRevisions>
    </reviewItem>
    <reviewItem>
      <errorID>6dacbbf8-b0cd-414b-893a-622675a7440f</errorID>
      <errorWord>，</errorWord>
      <group>L1_Format</group>
      <groupName>格式问题</groupName>
      <ability>L2_HalfPunc_CN</ability>
      <abilityName>全半角问题</abilityName>
      <candidateList>
        <item>, </item>
      </candidateList>
      <explain>文本全半角错误。</explain>
      <paraID>602F3B61</paraID>
      <start>2</start>
      <end>4</end>
      <status>modified</status>
      <modifiedWord>, </modifiedWord>
      <trackRevisions>false</trackRevisions>
    </reviewItem>
    <reviewItem>
      <errorID>73b098f8-961a-4bc9-944c-2bfa29d7e71f</errorID>
      <errorWord>，</errorWord>
      <group>L1_Format</group>
      <groupName>格式问题</groupName>
      <ability>L2_HalfPunc_CN</ability>
      <abilityName>全半角问题</abilityName>
      <candidateList>
        <item>, </item>
      </candidateList>
      <explain>文本全半角错误。</explain>
      <paraID>2A761C74</paraID>
      <start>1</start>
      <end>3</end>
      <status>modified</status>
      <modifiedWord>, </modifiedWord>
      <trackRevisions>false</trackRevisions>
    </reviewItem>
    <reviewItem>
      <errorID>b0add045-e923-4198-95f4-513987937217</errorID>
      <errorWord>，</errorWord>
      <group>L1_Format</group>
      <groupName>格式问题</groupName>
      <ability>L2_HalfPunc_CN</ability>
      <abilityName>全半角问题</abilityName>
      <candidateList>
        <item>, </item>
      </candidateList>
      <explain>文本全半角错误。</explain>
      <paraID>26096798</paraID>
      <start>2</start>
      <end>4</end>
      <status>modified</status>
      <modifiedWord>, </modifiedWord>
      <trackRevisions>false</trackRevisions>
    </reviewItem>
    <reviewItem>
      <errorID>897d9a66-95dc-4065-94a7-0a237a875f13</errorID>
      <errorWord>，</errorWord>
      <group>L1_Format</group>
      <groupName>格式问题</groupName>
      <ability>L2_HalfPunc_CN</ability>
      <abilityName>全半角问题</abilityName>
      <candidateList>
        <item>, </item>
      </candidateList>
      <explain>文本全半角错误。</explain>
      <paraID>3982025E</paraID>
      <start>2</start>
      <end>4</end>
      <status>modified</status>
      <modifiedWord>, </modifiedWord>
      <trackRevisions>false</trackRevisions>
    </reviewItem>
    <reviewItem>
      <errorID>2bfada74-f9c5-4a07-849f-65ab8c2ef18c</errorID>
      <errorWord>，</errorWord>
      <group>L1_Format</group>
      <groupName>格式问题</groupName>
      <ability>L2_HalfPunc_CN</ability>
      <abilityName>全半角问题</abilityName>
      <candidateList>
        <item>, </item>
      </candidateList>
      <explain>文本全半角错误。</explain>
      <paraID>12809E6D</paraID>
      <start>2</start>
      <end>4</end>
      <status>modified</status>
      <modifiedWord>, </modifiedWord>
      <trackRevisions>false</trackRevisions>
    </reviewItem>
    <reviewItem>
      <errorID>b9b1d9d9-7c3e-48ba-94a6-db7475ffb25f</errorID>
      <errorWord>，</errorWord>
      <group>L1_Format</group>
      <groupName>格式问题</groupName>
      <ability>L2_HalfPunc_CN</ability>
      <abilityName>全半角问题</abilityName>
      <candidateList>
        <item>, </item>
      </candidateList>
      <explain>文本全半角错误。</explain>
      <paraID> 44B80D5</paraID>
      <start>2</start>
      <end>4</end>
      <status>modified</status>
      <modifiedWord>, </modifiedWord>
      <trackRevisions>false</trackRevisions>
    </reviewItem>
    <reviewItem>
      <errorID>24523069-69ed-4dda-9b7b-9f996ba18c58</errorID>
      <errorWord>，</errorWord>
      <group>L1_Format</group>
      <groupName>格式问题</groupName>
      <ability>L2_HalfPunc_CN</ability>
      <abilityName>全半角问题</abilityName>
      <candidateList>
        <item>, </item>
      </candidateList>
      <explain>文本全半角错误。</explain>
      <paraID>22D7B81E</paraID>
      <start>2</start>
      <end>4</end>
      <status>modified</status>
      <modifiedWord>, </modifiedWord>
      <trackRevisions>false</trackRevisions>
    </reviewItem>
    <reviewItem>
      <errorID>9354e58a-ea3e-4dd3-831d-932e6810597f</errorID>
      <errorWord>，</errorWord>
      <group>L1_Format</group>
      <groupName>格式问题</groupName>
      <ability>L2_HalfPunc_CN</ability>
      <abilityName>全半角问题</abilityName>
      <candidateList>
        <item>, </item>
      </candidateList>
      <explain>文本全半角错误。</explain>
      <paraID>482C9193</paraID>
      <start>2</start>
      <end>4</end>
      <status>modified</status>
      <modifiedWord>, </modifiedWord>
      <trackRevisions>false</trackRevisions>
    </reviewItem>
    <reviewItem>
      <errorID>9ad8d3e6-603f-4981-a1d4-edefc60d9672</errorID>
      <errorWord>，</errorWord>
      <group>L1_Format</group>
      <groupName>格式问题</groupName>
      <ability>L2_HalfPunc_CN</ability>
      <abilityName>全半角问题</abilityName>
      <candidateList>
        <item>, </item>
      </candidateList>
      <explain>文本全半角错误。</explain>
      <paraID>49960218</paraID>
      <start>2</start>
      <end>4</end>
      <status>modified</status>
      <modifiedWord>, </modifiedWord>
      <trackRevisions>false</trackRevisions>
    </reviewItem>
    <reviewItem>
      <errorID>efdc1506-d2cf-49ae-a993-14fd17bbceee</errorID>
      <errorWord>，</errorWord>
      <group>L1_Format</group>
      <groupName>格式问题</groupName>
      <ability>L2_HalfPunc_CN</ability>
      <abilityName>全半角问题</abilityName>
      <candidateList>
        <item>, </item>
      </candidateList>
      <explain>文本全半角错误。</explain>
      <paraID>6E21E222</paraID>
      <start>2</start>
      <end>4</end>
      <status>modified</status>
      <modifiedWord>, </modifiedWord>
      <trackRevisions>false</trackRevisions>
    </reviewItem>
    <reviewItem>
      <errorID>286e3db7-9a56-4437-a7f5-75dddea4eb74</errorID>
      <errorWord>，</errorWord>
      <group>L1_Format</group>
      <groupName>格式问题</groupName>
      <ability>L2_HalfPunc_CN</ability>
      <abilityName>全半角问题</abilityName>
      <candidateList>
        <item>, </item>
      </candidateList>
      <explain>文本全半角错误。</explain>
      <paraID> 9F76B11</paraID>
      <start>2</start>
      <end>4</end>
      <status>modified</status>
      <modifiedWord>, </modifiedWord>
      <trackRevisions>false</trackRevisions>
    </reviewItem>
    <reviewItem>
      <errorID>647e1609-3314-4d8c-8220-60045a1275f6</errorID>
      <errorWord>，</errorWord>
      <group>L1_Format</group>
      <groupName>格式问题</groupName>
      <ability>L2_HalfPunc_CN</ability>
      <abilityName>全半角问题</abilityName>
      <candidateList>
        <item>, </item>
      </candidateList>
      <explain>文本全半角错误。</explain>
      <paraID>6B636E72</paraID>
      <start>2</start>
      <end>4</end>
      <status>modified</status>
      <modifiedWord>, </modifiedWord>
      <trackRevisions>false</trackRevisions>
    </reviewItem>
    <reviewItem>
      <errorID>878dd55f-59c3-4afe-961c-e8d3fc9b76c7</errorID>
      <errorWord>，</errorWord>
      <group>L1_Format</group>
      <groupName>格式问题</groupName>
      <ability>L2_HalfPunc_CN</ability>
      <abilityName>全半角问题</abilityName>
      <candidateList>
        <item>, </item>
      </candidateList>
      <explain>文本全半角错误。</explain>
      <paraID> AE89F0C</paraID>
      <start>2</start>
      <end>4</end>
      <status>modified</status>
      <modifiedWord>, </modifiedWord>
      <trackRevisions>false</trackRevisions>
    </reviewItem>
    <reviewItem>
      <errorID>d29953f4-c3a1-404a-a40f-60d0a644c122</errorID>
      <errorWord>，</errorWord>
      <group>L1_Format</group>
      <groupName>格式问题</groupName>
      <ability>L2_HalfPunc_CN</ability>
      <abilityName>全半角问题</abilityName>
      <candidateList>
        <item>, </item>
      </candidateList>
      <explain>文本全半角错误。</explain>
      <paraID>5A4FFFD8</paraID>
      <start>2</start>
      <end>4</end>
      <status>modified</status>
      <modifiedWord>, </modifiedWord>
      <trackRevisions>false</trackRevisions>
    </reviewItem>
    <reviewItem>
      <errorID>8688e19c-e0ff-4181-9381-41ad34c90d9a</errorID>
      <errorWord>，</errorWord>
      <group>L1_Format</group>
      <groupName>格式问题</groupName>
      <ability>L2_HalfPunc_CN</ability>
      <abilityName>全半角问题</abilityName>
      <candidateList>
        <item>, </item>
      </candidateList>
      <explain>文本全半角错误。</explain>
      <paraID>76F9ABC0</paraID>
      <start>2</start>
      <end>4</end>
      <status>modified</status>
      <modifiedWord>, </modifiedWord>
      <trackRevisions>false</trackRevisions>
    </reviewItem>
    <reviewItem>
      <errorID>2e56f205-e78d-451a-913e-557a0a0c4e3f</errorID>
      <errorWord>，</errorWord>
      <group>L1_Format</group>
      <groupName>格式问题</groupName>
      <ability>L2_HalfPunc_CN</ability>
      <abilityName>全半角问题</abilityName>
      <candidateList>
        <item>, </item>
      </candidateList>
      <explain>文本全半角错误。</explain>
      <paraID>2B56D9B7</paraID>
      <start>2</start>
      <end>4</end>
      <status>modified</status>
      <modifiedWord>, </modifiedWord>
      <trackRevisions>false</trackRevisions>
    </reviewItem>
    <reviewItem>
      <errorID>c4ec1075-7629-47e9-ba38-97618f3f3e05</errorID>
      <errorWord>，</errorWord>
      <group>L1_Format</group>
      <groupName>格式问题</groupName>
      <ability>L2_HalfPunc_CN</ability>
      <abilityName>全半角问题</abilityName>
      <candidateList>
        <item>, </item>
      </candidateList>
      <explain>文本全半角错误。</explain>
      <paraID>7138708E</paraID>
      <start>1</start>
      <end>3</end>
      <status>modified</status>
      <modifiedWord>, </modifiedWord>
      <trackRevisions>false</trackRevisions>
    </reviewItem>
    <reviewItem>
      <errorID>43d8e81a-59d6-4b75-9d34-aa94e51026dd</errorID>
      <errorWord>，</errorWord>
      <group>L1_Format</group>
      <groupName>格式问题</groupName>
      <ability>L2_HalfPunc_CN</ability>
      <abilityName>全半角问题</abilityName>
      <candidateList>
        <item>, </item>
      </candidateList>
      <explain>文本全半角错误。</explain>
      <paraID>7351ACB9</paraID>
      <start>2</start>
      <end>4</end>
      <status>modified</status>
      <modifiedWord>, </modifiedWord>
      <trackRevisions>false</trackRevisions>
    </reviewItem>
    <reviewItem>
      <errorID>4373a3b2-798d-44a0-9afb-faeee5cf0232</errorID>
      <errorWord>，</errorWord>
      <group>L1_Format</group>
      <groupName>格式问题</groupName>
      <ability>L2_HalfPunc_CN</ability>
      <abilityName>全半角问题</abilityName>
      <candidateList>
        <item>, </item>
      </candidateList>
      <explain>文本全半角错误。</explain>
      <paraID>29FCB55C</paraID>
      <start>2</start>
      <end>4</end>
      <status>modified</status>
      <modifiedWord>, </modifiedWord>
      <trackRevisions>false</trackRevisions>
    </reviewItem>
    <reviewItem>
      <errorID>6f757faf-9ae8-48f1-b1ad-3813b10f0800</errorID>
      <errorWord>，</errorWord>
      <group>L1_Format</group>
      <groupName>格式问题</groupName>
      <ability>L2_HalfPunc_CN</ability>
      <abilityName>全半角问题</abilityName>
      <candidateList>
        <item>, </item>
      </candidateList>
      <explain>文本全半角错误。</explain>
      <paraID> 71BE3D2</paraID>
      <start>2</start>
      <end>4</end>
      <status>modified</status>
      <modifiedWord>, </modifiedWord>
      <trackRevisions>false</trackRevisions>
    </reviewItem>
    <reviewItem>
      <errorID>588449e2-c97c-4b47-84a0-043029c91f7e</errorID>
      <errorWord>，</errorWord>
      <group>L1_Format</group>
      <groupName>格式问题</groupName>
      <ability>L2_HalfPunc_CN</ability>
      <abilityName>全半角问题</abilityName>
      <candidateList>
        <item>, </item>
      </candidateList>
      <explain>文本全半角错误。</explain>
      <paraID>10F766FD</paraID>
      <start>2</start>
      <end>4</end>
      <status>modified</status>
      <modifiedWord>, </modifiedWord>
      <trackRevisions>false</trackRevisions>
    </reviewItem>
    <reviewItem>
      <errorID>9a368794-3729-4947-8055-bdf59266f0b8</errorID>
      <errorWord>，</errorWord>
      <group>L1_Format</group>
      <groupName>格式问题</groupName>
      <ability>L2_HalfPunc_CN</ability>
      <abilityName>全半角问题</abilityName>
      <candidateList>
        <item>, </item>
      </candidateList>
      <explain>文本全半角错误。</explain>
      <paraID>30039198</paraID>
      <start>2</start>
      <end>4</end>
      <status>modified</status>
      <modifiedWord>, </modifiedWord>
      <trackRevisions>false</trackRevisions>
    </reviewItem>
    <reviewItem>
      <errorID>bbb60d3e-7b41-4edf-9dfe-0e2158400d4f</errorID>
      <errorWord>，</errorWord>
      <group>L1_Format</group>
      <groupName>格式问题</groupName>
      <ability>L2_HalfPunc_CN</ability>
      <abilityName>全半角问题</abilityName>
      <candidateList>
        <item>, </item>
      </candidateList>
      <explain>文本全半角错误。</explain>
      <paraID>5189C8C5</paraID>
      <start>2</start>
      <end>4</end>
      <status>modified</status>
      <modifiedWord>, </modifiedWord>
      <trackRevisions>false</trackRevisions>
    </reviewItem>
    <reviewItem>
      <errorID>4e6cae88-86ec-4613-987a-41ae34315f58</errorID>
      <errorWord>，</errorWord>
      <group>L1_Format</group>
      <groupName>格式问题</groupName>
      <ability>L2_HalfPunc_CN</ability>
      <abilityName>全半角问题</abilityName>
      <candidateList>
        <item>, </item>
      </candidateList>
      <explain>文本全半角错误。</explain>
      <paraID>7AB77656</paraID>
      <start>2</start>
      <end>4</end>
      <status>modified</status>
      <modifiedWord>, </modifiedWord>
      <trackRevisions>false</trackRevisions>
    </reviewItem>
    <reviewItem>
      <errorID>a2468706-7c0a-40fb-b014-e38e59004365</errorID>
      <errorWord>，</errorWord>
      <group>L1_Format</group>
      <groupName>格式问题</groupName>
      <ability>L2_HalfPunc_CN</ability>
      <abilityName>全半角问题</abilityName>
      <candidateList>
        <item>, </item>
      </candidateList>
      <explain>文本全半角错误。</explain>
      <paraID>6EF1FA7B</paraID>
      <start>2</start>
      <end>4</end>
      <status>modified</status>
      <modifiedWord>, </modifiedWord>
      <trackRevisions>false</trackRevisions>
    </reviewItem>
    <reviewItem>
      <errorID>6cf25093-3373-466c-bb80-626c44cde5fe</errorID>
      <errorWord>，</errorWord>
      <group>L1_Format</group>
      <groupName>格式问题</groupName>
      <ability>L2_HalfPunc_CN</ability>
      <abilityName>全半角问题</abilityName>
      <candidateList>
        <item>, </item>
      </candidateList>
      <explain>文本全半角错误。</explain>
      <paraID>1455FA63</paraID>
      <start>2</start>
      <end>4</end>
      <status>modified</status>
      <modifiedWord>, </modifiedWord>
      <trackRevisions>false</trackRevisions>
    </reviewItem>
    <reviewItem>
      <errorID>0822cf3f-76ce-49b7-bf08-b24978cac814</errorID>
      <errorWord>，</errorWord>
      <group>L1_Format</group>
      <groupName>格式问题</groupName>
      <ability>L2_HalfPunc_CN</ability>
      <abilityName>全半角问题</abilityName>
      <candidateList>
        <item>, </item>
      </candidateList>
      <explain>文本全半角错误。</explain>
      <paraID>650DCA07</paraID>
      <start>2</start>
      <end>4</end>
      <status>modified</status>
      <modifiedWord>, </modifiedWord>
      <trackRevisions>false</trackRevisions>
    </reviewItem>
    <reviewItem>
      <errorID>11760965-f0c9-44d8-ab05-9c4b032f7b41</errorID>
      <errorWord>，</errorWord>
      <group>L1_Format</group>
      <groupName>格式问题</groupName>
      <ability>L2_HalfPunc_CN</ability>
      <abilityName>全半角问题</abilityName>
      <candidateList>
        <item>, </item>
      </candidateList>
      <explain>文本全半角错误。</explain>
      <paraID>448DA70E</paraID>
      <start>2</start>
      <end>4</end>
      <status>modified</status>
      <modifiedWord>, </modifiedWord>
      <trackRevisions>false</trackRevisions>
    </reviewItem>
    <reviewItem>
      <errorID>0d7ab348-6e27-4212-ac0f-3bd9bf5eff69</errorID>
      <errorWord>，</errorWord>
      <group>L1_Format</group>
      <groupName>格式问题</groupName>
      <ability>L2_HalfPunc_CN</ability>
      <abilityName>全半角问题</abilityName>
      <candidateList>
        <item>, </item>
      </candidateList>
      <explain>文本全半角错误。</explain>
      <paraID>1DDB2652</paraID>
      <start>2</start>
      <end>4</end>
      <status>modified</status>
      <modifiedWord>, </modifiedWord>
      <trackRevisions>false</trackRevisions>
    </reviewItem>
    <reviewItem>
      <errorID>25a59a3a-430c-4c20-8cb6-4341cca1c614</errorID>
      <errorWord>，</errorWord>
      <group>L1_Format</group>
      <groupName>格式问题</groupName>
      <ability>L2_HalfPunc_CN</ability>
      <abilityName>全半角问题</abilityName>
      <candidateList>
        <item>, </item>
      </candidateList>
      <explain>文本全半角错误。</explain>
      <paraID>6F904552</paraID>
      <start>2</start>
      <end>4</end>
      <status>modified</status>
      <modifiedWord>, </modifiedWord>
      <trackRevisions>false</trackRevisions>
    </reviewItem>
    <reviewItem>
      <errorID>848a45bf-67f9-4174-8928-ea6df9dbe9f7</errorID>
      <errorWord>，</errorWord>
      <group>L1_Format</group>
      <groupName>格式问题</groupName>
      <ability>L2_HalfPunc_CN</ability>
      <abilityName>全半角问题</abilityName>
      <candidateList>
        <item>, </item>
      </candidateList>
      <explain>文本全半角错误。</explain>
      <paraID> B698D2B</paraID>
      <start>2</start>
      <end>4</end>
      <status>modified</status>
      <modifiedWord>, </modifiedWord>
      <trackRevisions>false</trackRevisions>
    </reviewItem>
    <reviewItem>
      <errorID>cb6bf9e4-541c-40e8-86c5-87bb9453b8cd</errorID>
      <errorWord>，</errorWord>
      <group>L1_Format</group>
      <groupName>格式问题</groupName>
      <ability>L2_HalfPunc_CN</ability>
      <abilityName>全半角问题</abilityName>
      <candidateList>
        <item>, </item>
      </candidateList>
      <explain>文本全半角错误。</explain>
      <paraID>1200BD38</paraID>
      <start>2</start>
      <end>4</end>
      <status>modified</status>
      <modifiedWord>, </modifiedWord>
      <trackRevisions>false</trackRevisions>
    </reviewItem>
    <reviewItem>
      <errorID>63bbcd36-192b-4e16-949f-beb39eb5c7e9</errorID>
      <errorWord>，</errorWord>
      <group>L1_Format</group>
      <groupName>格式问题</groupName>
      <ability>L2_HalfPunc_CN</ability>
      <abilityName>全半角问题</abilityName>
      <candidateList>
        <item>, </item>
      </candidateList>
      <explain>文本全半角错误。</explain>
      <paraID>5449211D</paraID>
      <start>2</start>
      <end>4</end>
      <status>modified</status>
      <modifiedWord>, </modifiedWord>
      <trackRevisions>false</trackRevisions>
    </reviewItem>
    <reviewItem>
      <errorID>5219ebe8-0288-4b65-b1b8-875ea3607d42</errorID>
      <errorWord>，</errorWord>
      <group>L1_Format</group>
      <groupName>格式问题</groupName>
      <ability>L2_HalfPunc_CN</ability>
      <abilityName>全半角问题</abilityName>
      <candidateList>
        <item>, </item>
      </candidateList>
      <explain>文本全半角错误。</explain>
      <paraID>46C1588B</paraID>
      <start>2</start>
      <end>4</end>
      <status>modified</status>
      <modifiedWord>, </modifiedWord>
      <trackRevisions>false</trackRevisions>
    </reviewItem>
    <reviewItem>
      <errorID>4292d07d-22fd-4425-9e1f-aa807c2ce517</errorID>
      <errorWord>，</errorWord>
      <group>L1_Format</group>
      <groupName>格式问题</groupName>
      <ability>L2_HalfPunc_CN</ability>
      <abilityName>全半角问题</abilityName>
      <candidateList>
        <item>, </item>
      </candidateList>
      <explain>文本全半角错误。</explain>
      <paraID>  26F0D2</paraID>
      <start>2</start>
      <end>4</end>
      <status>modified</status>
      <modifiedWord>, </modifiedWord>
      <trackRevisions>false</trackRevisions>
    </reviewItem>
    <reviewItem>
      <errorID>6d8dd00c-0601-431d-811c-ee70ee8dc04c</errorID>
      <errorWord>，</errorWord>
      <group>L1_Format</group>
      <groupName>格式问题</groupName>
      <ability>L2_HalfPunc_CN</ability>
      <abilityName>全半角问题</abilityName>
      <candidateList>
        <item>, </item>
      </candidateList>
      <explain>文本全半角错误。</explain>
      <paraID>  771410</paraID>
      <start>2</start>
      <end>4</end>
      <status>modified</status>
      <modifiedWord>, </modifiedWord>
      <trackRevisions>false</trackRevisions>
    </reviewItem>
    <reviewItem>
      <errorID>d54d3c7c-321f-4b15-8fb9-08128b0cc573</errorID>
      <errorWord>，</errorWord>
      <group>L1_Format</group>
      <groupName>格式问题</groupName>
      <ability>L2_HalfPunc_CN</ability>
      <abilityName>全半角问题</abilityName>
      <candidateList>
        <item>, </item>
      </candidateList>
      <explain>文本全半角错误。</explain>
      <paraID>6336BED3</paraID>
      <start>2</start>
      <end>4</end>
      <status>modified</status>
      <modifiedWord>, </modifiedWord>
      <trackRevisions>false</trackRevisions>
    </reviewItem>
    <reviewItem>
      <errorID>e7698e5d-3aed-4782-ba5e-a2a3fc22ff8a</errorID>
      <errorWord>，</errorWord>
      <group>L1_Format</group>
      <groupName>格式问题</groupName>
      <ability>L2_HalfPunc_CN</ability>
      <abilityName>全半角问题</abilityName>
      <candidateList>
        <item>, </item>
      </candidateList>
      <explain>文本全半角错误。</explain>
      <paraID>17E689CF</paraID>
      <start>2</start>
      <end>4</end>
      <status>modified</status>
      <modifiedWord>, </modifiedWord>
      <trackRevisions>false</trackRevisions>
    </reviewItem>
    <reviewItem>
      <errorID>b6b19c61-2956-4be6-863d-59714f2b2f5c</errorID>
      <errorWord>，</errorWord>
      <group>L1_Format</group>
      <groupName>格式问题</groupName>
      <ability>L2_HalfPunc_CN</ability>
      <abilityName>全半角问题</abilityName>
      <candidateList>
        <item>, </item>
      </candidateList>
      <explain>文本全半角错误。</explain>
      <paraID>74F0B439</paraID>
      <start>2</start>
      <end>4</end>
      <status>modified</status>
      <modifiedWord>, </modifiedWord>
      <trackRevisions>false</trackRevisions>
    </reviewItem>
    <reviewItem>
      <errorID>e6433477-14e8-4867-9527-7b735e398843</errorID>
      <errorWord>，</errorWord>
      <group>L1_Format</group>
      <groupName>格式问题</groupName>
      <ability>L2_HalfPunc_CN</ability>
      <abilityName>全半角问题</abilityName>
      <candidateList>
        <item>, </item>
      </candidateList>
      <explain>文本全半角错误。</explain>
      <paraID> 2979C53</paraID>
      <start>2</start>
      <end>4</end>
      <status>modified</status>
      <modifiedWord>, </modifiedWord>
      <trackRevisions>false</trackRevisions>
    </reviewItem>
    <reviewItem>
      <errorID>ba07e07d-89df-4f37-9070-0fde3f1a59f8</errorID>
      <errorWord>，</errorWord>
      <group>L1_Format</group>
      <groupName>格式问题</groupName>
      <ability>L2_HalfPunc_CN</ability>
      <abilityName>全半角问题</abilityName>
      <candidateList>
        <item>, </item>
      </candidateList>
      <explain>文本全半角错误。</explain>
      <paraID>4B000B7B</paraID>
      <start>2</start>
      <end>4</end>
      <status>modified</status>
      <modifiedWord>, </modifiedWord>
      <trackRevisions>false</trackRevisions>
    </reviewItem>
    <reviewItem>
      <errorID>c8eab11b-9084-477f-b919-c1a098a78b45</errorID>
      <errorWord>，</errorWord>
      <group>L1_Format</group>
      <groupName>格式问题</groupName>
      <ability>L2_HalfPunc_CN</ability>
      <abilityName>全半角问题</abilityName>
      <candidateList>
        <item>, </item>
      </candidateList>
      <explain>文本全半角错误。</explain>
      <paraID>3571F936</paraID>
      <start>2</start>
      <end>4</end>
      <status>modified</status>
      <modifiedWord>, </modifiedWord>
      <trackRevisions>false</trackRevisions>
    </reviewItem>
    <reviewItem>
      <errorID>d1a32dff-6ed2-4f2b-a8c9-9e4d7cf91260</errorID>
      <errorWord>，</errorWord>
      <group>L1_Format</group>
      <groupName>格式问题</groupName>
      <ability>L2_HalfPunc_CN</ability>
      <abilityName>全半角问题</abilityName>
      <candidateList>
        <item>, </item>
      </candidateList>
      <explain>文本全半角错误。</explain>
      <paraID>457F0221</paraID>
      <start>2</start>
      <end>4</end>
      <status>modified</status>
      <modifiedWord>, </modifiedWord>
      <trackRevisions>false</trackRevisions>
    </reviewItem>
    <reviewItem>
      <errorID>5e5f7565-0877-47b9-8cf6-caeed19d8575</errorID>
      <errorWord>，</errorWord>
      <group>L1_Format</group>
      <groupName>格式问题</groupName>
      <ability>L2_HalfPunc_CN</ability>
      <abilityName>全半角问题</abilityName>
      <candidateList>
        <item>, </item>
      </candidateList>
      <explain>文本全半角错误。</explain>
      <paraID>2694FCCC</paraID>
      <start>2</start>
      <end>4</end>
      <status>modified</status>
      <modifiedWord>, </modifiedWord>
      <trackRevisions>false</trackRevisions>
    </reviewItem>
    <reviewItem>
      <errorID>381f2908-aa49-44cd-b198-e8e1d0ab2161</errorID>
      <errorWord>，</errorWord>
      <group>L1_Format</group>
      <groupName>格式问题</groupName>
      <ability>L2_HalfPunc_CN</ability>
      <abilityName>全半角问题</abilityName>
      <candidateList>
        <item>, </item>
      </candidateList>
      <explain>文本全半角错误。</explain>
      <paraID>221C4926</paraID>
      <start>2</start>
      <end>4</end>
      <status>modified</status>
      <modifiedWord>, </modifiedWord>
      <trackRevisions>false</trackRevisions>
    </reviewItem>
    <reviewItem>
      <errorID>7a3ed040-1c6c-4e52-bf3d-8a6f3c4d0712</errorID>
      <errorWord>，</errorWord>
      <group>L1_Format</group>
      <groupName>格式问题</groupName>
      <ability>L2_HalfPunc_CN</ability>
      <abilityName>全半角问题</abilityName>
      <candidateList>
        <item>, </item>
      </candidateList>
      <explain>文本全半角错误。</explain>
      <paraID>3863DEF3</paraID>
      <start>2</start>
      <end>4</end>
      <status>modified</status>
      <modifiedWord>, </modifiedWord>
      <trackRevisions>false</trackRevisions>
    </reviewItem>
    <reviewItem>
      <errorID>b70bbfbf-34f6-4f9d-b89e-a636229788bf</errorID>
      <errorWord>，</errorWord>
      <group>L1_Format</group>
      <groupName>格式问题</groupName>
      <ability>L2_HalfPunc_CN</ability>
      <abilityName>全半角问题</abilityName>
      <candidateList>
        <item>, </item>
      </candidateList>
      <explain>文本全半角错误。</explain>
      <paraID>2C366A72</paraID>
      <start>2</start>
      <end>4</end>
      <status>modified</status>
      <modifiedWord>, </modifiedWord>
      <trackRevisions>false</trackRevisions>
    </reviewItem>
    <reviewItem>
      <errorID>24cadfdb-451f-4ba8-96fd-dcc870a9db03</errorID>
      <errorWord>，</errorWord>
      <group>L1_Format</group>
      <groupName>格式问题</groupName>
      <ability>L2_HalfPunc_CN</ability>
      <abilityName>全半角问题</abilityName>
      <candidateList>
        <item>, </item>
      </candidateList>
      <explain>文本全半角错误。</explain>
      <paraID>6ACC78AB</paraID>
      <start>2</start>
      <end>4</end>
      <status>modified</status>
      <modifiedWord>, </modifiedWord>
      <trackRevisions>false</trackRevisions>
    </reviewItem>
    <reviewItem>
      <errorID>028b7835-3124-4e33-9b97-e4f7dae0475e</errorID>
      <errorWord>，</errorWord>
      <group>L1_Format</group>
      <groupName>格式问题</groupName>
      <ability>L2_HalfPunc_CN</ability>
      <abilityName>全半角问题</abilityName>
      <candidateList>
        <item>, </item>
      </candidateList>
      <explain>文本全半角错误。</explain>
      <paraID>6B1C8093</paraID>
      <start>1</start>
      <end>3</end>
      <status>modified</status>
      <modifiedWord>, </modifiedWord>
      <trackRevisions>false</trackRevisions>
    </reviewItem>
    <reviewItem>
      <errorID>4172bdc7-b840-4c96-a8ef-92a7b0f895af</errorID>
      <errorWord>，</errorWord>
      <group>L1_Format</group>
      <groupName>格式问题</groupName>
      <ability>L2_HalfPunc_CN</ability>
      <abilityName>全半角问题</abilityName>
      <candidateList>
        <item>, </item>
      </candidateList>
      <explain>文本全半角错误。</explain>
      <paraID>65D8A907</paraID>
      <start>2</start>
      <end>4</end>
      <status>modified</status>
      <modifiedWord>, </modifiedWord>
      <trackRevisions>false</trackRevisions>
    </reviewItem>
    <reviewItem>
      <errorID>bc3001d5-1434-45cc-a6d5-f7188908e35f</errorID>
      <errorWord>，</errorWord>
      <group>L1_Format</group>
      <groupName>格式问题</groupName>
      <ability>L2_HalfPunc_CN</ability>
      <abilityName>全半角问题</abilityName>
      <candidateList>
        <item>, </item>
      </candidateList>
      <explain>文本全半角错误。</explain>
      <paraID>5113D006</paraID>
      <start>2</start>
      <end>4</end>
      <status>modified</status>
      <modifiedWord>, </modifiedWord>
      <trackRevisions>false</trackRevisions>
    </reviewItem>
    <reviewItem>
      <errorID>e4a60bdc-c8ec-4ef1-99d0-ee2d9e21d13b</errorID>
      <errorWord>，</errorWord>
      <group>L1_Format</group>
      <groupName>格式问题</groupName>
      <ability>L2_HalfPunc_CN</ability>
      <abilityName>全半角问题</abilityName>
      <candidateList>
        <item>, </item>
      </candidateList>
      <explain>文本全半角错误。</explain>
      <paraID>74ACA102</paraID>
      <start>2</start>
      <end>4</end>
      <status>modified</status>
      <modifiedWord>, </modifiedWord>
      <trackRevisions>false</trackRevisions>
    </reviewItem>
    <reviewItem>
      <errorID>c2ab9aa6-726e-4107-8b5f-6401307d5243</errorID>
      <errorWord>，</errorWord>
      <group>L1_Format</group>
      <groupName>格式问题</groupName>
      <ability>L2_HalfPunc_CN</ability>
      <abilityName>全半角问题</abilityName>
      <candidateList>
        <item>, </item>
      </candidateList>
      <explain>文本全半角错误。</explain>
      <paraID>2B8F2C55</paraID>
      <start>2</start>
      <end>4</end>
      <status>modified</status>
      <modifiedWord>, </modifiedWord>
      <trackRevisions>false</trackRevisions>
    </reviewItem>
    <reviewItem>
      <errorID>b957b911-8b48-49ea-98bc-8b52006d39f2</errorID>
      <errorWord>，</errorWord>
      <group>L1_Format</group>
      <groupName>格式问题</groupName>
      <ability>L2_HalfPunc_CN</ability>
      <abilityName>全半角问题</abilityName>
      <candidateList>
        <item>, </item>
      </candidateList>
      <explain>文本全半角错误。</explain>
      <paraID>1386E388</paraID>
      <start>2</start>
      <end>4</end>
      <status>modified</status>
      <modifiedWord>, </modifiedWord>
      <trackRevisions>false</trackRevisions>
    </reviewItem>
    <reviewItem>
      <errorID>f4a8218b-d1e0-46a3-983d-c278b7e6f745</errorID>
      <errorWord>，</errorWord>
      <group>L1_Format</group>
      <groupName>格式问题</groupName>
      <ability>L2_HalfPunc_CN</ability>
      <abilityName>全半角问题</abilityName>
      <candidateList>
        <item>, </item>
      </candidateList>
      <explain>文本全半角错误。</explain>
      <paraID>4387F2CE</paraID>
      <start>2</start>
      <end>4</end>
      <status>modified</status>
      <modifiedWord>, </modifiedWord>
      <trackRevisions>false</trackRevisions>
    </reviewItem>
    <reviewItem>
      <errorID>773e9dc3-ef28-4ede-82a5-4a2dec10af3d</errorID>
      <errorWord>，</errorWord>
      <group>L1_Format</group>
      <groupName>格式问题</groupName>
      <ability>L2_HalfPunc_CN</ability>
      <abilityName>全半角问题</abilityName>
      <candidateList>
        <item>, </item>
      </candidateList>
      <explain>文本全半角错误。</explain>
      <paraID>143E62C1</paraID>
      <start>2</start>
      <end>4</end>
      <status>modified</status>
      <modifiedWord>, </modifiedWord>
      <trackRevisions>false</trackRevisions>
    </reviewItem>
    <reviewItem>
      <errorID>4c58e4e9-b770-4919-a861-a5fd720ff6a2</errorID>
      <errorWord>，</errorWord>
      <group>L1_Format</group>
      <groupName>格式问题</groupName>
      <ability>L2_HalfPunc_CN</ability>
      <abilityName>全半角问题</abilityName>
      <candidateList>
        <item>, </item>
      </candidateList>
      <explain>文本全半角错误。</explain>
      <paraID>5131F057</paraID>
      <start>2</start>
      <end>4</end>
      <status>modified</status>
      <modifiedWord>, </modifiedWord>
      <trackRevisions>false</trackRevisions>
    </reviewItem>
    <reviewItem>
      <errorID>5a590769-926d-42ac-95a4-2f09a5534cae</errorID>
      <errorWord>，</errorWord>
      <group>L1_Format</group>
      <groupName>格式问题</groupName>
      <ability>L2_HalfPunc_CN</ability>
      <abilityName>全半角问题</abilityName>
      <candidateList>
        <item>, </item>
      </candidateList>
      <explain>文本全半角错误。</explain>
      <paraID>4F376473</paraID>
      <start>2</start>
      <end>4</end>
      <status>modified</status>
      <modifiedWord>, </modifiedWord>
      <trackRevisions>false</trackRevisions>
    </reviewItem>
    <reviewItem>
      <errorID>901b9706-fc82-447c-83ee-a8b7d306caff</errorID>
      <errorWord>，</errorWord>
      <group>L1_Format</group>
      <groupName>格式问题</groupName>
      <ability>L2_HalfPunc_CN</ability>
      <abilityName>全半角问题</abilityName>
      <candidateList>
        <item>, </item>
      </candidateList>
      <explain>文本全半角错误。</explain>
      <paraID>2008578E</paraID>
      <start>2</start>
      <end>4</end>
      <status>modified</status>
      <modifiedWord>, </modifiedWord>
      <trackRevisions>false</trackRevisions>
    </reviewItem>
    <reviewItem>
      <errorID>6b1ca94e-34f0-43bb-8e85-8a484c5aa44f</errorID>
      <errorWord>，</errorWord>
      <group>L1_Format</group>
      <groupName>格式问题</groupName>
      <ability>L2_HalfPunc_CN</ability>
      <abilityName>全半角问题</abilityName>
      <candidateList>
        <item>, </item>
      </candidateList>
      <explain>文本全半角错误。</explain>
      <paraID>1496DCEA</paraID>
      <start>1</start>
      <end>3</end>
      <status>modified</status>
      <modifiedWord>, </modifiedWord>
      <trackRevisions>false</trackRevisions>
    </reviewItem>
    <reviewItem>
      <errorID>523328f0-3a7e-4ce5-b3ec-e5ec59920eb6</errorID>
      <errorWord>，</errorWord>
      <group>L1_Format</group>
      <groupName>格式问题</groupName>
      <ability>L2_HalfPunc_CN</ability>
      <abilityName>全半角问题</abilityName>
      <candidateList>
        <item>, </item>
      </candidateList>
      <explain>文本全半角错误。</explain>
      <paraID>2838D916</paraID>
      <start>1</start>
      <end>3</end>
      <status>modified</status>
      <modifiedWord>, </modifiedWord>
      <trackRevisions>false</trackRevisions>
    </reviewItem>
    <reviewItem>
      <errorID>2f2d538d-5563-44cc-9750-ee08e1ebfc8a</errorID>
      <errorWord>，</errorWord>
      <group>L1_Format</group>
      <groupName>格式问题</groupName>
      <ability>L2_HalfPunc_CN</ability>
      <abilityName>全半角问题</abilityName>
      <candidateList>
        <item>,</item>
      </candidateList>
      <explain>文本全半角错误。</explain>
      <paraID>6E5E88D7</paraID>
      <start>2</start>
      <end>3</end>
      <status>modified</status>
      <modifiedWord>,</modifiedWord>
      <trackRevisions>false</trackRevisions>
    </reviewItem>
    <reviewItem>
      <errorID>cf33bfad-9c30-4b26-8234-5d0a275d21d3</errorID>
      <errorWord>，</errorWord>
      <group>L1_Format</group>
      <groupName>格式问题</groupName>
      <ability>L2_HalfPunc_CN</ability>
      <abilityName>全半角问题</abilityName>
      <candidateList>
        <item>,</item>
      </candidateList>
      <explain>文本全半角错误。</explain>
      <paraID>4865DD47</paraID>
      <start>1</start>
      <end>2</end>
      <status>modified</status>
      <modifiedWord>,</modifiedWord>
      <trackRevisions>false</trackRevisions>
    </reviewItem>
    <reviewItem>
      <errorID>6f795352-920c-45a1-b105-88819d493370</errorID>
      <errorWord>，</errorWord>
      <group>L1_Format</group>
      <groupName>格式问题</groupName>
      <ability>L2_HalfPunc_CN</ability>
      <abilityName>全半角问题</abilityName>
      <candidateList>
        <item>,</item>
      </candidateList>
      <explain>文本全半角错误。</explain>
      <paraID>14C53812</paraID>
      <start>1</start>
      <end>2</end>
      <status>modified</status>
      <modifiedWord>,</modifiedWord>
      <trackRevisions>false</trackRevisions>
    </reviewItem>
    <reviewItem>
      <errorID>f0bce8c6-34fb-4556-8edc-3c415d4b8386</errorID>
      <errorWord>，</errorWord>
      <group>L1_Format</group>
      <groupName>格式问题</groupName>
      <ability>L2_HalfPunc_CN</ability>
      <abilityName>全半角问题</abilityName>
      <candidateList>
        <item>,</item>
      </candidateList>
      <explain>文本全半角错误。</explain>
      <paraID>41ECC4A2</paraID>
      <start>1</start>
      <end>2</end>
      <status>modified</status>
      <modifiedWord>,</modifiedWord>
      <trackRevisions>false</trackRevisions>
    </reviewItem>
    <reviewItem>
      <errorID>d5ad0272-4ae8-49c4-aeb8-e95801586fd6</errorID>
      <errorWord>，</errorWord>
      <group>L1_Format</group>
      <groupName>格式问题</groupName>
      <ability>L2_HalfPunc_CN</ability>
      <abilityName>全半角问题</abilityName>
      <candidateList>
        <item>,</item>
      </candidateList>
      <explain>文本全半角错误。</explain>
      <paraID>4824CC1D</paraID>
      <start>1</start>
      <end>2</end>
      <status>modified</status>
      <modifiedWord>,</modifiedWord>
      <trackRevisions>false</trackRevisions>
    </reviewItem>
    <reviewItem>
      <errorID>5321a591-9316-4ab5-bfd3-9d8778b7b220</errorID>
      <errorWord>，</errorWord>
      <group>L1_Format</group>
      <groupName>格式问题</groupName>
      <ability>L2_HalfPunc_CN</ability>
      <abilityName>全半角问题</abilityName>
      <candidateList>
        <item>, </item>
      </candidateList>
      <explain>文本全半角错误。</explain>
      <paraID>548EAC15</paraID>
      <start>1</start>
      <end>3</end>
      <status>modified</status>
      <modifiedWord>, </modifiedWord>
      <trackRevisions>false</trackRevisions>
    </reviewItem>
    <reviewItem>
      <errorID>6406c916-3c0d-45c3-b307-3c30fe408804</errorID>
      <errorWord>*</errorWord>
      <group>L1_Punc</group>
      <groupName>标点问题</groupName>
      <ability>L2_Punc_CN</ability>
      <abilityName>标点符号问题</abilityName>
      <candidateList/>
      <explain/>
      <paraID>26A05782</paraID>
      <start>0</start>
      <end>1</end>
      <status>ignored</status>
      <modifiedWord/>
      <trackRevisions>false</trackRevisions>
    </reviewItem>
    <reviewItem>
      <errorID>a6d73cc5-d8a7-46ca-acaf-8e1861cf910d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4963E217</paraID>
      <start>5</start>
      <end>6</end>
      <status>ignored</status>
      <modifiedWord/>
      <trackRevisions>false</trackRevisions>
    </reviewItem>
    <reviewItem>
      <errorID>adeac730-3899-49b7-9a15-a63d04740fb9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4E20FDA8</paraID>
      <start>5</start>
      <end>6</end>
      <status>ignored</status>
      <modifiedWord/>
      <trackRevisions>false</trackRevisions>
    </reviewItem>
    <reviewItem>
      <errorID>9f881aa1-877b-4c20-a68f-08b55cf7e531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44D1EA46</paraID>
      <start>6</start>
      <end>7</end>
      <status>ignored</status>
      <modifiedWord/>
      <trackRevisions>false</trackRevisions>
    </reviewItem>
    <reviewItem>
      <errorID>de17ec83-ae12-4cae-88cb-40cd41e3fdb7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24DFEAEB</paraID>
      <start>5</start>
      <end>6</end>
      <status>ignored</status>
      <modifiedWord/>
      <trackRevisions>false</trackRevisions>
    </reviewItem>
    <reviewItem>
      <errorID>b68efc00-e893-4d00-b0c1-fbc56980a269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100437BD</paraID>
      <start>5</start>
      <end>6</end>
      <status>ignored</status>
      <modifiedWord/>
      <trackRevisions>false</trackRevisions>
    </reviewItem>
    <reviewItem>
      <errorID>a9522f26-3c6a-4713-aed3-cf2611c093b3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131032DD</paraID>
      <start>6</start>
      <end>7</end>
      <status>ignored</status>
      <modifiedWord/>
      <trackRevisions>false</trackRevisions>
    </reviewItem>
    <reviewItem>
      <errorID>497178b4-0adb-4a9f-9b8c-834ec400634e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746A1EF0</paraID>
      <start>5</start>
      <end>6</end>
      <status>ignored</status>
      <modifiedWord/>
      <trackRevisions>false</trackRevisions>
    </reviewItem>
    <reviewItem>
      <errorID>c3c6e1b7-5708-4d73-b61e-72fb2b4d991b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2C2340E5</paraID>
      <start>0</start>
      <end>3</end>
      <status>ignored</status>
      <modifiedWord/>
      <trackRevisions>false</trackRevisions>
    </reviewItem>
    <reviewItem>
      <errorID>c91133fb-1634-4d15-896b-63454e5ac535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46F354A4</paraID>
      <start>0</start>
      <end>3</end>
      <status>ignored</status>
      <modifiedWord/>
      <trackRevisions>false</trackRevisions>
    </reviewItem>
    <reviewItem>
      <errorID>fc34f47b-32f0-4004-b356-73e68af155e8</errorID>
      <errorWord>"</errorWord>
      <group>L1_Format</group>
      <groupName>格式问题</groupName>
      <ability>L2_HalfPunc_CN</ability>
      <abilityName>全半角问题</abilityName>
      <candidateList/>
      <explain>文本全半角错误。</explain>
      <paraID>6899FA9D</paraID>
      <start>93</start>
      <end>94</end>
      <status>ignored</status>
      <modifiedWord/>
      <trackRevisions>false</trackRevisions>
    </reviewItem>
    <reviewItem>
      <errorID>4f3b3895-f596-4b56-9465-43656e94e710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3E390388</paraID>
      <start>0</start>
      <end>3</end>
      <status>ignored</status>
      <modifiedWord/>
      <trackRevisions>false</trackRevisions>
    </reviewItem>
    <reviewItem>
      <errorID>4ff25d37-1f9b-4f10-b413-000ea7dcf768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10ED9BD8</paraID>
      <start>0</start>
      <end>3</end>
      <status>ignored</status>
      <modifiedWord/>
      <trackRevisions>false</trackRevisions>
    </reviewItem>
    <reviewItem>
      <errorID>1a779762-795c-4d63-a5d7-30b244471b7c</errorID>
      <errorWord>、</errorWord>
      <group>L1_Punc</group>
      <groupName>标点问题</groupName>
      <ability>L2_Punc_CN</ability>
      <abilityName>标点符号问题</abilityName>
      <candidateList>
        <item>.</item>
      </candidateList>
      <explain/>
      <paraID>2ED55023</paraID>
      <start>1</start>
      <end>2</end>
      <status>ignored</status>
      <modifiedWord/>
      <trackRevisions>false</trackRevisions>
    </reviewItem>
    <reviewItem>
      <errorID>8b508366-66a8-48ab-b736-252a326c2348</errorID>
      <errorWord>、</errorWord>
      <group>L1_Punc</group>
      <groupName>标点问题</groupName>
      <ability>L2_Punc_CN</ability>
      <abilityName>标点符号问题</abilityName>
      <candidateList>
        <item>.</item>
      </candidateList>
      <explain/>
      <paraID>1C24901A</paraID>
      <start>1</start>
      <end>2</end>
      <status>ignored</status>
      <modifiedWord/>
      <trackRevisions>false</trackRevisions>
    </reviewItem>
    <reviewItem>
      <errorID>84d1d08e-48cd-4198-9551-ba874ed5cdff</errorID>
      <errorWord>、</errorWord>
      <group>L1_Punc</group>
      <groupName>标点问题</groupName>
      <ability>L2_Punc_CN</ability>
      <abilityName>标点符号问题</abilityName>
      <candidateList>
        <item>.</item>
      </candidateList>
      <explain/>
      <paraID>5492CACF</paraID>
      <start>1</start>
      <end>2</end>
      <status>ignored</status>
      <modifiedWord/>
      <trackRevisions>false</trackRevisions>
    </reviewItem>
    <reviewItem>
      <errorID>a3eb40b4-764f-4a3d-97ba-439aa5587f92</errorID>
      <errorWord>、</errorWord>
      <group>L1_Punc</group>
      <groupName>标点问题</groupName>
      <ability>L2_Punc_CN</ability>
      <abilityName>标点符号问题</abilityName>
      <candidateList>
        <item>.</item>
      </candidateList>
      <explain/>
      <paraID>26ED75E6</paraID>
      <start>1</start>
      <end>2</end>
      <status>ignored</status>
      <modifiedWord/>
      <trackRevisions>false</trackRevisions>
    </reviewItem>
    <reviewItem>
      <errorID>2afd6efb-dfc8-4c90-a746-81b81e121696</errorID>
      <errorWord>、</errorWord>
      <group>L1_Punc</group>
      <groupName>标点问题</groupName>
      <ability>L2_Punc_CN</ability>
      <abilityName>标点符号问题</abilityName>
      <candidateList>
        <item>.</item>
      </candidateList>
      <explain/>
      <paraID>1A2C4A5F</paraID>
      <start>1</start>
      <end>2</end>
      <status>ignored</status>
      <modifiedWord/>
      <trackRevisions>false</trackRevisions>
    </reviewItem>
    <reviewItem>
      <errorID>92999563-cf5d-4aee-8c13-2ec266a35d9a</errorID>
      <errorWord>、</errorWord>
      <group>L1_Punc</group>
      <groupName>标点问题</groupName>
      <ability>L2_Punc_CN</ability>
      <abilityName>标点符号问题</abilityName>
      <candidateList>
        <item>.</item>
      </candidateList>
      <explain/>
      <paraID>774F48B2</paraID>
      <start>1</start>
      <end>2</end>
      <status>ignored</status>
      <modifiedWord/>
      <trackRevisions>false</trackRevisions>
    </reviewItem>
    <reviewItem>
      <errorID>1b2da831-0180-40ce-ba7e-93a973f87029</errorID>
      <errorWord>、</errorWord>
      <group>L1_Punc</group>
      <groupName>标点问题</groupName>
      <ability>L2_Punc_CN</ability>
      <abilityName>标点符号问题</abilityName>
      <candidateList>
        <item>.</item>
      </candidateList>
      <explain/>
      <paraID>552A7475</paraID>
      <start>1</start>
      <end>2</end>
      <status>ignored</status>
      <modifiedWord/>
      <trackRevisions>false</trackRevisions>
    </reviewItem>
    <reviewItem>
      <errorID>c8c851bc-ebeb-4e82-9cd4-2ddf7ae544e8</errorID>
      <errorWord>、</errorWord>
      <group>L1_Punc</group>
      <groupName>标点问题</groupName>
      <ability>L2_Punc_CN</ability>
      <abilityName>标点符号问题</abilityName>
      <candidateList>
        <item>.</item>
      </candidateList>
      <explain/>
      <paraID>63EA2AF4</paraID>
      <start>1</start>
      <end>2</end>
      <status>ignored</status>
      <modifiedWord/>
      <trackRevisions>false</trackRevisions>
    </reviewItem>
    <reviewItem>
      <errorID>70326f86-53d2-4d62-8345-68992ae87366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35476F02</paraID>
      <start>0</start>
      <end>3</end>
      <status>ignored</status>
      <modifiedWord/>
      <trackRevisions>false</trackRevisions>
    </reviewItem>
    <reviewItem>
      <errorID>d2448c37-fecf-4504-b22f-90671bd9b468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105116BC</paraID>
      <start>0</start>
      <end>3</end>
      <status>ignored</status>
      <modifiedWord/>
      <trackRevisions>false</trackRevisions>
    </reviewItem>
    <reviewItem>
      <errorID>7e675a5c-81f7-46fd-9075-c29387f5987f</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1B45BD3C</paraID>
      <start>119</start>
      <end>126</end>
      <status>modified</status>
      <modifiedWord>60%—70%</modifiedWord>
      <trackRevisions>false</trackRevisions>
    </reviewItem>
    <reviewItem>
      <errorID>36f92fc7-ef61-4e2d-b8c1-db032118f5fc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1FD09587</paraID>
      <start>124</start>
      <end>125</end>
      <status>ignored</status>
      <modifiedWord/>
      <trackRevisions>false</trackRevisions>
    </reviewItem>
    <reviewItem>
      <errorID>34eaafe5-25f1-4b4a-9ed3-7086ad786ae1</errorID>
      <errorWord>一步</errorWord>
      <group>L1_Knowledge</group>
      <groupName>知识性问题</groupName>
      <ability>L2_Knowledge</ability>
      <abilityName>其他知识</abilityName>
      <candidateList>
        <item>一道</item>
      </candidateList>
      <explain/>
      <paraID>34DAC5E2</paraID>
      <start>202</start>
      <end>204</end>
      <status>ignored</status>
      <modifiedWord/>
      <trackRevisions>false</trackRevisions>
    </reviewItem>
    <reviewItem>
      <errorID>180a9a00-812f-4e74-b43c-2f5b136773cf</errorID>
      <errorWord>产生的产生的</errorWord>
      <group>L1_Word</group>
      <groupName>字词问题</groupName>
      <ability>L2_Typo</ability>
      <abilityName>字词错误</abilityName>
      <candidateList>
        <item>产生的</item>
      </candidateList>
      <explain/>
      <paraID>4C650D89</paraID>
      <start>9</start>
      <end>12</end>
      <status>modified</status>
      <modifiedWord>产生的</modifiedWord>
      <trackRevisions>false</trackRevisions>
    </reviewItem>
    <reviewItem>
      <errorID>e52c7876-44a1-44fa-a847-43972a766e62</errorID>
      <errorWord>：</errorWord>
      <group>L1_Format</group>
      <groupName>格式问题</groupName>
      <ability>L2_HalfPunc_CN</ability>
      <abilityName>全半角问题</abilityName>
      <candidateList>
        <item>:</item>
      </candidateList>
      <explain>文本全半角错误。</explain>
      <paraID>4B222F6F</paraID>
      <start>69</start>
      <end>70</end>
      <status>modified</status>
      <modifiedWord>:</modifiedWord>
      <trackRevisions>false</trackRevisions>
    </reviewItem>
    <reviewItem>
      <errorID>8e531c3e-29fc-44ca-95dd-a9a7c60d3b59</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78ADC2F8</paraID>
      <start>58</start>
      <end>65</end>
      <status>modified</status>
      <modifiedWord>10%—20%</modifiedWord>
      <trackRevisions>false</trackRevisions>
    </reviewItem>
    <reviewItem>
      <errorID>67faf77b-c420-4458-8599-b3f8a2535dc5</errorID>
      <errorWord>原料入场</errorWord>
      <group>L1_Word</group>
      <groupName>字词问题</groupName>
      <ability>L2_Typo</ability>
      <abilityName>字词错误</abilityName>
      <candidateList>
        <item>原料入厂</item>
      </candidateList>
      <explain/>
      <paraID> F304F74</paraID>
      <start>0</start>
      <end>4</end>
      <status>modified</status>
      <modifiedWord>原料入厂</modifiedWord>
      <trackRevisions>false</trackRevisions>
    </reviewItem>
    <reviewItem>
      <errorID>86d4f843-c8e7-46b0-bd64-0f306f2d129a</errorID>
      <errorWord>交有</errorWord>
      <group>L1_Word</group>
      <groupName>字词问题</groupName>
      <ability>L2_Typo</ability>
      <abilityName>字词错误</abilityName>
      <candidateList>
        <item>交由</item>
      </candidateList>
      <explain>存在发音相同字词的误用。</explain>
      <paraID>26896027</paraID>
      <start>9</start>
      <end>11</end>
      <status>ignored</status>
      <modifiedWord/>
      <trackRevisions>false</trackRevisions>
    </reviewItem>
    <reviewItem>
      <errorID>4fc39e0c-8a5e-4201-b969-2c2de7c1cba0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396F25E2</paraID>
      <start>0</start>
      <end>2</end>
      <status>ignored</status>
      <modifiedWord/>
      <trackRevisions>false</trackRevisions>
    </reviewItem>
    <reviewItem>
      <errorID>35faf6bf-ebec-4934-ba9c-f3d240d0aa91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4FC6057C</paraID>
      <start>0</start>
      <end>3</end>
      <status>ignored</status>
      <modifiedWord/>
      <trackRevisions>false</trackRevisions>
    </reviewItem>
    <reviewItem>
      <errorID>4dc85950-f54b-4804-bacb-7416a7cc5b1c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741477CD</paraID>
      <start>0</start>
      <end>3</end>
      <status>ignored</status>
      <modifiedWord/>
      <trackRevisions>false</trackRevisions>
    </reviewItem>
    <reviewItem>
      <errorID>3824548c-eeb3-4bf3-b11f-10e543d4946b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771D9D04</paraID>
      <start>39</start>
      <end>40</end>
      <status>ignored</status>
      <modifiedWord/>
      <trackRevisions>false</trackRevisions>
    </reviewItem>
    <reviewItem>
      <errorID>659c081b-ede8-487e-872e-68f00abdc635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771D9D04</paraID>
      <start>92</start>
      <end>93</end>
      <status>ignored</status>
      <modifiedWord/>
      <trackRevisions>false</trackRevisions>
    </reviewItem>
    <reviewItem>
      <errorID>18c7de81-a452-46cc-8624-7f51d5ed3a3f</errorID>
      <errorWord>》（试行）</errorWord>
      <group>L1_Word</group>
      <groupName>字词问题</groupName>
      <ability>L2_Typo</ability>
      <abilityName>字词错误</abilityName>
      <candidateList>
        <item>（试行）》</item>
      </candidateList>
      <explain/>
      <paraID>771D9D04</paraID>
      <start>161</start>
      <end>166</end>
      <status>modified</status>
      <modifiedWord>（试行）》</modifiedWord>
      <trackRevisions>false</trackRevisions>
    </reviewItem>
    <reviewItem>
      <errorID>9e87bc14-558c-4041-bd9f-1e90d63ccda6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1F40775A</paraID>
      <start>0</start>
      <end>2</end>
      <status>ignored</status>
      <modifiedWord/>
      <trackRevisions>false</trackRevisions>
    </reviewItem>
    <reviewItem>
      <errorID>44885caf-f47e-4c21-83dd-f93cab15df0b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4EEF7737</paraID>
      <start>0</start>
      <end>2</end>
      <status>ignored</status>
      <modifiedWord/>
      <trackRevisions>false</trackRevisions>
    </reviewItem>
    <reviewItem>
      <errorID>6261a930-edbf-4ca6-9afc-a7d240ea1e60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4055B002</paraID>
      <start>0</start>
      <end>2</end>
      <status>ignored</status>
      <modifiedWord/>
      <trackRevisions>false</trackRevisions>
    </reviewItem>
    <reviewItem>
      <errorID>558554cf-a998-4efa-9737-6c6535dddd3e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1C6C80F5</paraID>
      <start>0</start>
      <end>2</end>
      <status>ignored</status>
      <modifiedWord/>
      <trackRevisions>false</trackRevisions>
    </reviewItem>
    <reviewItem>
      <errorID>f611f418-5ad3-426b-b5de-2f9c0f2360f9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3242527C</paraID>
      <start>0</start>
      <end>2</end>
      <status>ignored</status>
      <modifiedWord/>
      <trackRevisions>false</trackRevisions>
    </reviewItem>
    <reviewItem>
      <errorID>bd55848f-60d0-4369-8453-dfb4999cd918</errorID>
      <errorWord>)(</errorWord>
      <group>L1_Format</group>
      <groupName>格式问题</groupName>
      <ability>L2_HalfPunc_CN</ability>
      <abilityName>全半角问题</abilityName>
      <candidateList>
        <item>）（</item>
      </candidateList>
      <explain>文本全半角错误。</explain>
      <paraID> 12A6A72</paraID>
      <start>26</start>
      <end>28</end>
      <status>modified</status>
      <modifiedWord>）（</modifiedWord>
      <trackRevisions>false</trackRevisions>
    </reviewItem>
    <reviewItem>
      <errorID>c0a128a3-cf7f-408e-92cd-0c250485218f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28F8163B</paraID>
      <start>0</start>
      <end>2</end>
      <status>ignored</status>
      <modifiedWord/>
      <trackRevisions>false</trackRevisions>
    </reviewItem>
    <reviewItem>
      <errorID>a144451c-0ca5-425e-943d-ea1c1ac3a583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5925C8EA</paraID>
      <start>0</start>
      <end>2</end>
      <status>ignored</status>
      <modifiedWord/>
      <trackRevisions>false</trackRevisions>
    </reviewItem>
    <reviewItem>
      <errorID>d2bdd469-fb8e-422c-8db2-3f7cebc66d6a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AF858EB</paraID>
      <start>0</start>
      <end>2</end>
      <status>ignored</status>
      <modifiedWord/>
      <trackRevisions>false</trackRevisions>
    </reviewItem>
    <reviewItem>
      <errorID>b9f49672-29f1-4e61-90fe-ee4b61b42e2d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17B8AB3</paraID>
      <start>0</start>
      <end>2</end>
      <status>ignored</status>
      <modifiedWord/>
      <trackRevisions>false</trackRevisions>
    </reviewItem>
    <reviewItem>
      <errorID>4ccb86c6-dbba-4c7f-9c87-07c05e71130b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3D8C0C03</paraID>
      <start>0</start>
      <end>2</end>
      <status>ignored</status>
      <modifiedWord/>
      <trackRevisions>false</trackRevisions>
    </reviewItem>
    <reviewItem>
      <errorID>15e0917e-6bff-4ee8-877f-2d784a021c9e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4A253D4F</paraID>
      <start>0</start>
      <end>1</end>
      <status>ignored</status>
      <modifiedWord/>
      <trackRevisions>false</trackRevisions>
    </reviewItem>
    <reviewItem>
      <errorID>8c67dcec-0960-49f6-a45a-6701f340edf2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2ADF782E</paraID>
      <start>0</start>
      <end>2</end>
      <status>ignored</status>
      <modifiedWord/>
      <trackRevisions>false</trackRevisions>
    </reviewItem>
    <reviewItem>
      <errorID>7b7dca91-d72e-4d6d-946a-73534579a9e8</errorID>
      <errorWord>(</errorWord>
      <group>L1_Format</group>
      <groupName>格式问题</groupName>
      <ability>L2_HalfPunc_CN</ability>
      <abilityName>全半角问题</abilityName>
      <candidateList>
        <item>（</item>
      </candidateList>
      <explain>文本全半角错误。</explain>
      <paraID>2ADF782E</paraID>
      <start>61</start>
      <end>62</end>
      <status>modified</status>
      <modifiedWord>（</modifiedWord>
      <trackRevisions>false</trackRevisions>
    </reviewItem>
    <reviewItem>
      <errorID>5e030d56-61f3-4d00-8071-7e69bd536304</errorID>
      <errorWord>(</errorWord>
      <group>L1_Format</group>
      <groupName>格式问题</groupName>
      <ability>L2_HalfPunc_CN</ability>
      <abilityName>全半角问题</abilityName>
      <candidateList>
        <item>（</item>
      </candidateList>
      <explain>文本全半角错误。</explain>
      <paraID>2ADF782E</paraID>
      <start>72</start>
      <end>73</end>
      <status>modified</status>
      <modifiedWord>（</modifiedWord>
      <trackRevisions>false</trackRevisions>
    </reviewItem>
    <reviewItem>
      <errorID>dac52d4a-59a9-4f72-b02a-5d5210aeb60d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1F48A736</paraID>
      <start>0</start>
      <end>2</end>
      <status>ignored</status>
      <modifiedWord/>
      <trackRevisions>false</trackRevisions>
    </reviewItem>
    <reviewItem>
      <errorID>7973e255-8841-4a1b-91ba-64bb1954b811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1F48A736</paraID>
      <start>32</start>
      <end>34</end>
      <status>modified</status>
      <modifiedWord>》《</modifiedWord>
      <trackRevisions>false</trackRevisions>
    </reviewItem>
    <reviewItem>
      <errorID>30b6c5e0-71b4-407a-a7c3-5d99f848fac4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36146E85</paraID>
      <start>0</start>
      <end>2</end>
      <status>ignored</status>
      <modifiedWord/>
      <trackRevisions>false</trackRevisions>
    </reviewItem>
    <reviewItem>
      <errorID>a1345305-c990-4090-bb21-eb55b70822d5</errorID>
      <errorWord>无不</errorWord>
      <group>L1_Word</group>
      <groupName>字词问题</groupName>
      <ability>L2_Typo</ability>
      <abilityName>字词错误</abilityName>
      <candidateList>
        <item>无比</item>
      </candidateList>
      <explain>存在发音相近字词的误用。</explain>
      <paraID> 5824556</paraID>
      <start>0</start>
      <end>2</end>
      <status>ignored</status>
      <modifiedWord/>
      <trackRevisions>false</trackRevisions>
    </reviewItem>
    <reviewItem>
      <errorID>e8f0cbec-2643-4841-bde9-cac5af9b770b</errorID>
      <errorWord>-</errorWord>
      <group>L1_Format</group>
      <groupName>格式问题</groupName>
      <ability>L2_HalfPunc_CN</ability>
      <abilityName>全半角问题</abilityName>
      <candidateList>
        <item>－</item>
      </candidateList>
      <explain>文本全半角错误。</explain>
      <paraID>   79285</paraID>
      <start>48</start>
      <end>49</end>
      <status>ignored</status>
      <modifiedWord/>
      <trackRevisions>false</trackRevisions>
    </reviewItem>
    <reviewItem>
      <errorID>58eb4b1f-0229-4fe3-8bfe-56d944865e1f</errorID>
      <errorWord>-</errorWord>
      <group>L1_Format</group>
      <groupName>格式问题</groupName>
      <ability>L2_HalfPunc_CN</ability>
      <abilityName>全半角问题</abilityName>
      <candidateList>
        <item>－</item>
      </candidateList>
      <explain>文本全半角错误。</explain>
      <paraID>   79285</paraID>
      <start>76</start>
      <end>77</end>
      <status>ignored</status>
      <modifiedWord/>
      <trackRevisions>false</trackRevisions>
    </reviewItem>
    <reviewItem>
      <errorID>f4717cd0-53d3-46f6-8531-b5e5bdf7d51c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325F874C</paraID>
      <start>0</start>
      <end>2</end>
      <status>ignored</status>
      <modifiedWord/>
      <trackRevisions>false</trackRevisions>
    </reviewItem>
    <reviewItem>
      <errorID>22a0b56f-98cd-4189-a30e-ea0ba2d0bf85</errorID>
      <errorWord>，</errorWord>
      <group>L1_Word</group>
      <groupName>字词问题</groupName>
      <ability>L2_Typo</ability>
      <abilityName>字词错误</abilityName>
      <candidateList>
        <item>，将</item>
      </candidateList>
      <explain/>
      <paraID>48AC00CD</paraID>
      <start>201</start>
      <end>203</end>
      <status>modified</status>
      <modifiedWord>，将</modifiedWord>
      <trackRevisions>false</trackRevisions>
    </reviewItem>
    <reviewItem>
      <errorID>78206008-fe79-485d-ad5a-8c9b03567dfa</errorID>
      <errorWord>程</errorWord>
      <group>L1_Word</group>
      <groupName>字词问题</groupName>
      <ability>L2_Typo</ability>
      <abilityName>字词错误</abilityName>
      <candidateList>
        <item>程中</item>
      </candidateList>
      <explain/>
      <paraID>731F1583</paraID>
      <start>39</start>
      <end>41</end>
      <status>modified</status>
      <modifiedWord>程中</modifiedWord>
      <trackRevisions>false</trackRevisions>
    </reviewItem>
    <reviewItem>
      <errorID>d7a9bac3-3b1c-4838-b408-f437170f4988</errorID>
      <errorWord>：</errorWord>
      <group>L1_Format</group>
      <groupName>格式问题</groupName>
      <ability>L2_HalfPunc_CN</ability>
      <abilityName>全半角问题</abilityName>
      <candidateList>
        <item>:</item>
      </candidateList>
      <explain>文本全半角错误。</explain>
      <paraID> 4CA22D5</paraID>
      <start>239</start>
      <end>240</end>
      <status>modified</status>
      <modifiedWord>:</modifiedWord>
      <trackRevisions>false</trackRevisions>
    </reviewItem>
    <reviewItem>
      <errorID>86d652a8-6031-4f7a-83ac-6882d9bd2ab3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3C2C0F7E</paraID>
      <start>81</start>
      <end>82</end>
      <status>ignored</status>
      <modifiedWord/>
      <trackRevisions>false</trackRevisions>
    </reviewItem>
    <reviewItem>
      <errorID>614accae-fff9-4883-937a-2a1af860c65d</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11D03923</paraID>
      <start>0</start>
      <end>3</end>
      <status>ignored</status>
      <modifiedWord/>
      <trackRevisions>false</trackRevisions>
    </reviewItem>
    <reviewItem>
      <errorID>f9982302-9c39-423c-8b1c-c50de26a45aa</errorID>
      <errorWord>;</errorWord>
      <group>L1_Format</group>
      <groupName>格式问题</groupName>
      <ability>L2_HalfPunc_CN</ability>
      <abilityName>全半角问题</abilityName>
      <candidateList>
        <item>；</item>
      </candidateList>
      <explain>文本全半角错误。</explain>
      <paraID>5C787077</paraID>
      <start>96</start>
      <end>97</end>
      <status>modified</status>
      <modifiedWord>；</modifiedWord>
      <trackRevisions>false</trackRevisions>
    </reviewItem>
    <reviewItem>
      <errorID>582df4d9-35ac-49b5-82e6-9b6ab94a09bb</errorID>
      <errorWord>-</errorWord>
      <group>L1_Format</group>
      <groupName>格式问题</groupName>
      <ability>L2_HalfPunc_CN</ability>
      <abilityName>全半角问题</abilityName>
      <candidateList>
        <item>－</item>
      </candidateList>
      <explain>文本全半角错误。</explain>
      <paraID>3E9DF8CC</paraID>
      <start>48</start>
      <end>49</end>
      <status>ignored</status>
      <modifiedWord/>
      <trackRevisions>false</trackRevisions>
    </reviewItem>
    <reviewItem>
      <errorID>dcbf3113-5041-416f-a27e-4ac0a817e1ad</errorID>
      <errorWord>-</errorWord>
      <group>L1_Format</group>
      <groupName>格式问题</groupName>
      <ability>L2_HalfPunc_CN</ability>
      <abilityName>全半角问题</abilityName>
      <candidateList>
        <item>－</item>
      </candidateList>
      <explain>文本全半角错误。</explain>
      <paraID>3E9DF8CC</paraID>
      <start>76</start>
      <end>77</end>
      <status>ignored</status>
      <modifiedWord/>
      <trackRevisions>false</trackRevisions>
    </reviewItem>
    <reviewItem>
      <errorID>bde27d44-2e05-4161-934c-4befe0014c7a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220BBCB7</paraID>
      <start>69</start>
      <end>70</end>
      <status>ignored</status>
      <modifiedWord/>
      <trackRevisions>false</trackRevisions>
    </reviewItem>
    <reviewItem>
      <errorID>1c663221-32a0-43e5-8b37-4e0f6d2c1e3f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220BBCB7</paraID>
      <start>94</start>
      <end>95</end>
      <status>ignored</status>
      <modifiedWord/>
      <trackRevisions>false</trackRevisions>
    </reviewItem>
    <reviewItem>
      <errorID>c79ef0fc-000e-45a9-a8df-88dab59c865c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220BBCB7</paraID>
      <start>114</start>
      <end>115</end>
      <status>ignored</status>
      <modifiedWord/>
      <trackRevisions>false</trackRevisions>
    </reviewItem>
    <reviewItem>
      <errorID>4e3e8ded-f833-4ac5-8cce-2b7350cc819b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23F91866</paraID>
      <start>136</start>
      <end>137</end>
      <status>ignored</status>
      <modifiedWord/>
      <trackRevisions>false</trackRevisions>
    </reviewItem>
    <reviewItem>
      <errorID>a09726cb-0f21-483f-96e3-555c99c66ca3</errorID>
      <errorWord>粘附</errorWord>
      <group>L1_Word</group>
      <groupName>字词问题</groupName>
      <ability>L2_Alias</ability>
      <abilityName>也作/曾用词</abilityName>
      <candidateList>
        <item>黏附</item>
      </candidateList>
      <explain>词汇[粘附]为不规范表述或旧称，其规范书面表述为[黏附]。</explain>
      <paraID>65197F09</paraID>
      <start>236</start>
      <end>238</end>
      <status>modified</status>
      <modifiedWord>黏附</modifiedWord>
      <trackRevisions>false</trackRevisions>
    </reviewItem>
    <reviewItem>
      <errorID>f878a333-391f-4f6a-98bc-25e9f995e84e</errorID>
      <errorWord>外逸</errorWord>
      <group>L1_Word</group>
      <groupName>字词问题</groupName>
      <ability>L2_Typo</ability>
      <abilityName>字词错误</abilityName>
      <candidateList>
        <item>外溢</item>
      </candidateList>
      <explain/>
      <paraID>79128C8C</paraID>
      <start>78</start>
      <end>80</end>
      <status>modified</status>
      <modifiedWord>外溢</modifiedWord>
      <trackRevisions>false</trackRevisions>
    </reviewItem>
    <reviewItem>
      <errorID>822ba0fa-f689-47e7-917f-d8210af299f0</errorID>
      <errorWord>行成</errorWord>
      <group>L1_Word</group>
      <groupName>字词问题</groupName>
      <ability>L2_Typo</ability>
      <abilityName>字词错误</abilityName>
      <candidateList>
        <item>形成</item>
      </candidateList>
      <explain/>
      <paraID>4B77327E</paraID>
      <start>52</start>
      <end>54</end>
      <status>modified</status>
      <modifiedWord>形成</modifiedWord>
      <trackRevisions>false</trackRevisions>
    </reviewItem>
    <reviewItem>
      <errorID>e50a7461-00ee-4d1a-b9d9-ed8570b4aa8d</errorID>
      <errorWord>的</errorWord>
      <group>L1_Word</group>
      <groupName>字词问题</groupName>
      <ability>L2_DDD</ability>
      <abilityName>的地得用法</abilityName>
      <candidateList>
        <item>地</item>
      </candidateList>
      <explain/>
      <paraID>4B77327E</paraID>
      <start>283</start>
      <end>284</end>
      <status>modified</status>
      <modifiedWord>地</modifiedWord>
      <trackRevisions>false</trackRevisions>
    </reviewItem>
    <reviewItem>
      <errorID>e806cd61-7f15-4247-b220-26696dd7a785</errorID>
      <errorWord>（</errorWord>
      <group>L1_Format</group>
      <groupName>格式问题</groupName>
      <ability>L2_HalfPunc_CN</ability>
      <abilityName>全半角问题</abilityName>
      <candidateList>
        <item>(</item>
      </candidateList>
      <explain>文本全半角错误。</explain>
      <paraID>44A9D064</paraID>
      <start>0</start>
      <end>1</end>
      <status>modified</status>
      <modifiedWord>(</modifiedWord>
      <trackRevisions>false</trackRevisions>
    </reviewItem>
    <reviewItem>
      <errorID>4a35ba8c-61f1-4c79-9eb6-3f31d29fccb6</errorID>
      <errorWord>）</errorWord>
      <group>L1_Format</group>
      <groupName>格式问题</groupName>
      <ability>L2_HalfPunc_CN</ability>
      <abilityName>全半角问题</abilityName>
      <candidateList>
        <item>)</item>
      </candidateList>
      <explain>文本全半角错误。</explain>
      <paraID>44A9D064</paraID>
      <start>5</start>
      <end>6</end>
      <status>modified</status>
      <modifiedWord>)</modifiedWord>
      <trackRevisions>false</trackRevisions>
    </reviewItem>
    <reviewItem>
      <errorID>9c9ec6f0-b1a7-456c-806a-c6e9b24cea4a</errorID>
      <errorWord>)</errorWord>
      <group>L1_Format</group>
      <groupName>格式问题</groupName>
      <ability>L2_HalfPunc_CN</ability>
      <abilityName>全半角问题</abilityName>
      <candidateList>
        <item>）</item>
      </candidateList>
      <explain>文本全半角错误。</explain>
      <paraID> 3974A3E</paraID>
      <start>99</start>
      <end>100</end>
      <status>modified</status>
      <modifiedWord>）</modifiedWord>
      <trackRevisions>false</trackRevisions>
    </reviewItem>
    <reviewItem>
      <errorID>1f5e0c35-fc51-48ef-8712-38c564de1c79</errorID>
      <errorWord>）</errorWord>
      <group>L1_Format</group>
      <groupName>格式问题</groupName>
      <ability>L2_HalfPunc_CN</ability>
      <abilityName>全半角问题</abilityName>
      <candidateList>
        <item>)</item>
      </candidateList>
      <explain>文本全半角错误。</explain>
      <paraID>255ED083</paraID>
      <start>18</start>
      <end>19</end>
      <status>modified</status>
      <modifiedWord>)</modifiedWord>
      <trackRevisions>false</trackRevisions>
    </reviewItem>
    <reviewItem>
      <errorID>e178dc61-7d91-4a5e-84d4-3bbeddbf8e73</errorID>
      <errorWord>）</errorWord>
      <group>L1_Format</group>
      <groupName>格式问题</groupName>
      <ability>L2_HalfPunc_CN</ability>
      <abilityName>全半角问题</abilityName>
      <candidateList>
        <item>)</item>
      </candidateList>
      <explain>文本全半角错误。</explain>
      <paraID>73638333</paraID>
      <start>34</start>
      <end>35</end>
      <status>modified</status>
      <modifiedWord>)</modifiedWord>
      <trackRevisions>false</trackRevisions>
    </reviewItem>
    <reviewItem>
      <errorID>74fcde05-f812-4bef-96bb-cffb834e5ec4</errorID>
      <errorWord>）</errorWord>
      <group>L1_Format</group>
      <groupName>格式问题</groupName>
      <ability>L2_HalfPunc_CN</ability>
      <abilityName>全半角问题</abilityName>
      <candidateList>
        <item>)</item>
      </candidateList>
      <explain>文本全半角错误。</explain>
      <paraID>18B705D1</paraID>
      <start>21</start>
      <end>22</end>
      <status>modified</status>
      <modifiedWord>)</modifiedWord>
      <trackRevisions>false</trackRevisions>
    </reviewItem>
    <reviewItem>
      <errorID>a351a2e6-fb2b-44dc-8cd4-a77af9ce1b67</errorID>
      <errorWord>(</errorWord>
      <group>L1_Format</group>
      <groupName>格式问题</groupName>
      <ability>L2_HalfPunc_CN</ability>
      <abilityName>全半角问题</abilityName>
      <candidateList>
        <item>（</item>
      </candidateList>
      <explain>文本全半角错误。</explain>
      <paraID>348BAA02</paraID>
      <start>5</start>
      <end>6</end>
      <status>modified</status>
      <modifiedWord>（</modifiedWord>
      <trackRevisions>false</trackRevisions>
    </reviewItem>
    <reviewItem>
      <errorID>a4c39f15-1fc1-491e-bb81-82c8ead034b8</errorID>
      <errorWord>(</errorWord>
      <group>L1_Format</group>
      <groupName>格式问题</groupName>
      <ability>L2_HalfPunc_CN</ability>
      <abilityName>全半角问题</abilityName>
      <candidateList>
        <item>（</item>
      </candidateList>
      <explain>文本全半角错误。</explain>
      <paraID>5C9986C7</paraID>
      <start>5</start>
      <end>6</end>
      <status>modified</status>
      <modifiedWord>（</modifiedWord>
      <trackRevisions>false</trackRevisions>
    </reviewItem>
    <reviewItem>
      <errorID>62825319-2865-423b-baba-adaf0779382d</errorID>
      <errorWord>(</errorWord>
      <group>L1_Format</group>
      <groupName>格式问题</groupName>
      <ability>L2_HalfPunc_CN</ability>
      <abilityName>全半角问题</abilityName>
      <candidateList>
        <item>（</item>
      </candidateList>
      <explain>文本全半角错误。</explain>
      <paraID>36E16BEE</paraID>
      <start>36</start>
      <end>37</end>
      <status>modified</status>
      <modifiedWord>（</modifiedWord>
      <trackRevisions>false</trackRevisions>
    </reviewItem>
    <reviewItem>
      <errorID>dcfdc636-b101-40cb-9172-72c1afa94d16</errorID>
      <errorWord>(</errorWord>
      <group>L1_Format</group>
      <groupName>格式问题</groupName>
      <ability>L2_HalfPunc_CN</ability>
      <abilityName>全半角问题</abilityName>
      <candidateList>
        <item>（</item>
      </candidateList>
      <explain>文本全半角错误。</explain>
      <paraID>36E16BEE</paraID>
      <start>49</start>
      <end>50</end>
      <status>modified</status>
      <modifiedWord>（</modifiedWord>
      <trackRevisions>false</trackRevisions>
    </reviewItem>
    <reviewItem>
      <errorID>e81dee09-9999-44d3-ad38-4cc4d4464f2a</errorID>
      <errorWord>)</errorWord>
      <group>L1_Format</group>
      <groupName>格式问题</groupName>
      <ability>L2_HalfPunc_CN</ability>
      <abilityName>全半角问题</abilityName>
      <candidateList>
        <item>）</item>
      </candidateList>
      <explain>文本全半角错误。</explain>
      <paraID>36E16BEE</paraID>
      <start>84</start>
      <end>85</end>
      <status>modified</status>
      <modifiedWord>）</modifiedWord>
      <trackRevisions>false</trackRevisions>
    </reviewItem>
    <reviewItem>
      <errorID>35e55f9d-0e01-4b5c-bb52-d460519a94cf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69F1483E</paraID>
      <start>0</start>
      <end>2</end>
      <status>ignored</status>
      <modifiedWord/>
      <trackRevisions>false</trackRevisions>
    </reviewItem>
    <reviewItem>
      <errorID>64905ce8-46d1-48e1-b93b-a49245fc2a60</errorID>
      <errorWord>程</errorWord>
      <group>L1_Word</group>
      <groupName>字词问题</groupName>
      <ability>L2_Typo</ability>
      <abilityName>字词错误</abilityName>
      <candidateList>
        <item>程中</item>
      </candidateList>
      <explain/>
      <paraID>2D03E9EF</paraID>
      <start>40</start>
      <end>42</end>
      <status>modified</status>
      <modifiedWord>程中</modifiedWord>
      <trackRevisions>false</trackRevisions>
    </reviewItem>
    <reviewItem>
      <errorID>7bf57941-a248-46f2-be0d-95cf4c1c8d0c</errorID>
      <errorWord>、以及</errorWord>
      <group>L1_Punc</group>
      <groupName>标点问题</groupName>
      <ability>L2_Punc_CN</ability>
      <abilityName>标点符号问题</abilityName>
      <candidateList>
        <item>，以及</item>
      </candidateList>
      <explain>连接词前后不宜使用顿号，建议使用逗号。</explain>
      <paraID>2D03E9EF</paraID>
      <start>50</start>
      <end>53</end>
      <status>modified</status>
      <modifiedWord>，以及</modifiedWord>
      <trackRevisions>false</trackRevisions>
    </reviewItem>
    <reviewItem>
      <errorID>4e7d273e-bfe5-4e91-8d2c-e66c4f565eca</errorID>
      <errorWord>交有</errorWord>
      <group>L1_Word</group>
      <groupName>字词问题</groupName>
      <ability>L2_Typo</ability>
      <abilityName>字词错误</abilityName>
      <candidateList>
        <item>交由</item>
      </candidateList>
      <explain>存在发音相同字词的误用。</explain>
      <paraID>2D03E9EF</paraID>
      <start>194</start>
      <end>196</end>
      <status>ignored</status>
      <modifiedWord/>
      <trackRevisions>false</trackRevisions>
    </reviewItem>
    <reviewItem>
      <errorID>3b79a674-e777-4583-9a18-ea14e58068af</errorID>
      <errorWord>交有</errorWord>
      <group>L1_Word</group>
      <groupName>字词问题</groupName>
      <ability>L2_Typo</ability>
      <abilityName>字词错误</abilityName>
      <candidateList>
        <item>交由</item>
      </candidateList>
      <explain>存在发音相同字词的误用。</explain>
      <paraID>4D718D41</paraID>
      <start>10</start>
      <end>12</end>
      <status>ignored</status>
      <modifiedWord/>
      <trackRevisions>false</trackRevisions>
    </reviewItem>
    <reviewItem>
      <errorID>e350b2a5-ae3a-40ef-a11c-9c4cca679d08</errorID>
      <errorWord>交有</errorWord>
      <group>L1_Word</group>
      <groupName>字词问题</groupName>
      <ability>L2_Typo</ability>
      <abilityName>字词错误</abilityName>
      <candidateList>
        <item>交由</item>
      </candidateList>
      <explain>存在发音相同字词的误用。</explain>
      <paraID>4F1CFDEF</paraID>
      <start>10</start>
      <end>12</end>
      <status>ignored</status>
      <modifiedWord/>
      <trackRevisions>false</trackRevisions>
    </reviewItem>
    <reviewItem>
      <errorID>3433bde4-e021-4ec8-be58-92d6b31bd1b4</errorID>
      <errorWord>交有</errorWord>
      <group>L1_Word</group>
      <groupName>字词问题</groupName>
      <ability>L2_Typo</ability>
      <abilityName>字词错误</abilityName>
      <candidateList>
        <item>交由</item>
      </candidateList>
      <explain>存在发音相同字词的误用。</explain>
      <paraID> 6B314DF</paraID>
      <start>10</start>
      <end>12</end>
      <status>ignored</status>
      <modifiedWord/>
      <trackRevisions>false</trackRevisions>
    </reviewItem>
    <reviewItem>
      <errorID>08e9a109-627c-4f5c-a17b-b7d3252ad2d1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132D36D0</paraID>
      <start>0</start>
      <end>2</end>
      <status>ignored</status>
      <modifiedWord/>
      <trackRevisions>false</trackRevisions>
    </reviewItem>
    <reviewItem>
      <errorID>5efa57f7-1a38-479d-87fe-1013093cf8c8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AB5B3B0</paraID>
      <start>0</start>
      <end>2</end>
      <status>ignored</status>
      <modifiedWord/>
      <trackRevisions>false</trackRevisions>
    </reviewItem>
    <reviewItem>
      <errorID>74b13aca-2503-444a-b4e8-bfcb9e708ce3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32DF9290</paraID>
      <start>0</start>
      <end>2</end>
      <status>ignored</status>
      <modifiedWord/>
      <trackRevisions>false</trackRevisions>
    </reviewItem>
    <reviewItem>
      <errorID>fb1d85b2-4283-4de9-a2b3-71c76f70aac9</errorID>
      <errorWord>须留足够空间</errorWord>
      <group>L1_Word</group>
      <groupName>字词问题</groupName>
      <ability>L2_Typo</ability>
      <abilityName>字词错误</abilityName>
      <candidateList>
        <item>须保留足够空间</item>
      </candidateList>
      <explain/>
      <paraID>32DF9290</paraID>
      <start>18</start>
      <end>25</end>
      <status>modified</status>
      <modifiedWord>须保留足够空间</modifiedWord>
      <trackRevisions>false</trackRevisions>
    </reviewItem>
    <reviewItem>
      <errorID>3012faab-3e1a-4015-8538-c18d6ea65c75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2B0CD2C2</paraID>
      <start>0</start>
      <end>2</end>
      <status>ignored</status>
      <modifiedWord/>
      <trackRevisions>false</trackRevisions>
    </reviewItem>
    <reviewItem>
      <errorID>b33c62f1-f39d-4da2-b506-f0bde0a2ee26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60E1CB07</paraID>
      <start>0</start>
      <end>2</end>
      <status>ignored</status>
      <modifiedWord/>
      <trackRevisions>false</trackRevisions>
    </reviewItem>
    <reviewItem>
      <errorID>48936e81-6af5-4e66-82da-0554efc8b7dd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298E6E21</paraID>
      <start>0</start>
      <end>2</end>
      <status>ignored</status>
      <modifiedWord/>
      <trackRevisions>false</trackRevisions>
    </reviewItem>
    <reviewItem>
      <errorID>1a6d5aec-22e4-4dbc-b1d9-48a264487051</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7A88EFDF</paraID>
      <start>0</start>
      <end>2</end>
      <status>ignored</status>
      <modifiedWord/>
      <trackRevisions>false</trackRevisions>
    </reviewItem>
    <reviewItem>
      <errorID>17f2903b-4cf1-4b72-a6a5-00d7d411e67f</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151067DE</paraID>
      <start>0</start>
      <end>2</end>
      <status>ignored</status>
      <modifiedWord/>
      <trackRevisions>false</trackRevisions>
    </reviewItem>
    <reviewItem>
      <errorID>91b77f41-c8a9-4391-a826-dc1a544c2983</errorID>
      <errorWord>交有</errorWord>
      <group>L1_Word</group>
      <groupName>字词问题</groupName>
      <ability>L2_Typo</ability>
      <abilityName>字词错误</abilityName>
      <candidateList>
        <item>交由</item>
      </candidateList>
      <explain>存在发音相同字词的误用。</explain>
      <paraID>458DE2E9</paraID>
      <start>24</start>
      <end>26</end>
      <status>ignored</status>
      <modifiedWord/>
      <trackRevisions>false</trackRevisions>
    </reviewItem>
    <reviewItem>
      <errorID>506b06f8-91df-4c14-b72c-16835251ad8b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2A7FC6EC</paraID>
      <start>0</start>
      <end>2</end>
      <status>ignored</status>
      <modifiedWord/>
      <trackRevisions>false</trackRevisions>
    </reviewItem>
    <reviewItem>
      <errorID>4e8d8b66-3b40-46e2-a1a2-eb03a256b5a7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4B6D23A2</paraID>
      <start>0</start>
      <end>2</end>
      <status>ignored</status>
      <modifiedWord/>
      <trackRevisions>false</trackRevisions>
    </reviewItem>
    <reviewItem>
      <errorID>28473dec-ba73-4859-83b5-1d00ebfd4b94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69CCB529</paraID>
      <start>0</start>
      <end>2</end>
      <status>ignored</status>
      <modifiedWord/>
      <trackRevisions>false</trackRevisions>
    </reviewItem>
    <reviewItem>
      <errorID>674ddcff-597e-4864-a4dd-bcc8eca151ac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3AAB4D27</paraID>
      <start>0</start>
      <end>2</end>
      <status>ignored</status>
      <modifiedWord/>
      <trackRevisions>false</trackRevisions>
    </reviewItem>
    <reviewItem>
      <errorID>3da2c1f9-2c7a-4690-98d0-b9c347060321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103D63F0</paraID>
      <start>0</start>
      <end>2</end>
      <status>ignored</status>
      <modifiedWord/>
      <trackRevisions>false</trackRevisions>
    </reviewItem>
    <reviewItem>
      <errorID>250acd4e-d45a-42f0-932f-c1e87de134c7</errorID>
      <errorWord>下也</errorWord>
      <group>L1_Word</group>
      <groupName>字词问题</groupName>
      <ability>L2_Typo</ability>
      <abilityName>字词错误</abilityName>
      <candidateList>
        <item>下</item>
      </candidateList>
      <explain/>
      <paraID>103D63F0</paraID>
      <start>46</start>
      <end>47</end>
      <status>modified</status>
      <modifiedWord>下</modifiedWord>
      <trackRevisions>false</trackRevisions>
    </reviewItem>
    <reviewItem>
      <errorID>dde553cc-3bdc-40e4-a2a7-fb2d60bbfeac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231975F8</paraID>
      <start>0</start>
      <end>2</end>
      <status>ignored</status>
      <modifiedWord/>
      <trackRevisions>false</trackRevisions>
    </reviewItem>
    <reviewItem>
      <errorID>4eb8f748-703f-4e92-ab95-e7e760cfc1ed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1EE2CD25</paraID>
      <start>0</start>
      <end>2</end>
      <status>ignored</status>
      <modifiedWord/>
      <trackRevisions>false</trackRevisions>
    </reviewItem>
    <reviewItem>
      <errorID>16996328-9c32-4a8d-b8e5-89bfc4a33470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32A40ADE</paraID>
      <start>0</start>
      <end>2</end>
      <status>ignored</status>
      <modifiedWord/>
      <trackRevisions>false</trackRevisions>
    </reviewItem>
    <reviewItem>
      <errorID>1dbdf905-4933-401d-8eaa-c684d362ad36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5CCCE75E</paraID>
      <start>0</start>
      <end>2</end>
      <status>ignored</status>
      <modifiedWord/>
      <trackRevisions>false</trackRevisions>
    </reviewItem>
    <reviewItem>
      <errorID>57ec61f2-010b-47ff-bdc7-605e04fe7aa1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2CA0E598</paraID>
      <start>0</start>
      <end>2</end>
      <status>ignored</status>
      <modifiedWord/>
      <trackRevisions>false</trackRevisions>
    </reviewItem>
    <reviewItem>
      <errorID>ff9798f9-3144-43ee-a035-d85c4267127a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7DFFC457</paraID>
      <start>0</start>
      <end>2</end>
      <status>ignored</status>
      <modifiedWord/>
      <trackRevisions>false</trackRevisions>
    </reviewItem>
    <reviewItem>
      <errorID>52d122b1-81d8-4c01-a28c-60e7cb0e6825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1F36FDC8</paraID>
      <start>0</start>
      <end>2</end>
      <status>ignored</status>
      <modifiedWord/>
      <trackRevisions>false</trackRevisions>
    </reviewItem>
    <reviewItem>
      <errorID>198d8f81-070a-46d7-9357-698569477881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67C51A89</paraID>
      <start>90</start>
      <end>91</end>
      <status>ignored</status>
      <modifiedWord/>
      <trackRevisions>false</trackRevisions>
    </reviewItem>
    <reviewItem>
      <errorID>7d5ba1cb-d347-4852-97cc-f1930103b6ac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23B13959</paraID>
      <start>0</start>
      <end>2</end>
      <status>ignored</status>
      <modifiedWord/>
      <trackRevisions>false</trackRevisions>
    </reviewItem>
    <reviewItem>
      <errorID>78b7fe26-7d82-414f-ad20-93cbcc545f2e</errorID>
      <errorWord>造成的</errorWord>
      <group>L1_Word</group>
      <groupName>字词问题</groupName>
      <ability>L2_Typo</ability>
      <abilityName>字词错误</abilityName>
      <candidateList>
        <item>造成</item>
      </candidateList>
      <explain/>
      <paraID>702D8AB2</paraID>
      <start>13</start>
      <end>15</end>
      <status>modified</status>
      <modifiedWord>造成</modifiedWord>
      <trackRevisions>false</trackRevisions>
    </reviewItem>
    <reviewItem>
      <errorID>e46da50d-8341-4785-9ed2-a4660b5ede09</errorID>
      <errorWord>，</errorWord>
      <group>L1_Word</group>
      <groupName>字词问题</groupName>
      <ability>L2_Typo</ability>
      <abilityName>字词错误</abilityName>
      <candidateList>
        <item>，对</item>
      </candidateList>
      <explain/>
      <paraID>13F289CE</paraID>
      <start>25</start>
      <end>27</end>
      <status>modified</status>
      <modifiedWord>，对</modifiedWord>
      <trackRevisions>false</trackRevisions>
    </reviewItem>
    <reviewItem>
      <errorID>0872e7e5-9073-410c-9aef-9ab76e6a6f1b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13F289CE</paraID>
      <start>51</start>
      <end>52</end>
      <status>ignored</status>
      <modifiedWord/>
      <trackRevisions>false</trackRevisions>
    </reviewItem>
    <reviewItem>
      <errorID>5245cfa4-9020-4b36-9f7b-d98e2e611792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13F289CE</paraID>
      <start>88</start>
      <end>89</end>
      <status>ignored</status>
      <modifiedWord/>
      <trackRevisions>false</trackRevisions>
    </reviewItem>
    <reviewItem>
      <errorID>5b5468c9-6974-4ace-b94f-1e528535fb1c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1444324C</paraID>
      <start>58</start>
      <end>59</end>
      <status>ignored</status>
      <modifiedWord/>
      <trackRevisions>false</trackRevisions>
    </reviewItem>
    <reviewItem>
      <errorID>42682772-8485-47d4-af26-c0787799b9fa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10B82E4E</paraID>
      <start>0</start>
      <end>2</end>
      <status>ignored</status>
      <modifiedWord/>
      <trackRevisions>false</trackRevisions>
    </reviewItem>
    <reviewItem>
      <errorID>57da2e76-1eda-4cac-903d-9ed8b390a697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1D9455DB</paraID>
      <start>0</start>
      <end>2</end>
      <status>ignored</status>
      <modifiedWord/>
      <trackRevisions>false</trackRevisions>
    </reviewItem>
    <reviewItem>
      <errorID>fc7e9f2b-9d7d-4fe1-9360-022607f23a89</errorID>
      <errorWord>团粒</errorWord>
      <group>L1_Word</group>
      <groupName>字词问题</groupName>
      <ability>L2_Typo</ability>
      <abilityName>字词错误</abilityName>
      <candidateList>
        <item>颗粒</item>
      </candidateList>
      <explain/>
      <paraID>2831D6C0</paraID>
      <start>38</start>
      <end>40</end>
      <status>ignored</status>
      <modifiedWord/>
      <trackRevisions>false</trackRevisions>
    </reviewItem>
    <reviewItem>
      <errorID>7be59492-b667-41f5-9937-3cb8579d5175</errorID>
      <errorWord>其它</errorWord>
      <group>L1_Word</group>
      <groupName>字词问题</groupName>
      <ability>L2_Alias</ability>
      <abilityName>也作/曾用词</abilityName>
      <candidateList>
        <item>其他</item>
      </candidateList>
      <explain>词汇[其它]为不规范表述或旧称，其规范书面表述为[其他]。</explain>
      <paraID>4049CDBC</paraID>
      <start>73</start>
      <end>75</end>
      <status>modified</status>
      <modifiedWord>其他</modifiedWord>
      <trackRevisions>false</trackRevisions>
    </reviewItem>
    <reviewItem>
      <errorID>392b8454-8510-4221-83dc-846ac673134b</errorID>
      <errorWord>：</errorWord>
      <group>L1_Format</group>
      <groupName>格式问题</groupName>
      <ability>L2_HalfPunc_CN</ability>
      <abilityName>全半角问题</abilityName>
      <candidateList>
        <item>:</item>
      </candidateList>
      <explain>文本全半角错误。</explain>
      <paraID>569E0391</paraID>
      <start>61</start>
      <end>62</end>
      <status>modified</status>
      <modifiedWord>:</modifiedWord>
      <trackRevisions>false</trackRevisions>
    </reviewItem>
    <reviewItem>
      <errorID>e4a70faa-f2b2-4a02-9ee1-a471a4dba722</errorID>
      <errorWord>)</errorWord>
      <group>L1_Format</group>
      <groupName>格式问题</groupName>
      <ability>L2_HalfPunc_CN</ability>
      <abilityName>全半角问题</abilityName>
      <candidateList>
        <item>）</item>
      </candidateList>
      <explain>文本全半角错误。</explain>
      <paraID> D4C9F44</paraID>
      <start>76</start>
      <end>77</end>
      <status>modified</status>
      <modifiedWord>）</modifiedWord>
      <trackRevisions>false</trackRevisions>
    </reviewItem>
    <reviewItem>
      <errorID>be6491a2-330e-4166-bb6a-4ab60b3c04ca</errorID>
      <errorWord>(</errorWord>
      <group>L1_Format</group>
      <groupName>格式问题</groupName>
      <ability>L2_HalfPunc_CN</ability>
      <abilityName>全半角问题</abilityName>
      <candidateList>
        <item>（</item>
      </candidateList>
      <explain>文本全半角错误。</explain>
      <paraID>6072E801</paraID>
      <start>0</start>
      <end>1</end>
      <status>modified</status>
      <modifiedWord>（</modifiedWord>
      <trackRevisions>false</trackRevisions>
    </reviewItem>
    <reviewItem>
      <errorID>d414ff11-51df-4570-9ed5-5d38344e4a1d</errorID>
      <errorWord>(</errorWord>
      <group>L1_Format</group>
      <groupName>格式问题</groupName>
      <ability>L2_HalfPunc_CN</ability>
      <abilityName>全半角问题</abilityName>
      <candidateList>
        <item>（</item>
      </candidateList>
      <explain>文本全半角错误。</explain>
      <paraID>687AB63F</paraID>
      <start>50</start>
      <end>51</end>
      <status>modified</status>
      <modifiedWord>（</modifiedWord>
      <trackRevisions>false</trackRevisions>
    </reviewItem>
    <reviewItem>
      <errorID>d07d43c2-3c8f-45a0-8f00-43b5d16deed3</errorID>
      <errorWord>交有</errorWord>
      <group>L1_Word</group>
      <groupName>字词问题</groupName>
      <ability>L2_Typo</ability>
      <abilityName>字词错误</abilityName>
      <candidateList>
        <item>交由</item>
      </candidateList>
      <explain>存在发音相同字词的误用。</explain>
      <paraID> 588BB66</paraID>
      <start>70</start>
      <end>72</end>
      <status>ignored</status>
      <modifiedWord/>
      <trackRevisions>false</trackRevisions>
    </reviewItem>
    <reviewItem>
      <errorID>00439b9e-1e1e-48e5-a816-ab8c1535eda9</errorID>
      <errorWord>，</errorWord>
      <group>L1_Word</group>
      <groupName>字词问题</groupName>
      <ability>L2_Typo</ability>
      <abilityName>字词错误</abilityName>
      <candidateList>
        <item>，对</item>
      </candidateList>
      <explain/>
      <paraID>23B186DA</paraID>
      <start>25</start>
      <end>27</end>
      <status>modified</status>
      <modifiedWord>，对</modifiedWord>
      <trackRevisions>false</trackRevisions>
    </reviewItem>
    <reviewItem>
      <errorID>97a828e2-d9c3-4a7b-a9d2-93fd61bfb220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23B186DA</paraID>
      <start>51</start>
      <end>52</end>
      <status>ignored</status>
      <modifiedWord/>
      <trackRevisions>false</trackRevisions>
    </reviewItem>
    <reviewItem>
      <errorID>72b36e36-58a6-4270-bef4-a2b03fa8b514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23B186DA</paraID>
      <start>88</start>
      <end>89</end>
      <status>ignored</status>
      <modifiedWord/>
      <trackRevisions>false</trackRevisions>
    </reviewItem>
    <reviewItem>
      <errorID>327b04be-e362-470b-bcfb-3e4319d3217e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686CF1A7</paraID>
      <start>42</start>
      <end>43</end>
      <status>ignored</status>
      <modifiedWord/>
      <trackRevisions>false</trackRevisions>
    </reviewItem>
    <reviewItem>
      <errorID>7fdf35c6-cad3-42af-bce6-2053d7f8066e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4C1493EB</paraID>
      <start>24</start>
      <end>25</end>
      <status>ignored</status>
      <modifiedWord/>
      <trackRevisions>false</trackRevisions>
    </reviewItem>
    <reviewItem>
      <errorID>0d13a45b-2490-44e2-bdb3-b9340b81b303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1E9C9B9D</paraID>
      <start>0</start>
      <end>2</end>
      <status>ignored</status>
      <modifiedWord/>
      <trackRevisions>false</trackRevisions>
    </reviewItem>
    <reviewItem>
      <errorID>08733482-4e69-4cae-abef-1bbddd849337</errorID>
      <errorWord>管理台帐</errorWord>
      <group>L1_Word</group>
      <groupName>字词问题</groupName>
      <ability>L2_Alias</ability>
      <abilityName>也作/曾用词</abilityName>
      <candidateList>
        <item>管理台账</item>
      </candidateList>
      <explain>词汇[管理台帐]为不规范表述或旧称，其规范书面表述为[管理台账]。</explain>
      <paraID>46BA8D2F</paraID>
      <start>63</start>
      <end>67</end>
      <status>modified</status>
      <modifiedWord>管理台账</modifiedWord>
      <trackRevisions>false</trackRevisions>
    </reviewItem>
    <reviewItem>
      <errorID>ba90181d-44e0-4e10-b660-c75e731e3910</errorID>
      <errorWord>标示</errorWord>
      <group>L1_Word</group>
      <groupName>字词问题</groupName>
      <ability>L2_Typo</ability>
      <abilityName>字词错误</abilityName>
      <candidateList>
        <item>标识</item>
      </candidateList>
      <explain/>
      <paraID>1A921DBB</paraID>
      <start>8</start>
      <end>10</end>
      <status>modified</status>
      <modifiedWord>标识</modifiedWord>
      <trackRevisions>false</trackRevisions>
    </reviewItem>
    <reviewItem>
      <errorID>4e5ac5dd-7fe3-4ea1-b597-18d59e142a7f</errorID>
      <errorWord>，</errorWord>
      <group>L1_Word</group>
      <groupName>字词问题</groupName>
      <ability>L2_Typo</ability>
      <abilityName>字词错误</abilityName>
      <candidateList>
        <item>，在</item>
      </candidateList>
      <explain/>
      <paraID>5F7451C1</paraID>
      <start>21</start>
      <end>23</end>
      <status>modified</status>
      <modifiedWord>，在</modifiedWord>
      <trackRevisions>false</trackRevisions>
    </reviewItem>
    <reviewItem>
      <errorID>7b6300b7-d6b7-4e69-8c35-3cf08c86eee2</errorID>
      <errorWord>标示牌</errorWord>
      <group>L1_Word</group>
      <groupName>字词问题</groupName>
      <ability>L2_Typo</ability>
      <abilityName>字词错误</abilityName>
      <candidateList>
        <item>标识牌</item>
      </candidateList>
      <explain>存在发音相同字词的误用。</explain>
      <paraID>29D0CBCA</paraID>
      <start>63</start>
      <end>66</end>
      <status>modified</status>
      <modifiedWord>标识牌</modifiedWord>
      <trackRevisions>false</trackRevisions>
    </reviewItem>
    <reviewItem>
      <errorID>cc6f7e10-1b1b-43eb-8732-c07725935c41</errorID>
      <errorWord>标示牌</errorWord>
      <group>L1_Word</group>
      <groupName>字词问题</groupName>
      <ability>L2_Typo</ability>
      <abilityName>字词错误</abilityName>
      <candidateList>
        <item>标识牌</item>
      </candidateList>
      <explain>存在发音相同字词的误用。</explain>
      <paraID>1844D394</paraID>
      <start>47</start>
      <end>50</end>
      <status>modified</status>
      <modifiedWord>标识牌</modifiedWord>
      <trackRevisions>false</trackRevisions>
    </reviewItem>
    <reviewItem>
      <errorID>915c79d0-29bf-4341-b1e9-501eaa27bca3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6C4FE41B</paraID>
      <start>0</start>
      <end>2</end>
      <status>ignored</status>
      <modifiedWord/>
      <trackRevisions>false</trackRevisions>
    </reviewItem>
    <reviewItem>
      <errorID>116fe987-b4a7-4b5f-b10e-f02863be58cf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26A919DD</paraID>
      <start>0</start>
      <end>2</end>
      <status>ignored</status>
      <modifiedWord/>
      <trackRevisions>false</trackRevisions>
    </reviewItem>
    <reviewItem>
      <errorID>4a69a695-d4a2-4b63-a9af-4e43ab76a840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713E8733</paraID>
      <start>0</start>
      <end>2</end>
      <status>ignored</status>
      <modifiedWord/>
      <trackRevisions>false</trackRevisions>
    </reviewItem>
    <reviewItem>
      <errorID>38fef08f-77fe-4473-be96-22678962851d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3B352E28</paraID>
      <start>0</start>
      <end>2</end>
      <status>ignored</status>
      <modifiedWord/>
      <trackRevisions>false</trackRevisions>
    </reviewItem>
    <reviewItem>
      <errorID>b3817518-af67-4d39-b7f7-ed98bbc35cb7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2527915D</paraID>
      <start>0</start>
      <end>2</end>
      <status>ignored</status>
      <modifiedWord/>
      <trackRevisions>false</trackRevisions>
    </reviewItem>
    <reviewItem>
      <errorID>88bab067-b1d1-45c6-a9b6-09d8632aa86a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41F0E09</paraID>
      <start>0</start>
      <end>2</end>
      <status>ignored</status>
      <modifiedWord/>
      <trackRevisions>false</trackRevisions>
    </reviewItem>
    <reviewItem>
      <errorID>7140fc08-3d74-4c3b-996e-e8919e873129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7CA729AC</paraID>
      <start>0</start>
      <end>2</end>
      <status>ignored</status>
      <modifiedWord/>
      <trackRevisions>false</trackRevisions>
    </reviewItem>
    <reviewItem>
      <errorID>5ab0a5b0-b361-42f4-b9dd-11e811244f05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395462A</paraID>
      <start>0</start>
      <end>2</end>
      <status>ignored</status>
      <modifiedWord/>
      <trackRevisions>false</trackRevisions>
    </reviewItem>
    <reviewItem>
      <errorID>606202ed-1f45-47b6-b0f1-24f52323256d</errorID>
      <errorWord>制</errorWord>
      <group>L1_Word</group>
      <groupName>字词问题</groupName>
      <ability>L2_Typo</ability>
      <abilityName>字词错误</abilityName>
      <candidateList>
        <item>制度</item>
      </candidateList>
      <explain/>
      <paraID>18A7C98A</paraID>
      <start>51</start>
      <end>52</end>
      <status>ignored</status>
      <modifiedWord/>
      <trackRevisions>false</trackRevisions>
    </reviewItem>
    <reviewItem>
      <errorID>a1f1b75d-7b7d-4b93-9334-4d46a11e0b4d</errorID>
      <errorWord>[2017]84号</errorWord>
      <group>L1_Knowledge</group>
      <groupName>知识性问题</groupName>
      <ability>L2_Knowledge</ability>
      <abilityName>其他知识</abilityName>
      <candidateList>
        <item>〔2017〕84号</item>
      </candidateList>
      <explain>发文字号格式错误。</explain>
      <paraID>18A7C98A</paraID>
      <start>67</start>
      <end>76</end>
      <status>ignored</status>
      <modifiedWord/>
      <trackRevisions>false</trackRevisions>
    </reviewItem>
    <reviewItem>
      <errorID>5b6a6ecf-25c3-4fe0-bb4b-7675d9d67cb4</errorID>
      <errorWord>，</errorWord>
      <group>L1_Word</group>
      <groupName>字词问题</groupName>
      <ability>L2_Typo</ability>
      <abilityName>字词错误</abilityName>
      <candidateList>
        <item>，在</item>
      </candidateList>
      <explain/>
      <paraID>18A7C98A</paraID>
      <start>79</start>
      <end>81</end>
      <status>modified</status>
      <modifiedWord>，在</modifiedWord>
      <trackRevisions>false</trackRevisions>
    </reviewItem>
    <reviewItem>
      <errorID>18d2a6c6-04ad-4ac9-979f-849e68079e4d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10A526BC</paraID>
      <start>0</start>
      <end>2</end>
      <status>ignored</status>
      <modifiedWord/>
      <trackRevisions>false</trackRevisions>
    </reviewItem>
    <reviewItem>
      <errorID>7f58b213-4431-4ed2-bde5-964844a8d435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4C0BDE86</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493bd7-bd5a-40c9-906b-5ab654f5350c}">
  <ds:schemaRefs/>
</ds:datastoreItem>
</file>

<file path=docProps/app.xml><?xml version="1.0" encoding="utf-8"?>
<Properties xmlns="http://schemas.openxmlformats.org/officeDocument/2006/extended-properties" xmlns:vt="http://schemas.openxmlformats.org/officeDocument/2006/docPropsVTypes">
  <Template>Normal.dotm</Template>
  <Pages>136</Pages>
  <Words>137</Words>
  <Characters>163</Characters>
  <Lines>1</Lines>
  <Paragraphs>1</Paragraphs>
  <TotalTime>5</TotalTime>
  <ScaleCrop>false</ScaleCrop>
  <LinksUpToDate>false</LinksUpToDate>
  <CharactersWithSpaces>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2021-04-21T08:29:00Z</dcterms:created>
  <dc:creator>Administrator</dc:creator>
  <cp:lastModifiedBy>李佳琪</cp:lastModifiedBy>
  <cp:lastPrinted>2024-02-02T00:41:00Z</cp:lastPrinted>
  <dcterms:modified xsi:type="dcterms:W3CDTF">2026-08-24T08:31:26Z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842B5CCF6B7E469CBE4AAED93F9C37B5_13</vt:lpwstr>
  </property>
  <property fmtid="{D5CDD505-2E9C-101B-9397-08002B2CF9AE}" pid="4" name="KSOTemplateDocerSaveRecord">
    <vt:lpwstr>eyJoZGlkIjoiZDZlNDczMjY1NmU4NWFlMWJjNDA4MjhlMmU5N2FlYTAiLCJ1c2VySWQiOiIyNDA4MzgwOSJ9</vt:lpwstr>
  </property>
</Properties>
</file>