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EDE8D">
      <w:pPr>
        <w:ind w:left="0" w:leftChars="0" w:firstLine="0" w:firstLineChars="0"/>
        <w:rPr>
          <w:rFonts w:hint="eastAsia" w:ascii="方正仿宋_GB2312" w:hAnsi="方正仿宋_GB2312" w:eastAsia="方正仿宋_GB2312" w:cs="方正仿宋_GB2312"/>
          <w:color w:val="auto"/>
          <w:sz w:val="36"/>
          <w:szCs w:val="36"/>
          <w:highlight w:val="none"/>
          <w:lang w:val="en-US" w:eastAsia="zh-CN"/>
        </w:rPr>
      </w:pPr>
    </w:p>
    <w:p w14:paraId="29BBBBEA">
      <w:pPr>
        <w:rPr>
          <w:rFonts w:ascii="方正仿宋_GB2312" w:hAnsi="方正仿宋_GB2312" w:eastAsia="方正仿宋_GB2312" w:cs="方正仿宋_GB2312"/>
          <w:color w:val="auto"/>
          <w:sz w:val="36"/>
          <w:szCs w:val="36"/>
          <w:highlight w:val="none"/>
        </w:rPr>
      </w:pPr>
    </w:p>
    <w:p w14:paraId="6B7536A1">
      <w:pPr>
        <w:rPr>
          <w:rFonts w:ascii="方正仿宋_GB2312" w:hAnsi="方正仿宋_GB2312" w:eastAsia="方正仿宋_GB2312" w:cs="方正仿宋_GB2312"/>
          <w:color w:val="auto"/>
          <w:sz w:val="36"/>
          <w:szCs w:val="36"/>
          <w:highlight w:val="none"/>
        </w:rPr>
      </w:pPr>
    </w:p>
    <w:p w14:paraId="4C9D67C3">
      <w:pPr>
        <w:rPr>
          <w:rFonts w:ascii="方正仿宋_GB2312" w:hAnsi="方正仿宋_GB2312" w:eastAsia="方正仿宋_GB2312" w:cs="方正仿宋_GB2312"/>
          <w:color w:val="auto"/>
          <w:sz w:val="36"/>
          <w:szCs w:val="36"/>
          <w:highlight w:val="none"/>
        </w:rPr>
      </w:pPr>
    </w:p>
    <w:p w14:paraId="0F0AE09A">
      <w:pPr>
        <w:pStyle w:val="42"/>
        <w:bidi w:val="0"/>
        <w:rPr>
          <w:rFonts w:hint="eastAsia"/>
          <w:color w:val="auto"/>
          <w:highlight w:val="none"/>
        </w:rPr>
      </w:pPr>
      <w:r>
        <w:rPr>
          <w:rFonts w:hint="eastAsia"/>
          <w:color w:val="auto"/>
          <w:highlight w:val="none"/>
        </w:rPr>
        <w:t>建设项目</w:t>
      </w:r>
      <w:r>
        <w:rPr>
          <w:rFonts w:hint="eastAsia"/>
          <w:color w:val="auto"/>
          <w:highlight w:val="none"/>
          <w:lang w:val="en-US" w:eastAsia="zh-CN"/>
        </w:rPr>
        <w:t>生态</w:t>
      </w:r>
      <w:r>
        <w:rPr>
          <w:rFonts w:hint="eastAsia"/>
          <w:color w:val="auto"/>
          <w:highlight w:val="none"/>
        </w:rPr>
        <w:t>环境影响报告表</w:t>
      </w:r>
    </w:p>
    <w:p w14:paraId="30FE27E9">
      <w:pPr>
        <w:keepNext w:val="0"/>
        <w:keepLines w:val="0"/>
        <w:pageBreakBefore w:val="0"/>
        <w:widowControl w:val="0"/>
        <w:kinsoku/>
        <w:wordWrap/>
        <w:overflowPunct/>
        <w:topLinePunct w:val="0"/>
        <w:autoSpaceDE/>
        <w:autoSpaceDN/>
        <w:bidi w:val="0"/>
        <w:adjustRightInd w:val="0"/>
        <w:snapToGrid w:val="0"/>
        <w:spacing w:before="192" w:beforeLines="80"/>
        <w:ind w:firstLine="0" w:firstLineChars="0"/>
        <w:jc w:val="center"/>
        <w:textAlignment w:val="auto"/>
        <w:rPr>
          <w:rFonts w:hint="eastAsia" w:ascii="方正楷体_GB2312" w:eastAsia="方正楷体_GB2312"/>
          <w:bCs/>
          <w:color w:val="auto"/>
          <w:sz w:val="48"/>
          <w:szCs w:val="48"/>
          <w:highlight w:val="none"/>
        </w:rPr>
      </w:pPr>
      <w:r>
        <w:rPr>
          <w:rFonts w:hint="eastAsia" w:ascii="方正楷体_GB2312" w:eastAsia="方正楷体_GB2312"/>
          <w:bCs/>
          <w:color w:val="auto"/>
          <w:sz w:val="48"/>
          <w:szCs w:val="48"/>
          <w:highlight w:val="none"/>
        </w:rPr>
        <w:t>（污染影响类）</w:t>
      </w:r>
    </w:p>
    <w:p w14:paraId="64B4189D">
      <w:pPr>
        <w:adjustRightInd w:val="0"/>
        <w:snapToGrid w:val="0"/>
        <w:spacing w:line="288" w:lineRule="auto"/>
        <w:jc w:val="center"/>
        <w:outlineLvl w:val="9"/>
        <w:rPr>
          <w:rFonts w:ascii="华文仿宋" w:hAnsi="华文仿宋" w:eastAsia="华文仿宋" w:cs="华文仿宋"/>
          <w:color w:val="auto"/>
          <w:spacing w:val="-6"/>
          <w:kern w:val="44"/>
          <w:sz w:val="44"/>
          <w:szCs w:val="44"/>
          <w:highlight w:val="none"/>
        </w:rPr>
      </w:pPr>
    </w:p>
    <w:p w14:paraId="57647F88">
      <w:pPr>
        <w:jc w:val="center"/>
        <w:rPr>
          <w:rFonts w:eastAsia="仿宋"/>
          <w:color w:val="auto"/>
          <w:sz w:val="52"/>
          <w:szCs w:val="52"/>
          <w:highlight w:val="none"/>
        </w:rPr>
      </w:pPr>
    </w:p>
    <w:p w14:paraId="03CFE595">
      <w:pPr>
        <w:ind w:firstLine="1040"/>
        <w:rPr>
          <w:rFonts w:eastAsia="仿宋"/>
          <w:color w:val="auto"/>
          <w:sz w:val="44"/>
          <w:szCs w:val="44"/>
          <w:highlight w:val="none"/>
        </w:rPr>
      </w:pPr>
    </w:p>
    <w:p w14:paraId="7EDF0CBA">
      <w:pPr>
        <w:ind w:firstLine="1040"/>
        <w:rPr>
          <w:rFonts w:eastAsia="仿宋"/>
          <w:color w:val="auto"/>
          <w:sz w:val="44"/>
          <w:szCs w:val="44"/>
          <w:highlight w:val="none"/>
        </w:rPr>
      </w:pPr>
    </w:p>
    <w:p w14:paraId="64C4E922">
      <w:pPr>
        <w:pStyle w:val="14"/>
        <w:rPr>
          <w:rFonts w:eastAsia="仿宋"/>
          <w:color w:val="auto"/>
          <w:sz w:val="44"/>
          <w:szCs w:val="44"/>
          <w:highlight w:val="none"/>
        </w:rPr>
      </w:pPr>
    </w:p>
    <w:p w14:paraId="01B3E3A6">
      <w:pPr>
        <w:rPr>
          <w:color w:val="auto"/>
          <w:highlight w:val="none"/>
        </w:rPr>
      </w:pPr>
    </w:p>
    <w:p w14:paraId="3002015F">
      <w:pPr>
        <w:ind w:firstLine="1040"/>
        <w:rPr>
          <w:rFonts w:eastAsia="仿宋"/>
          <w:color w:val="auto"/>
          <w:sz w:val="44"/>
          <w:szCs w:val="44"/>
          <w:highlight w:val="none"/>
        </w:rPr>
      </w:pPr>
    </w:p>
    <w:p w14:paraId="112D84F1">
      <w:pPr>
        <w:ind w:firstLine="1040"/>
        <w:rPr>
          <w:rFonts w:eastAsia="仿宋"/>
          <w:color w:val="auto"/>
          <w:sz w:val="44"/>
          <w:szCs w:val="44"/>
          <w:highlight w:val="none"/>
        </w:rPr>
      </w:pPr>
    </w:p>
    <w:p w14:paraId="723A7754">
      <w:pPr>
        <w:keepNext w:val="0"/>
        <w:keepLines w:val="0"/>
        <w:pageBreakBefore w:val="0"/>
        <w:widowControl w:val="0"/>
        <w:kinsoku/>
        <w:wordWrap w:val="0"/>
        <w:overflowPunct/>
        <w:topLinePunct/>
        <w:autoSpaceDE/>
        <w:autoSpaceDN/>
        <w:bidi w:val="0"/>
        <w:adjustRightInd w:val="0"/>
        <w:snapToGrid w:val="0"/>
        <w:spacing w:line="288" w:lineRule="auto"/>
        <w:jc w:val="both"/>
        <w:textAlignment w:val="auto"/>
        <w:rPr>
          <w:rFonts w:hint="eastAsia" w:ascii="方正仿宋_GB2312" w:eastAsia="方正仿宋_GB2312"/>
          <w:color w:val="auto"/>
          <w:sz w:val="36"/>
          <w:szCs w:val="36"/>
          <w:highlight w:val="none"/>
          <w:u w:val="none"/>
          <w:lang w:val="en-US" w:eastAsia="zh-CN"/>
        </w:rPr>
      </w:pPr>
    </w:p>
    <w:p w14:paraId="5DEDDBDA">
      <w:pPr>
        <w:keepNext w:val="0"/>
        <w:keepLines w:val="0"/>
        <w:pageBreakBefore w:val="0"/>
        <w:widowControl w:val="0"/>
        <w:kinsoku/>
        <w:wordWrap w:val="0"/>
        <w:overflowPunct/>
        <w:topLinePunct/>
        <w:autoSpaceDE/>
        <w:autoSpaceDN/>
        <w:bidi w:val="0"/>
        <w:adjustRightInd w:val="0"/>
        <w:snapToGrid w:val="0"/>
        <w:spacing w:line="288" w:lineRule="auto"/>
        <w:jc w:val="both"/>
        <w:textAlignment w:val="auto"/>
        <w:rPr>
          <w:rFonts w:hint="eastAsia" w:ascii="方正仿宋_GB2312" w:eastAsia="方正仿宋_GB2312"/>
          <w:color w:val="auto"/>
          <w:sz w:val="36"/>
          <w:szCs w:val="36"/>
          <w:highlight w:val="none"/>
          <w:u w:val="none"/>
          <w:vertAlign w:val="baseline"/>
        </w:rPr>
      </w:pPr>
      <w:r>
        <w:rPr>
          <w:rFonts w:hint="eastAsia" w:ascii="方正仿宋_GB2312" w:eastAsia="方正仿宋_GB2312"/>
          <w:color w:val="auto"/>
          <w:sz w:val="36"/>
          <w:szCs w:val="36"/>
          <w:highlight w:val="none"/>
          <w:u w:val="none"/>
          <w:lang w:val="en-US" w:eastAsia="zh-CN"/>
        </w:rPr>
        <w:t xml:space="preserve">    </w:t>
      </w:r>
    </w:p>
    <w:tbl>
      <w:tblPr>
        <w:tblStyle w:val="3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22"/>
      </w:tblGrid>
      <w:tr w14:paraId="139D0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9322" w:type="dxa"/>
            <w:tcBorders>
              <w:tl2br w:val="nil"/>
              <w:tr2bl w:val="nil"/>
            </w:tcBorders>
            <w:vAlign w:val="center"/>
          </w:tcPr>
          <w:p w14:paraId="1557D0D1">
            <w:pPr>
              <w:keepNext w:val="0"/>
              <w:keepLines w:val="0"/>
              <w:pageBreakBefore w:val="0"/>
              <w:widowControl w:val="0"/>
              <w:kinsoku/>
              <w:wordWrap w:val="0"/>
              <w:overflowPunct/>
              <w:topLinePunct/>
              <w:autoSpaceDE/>
              <w:autoSpaceDN/>
              <w:bidi w:val="0"/>
              <w:adjustRightInd w:val="0"/>
              <w:snapToGrid w:val="0"/>
              <w:spacing w:line="288" w:lineRule="auto"/>
              <w:ind w:left="0" w:leftChars="0" w:firstLine="720" w:firstLineChars="200"/>
              <w:jc w:val="left"/>
              <w:textAlignment w:val="auto"/>
              <w:rPr>
                <w:rFonts w:hint="eastAsia" w:ascii="仿宋" w:hAnsi="仿宋" w:eastAsia="仿宋" w:cs="仿宋"/>
                <w:color w:val="auto"/>
                <w:spacing w:val="0"/>
                <w:sz w:val="36"/>
                <w:szCs w:val="36"/>
                <w:highlight w:val="none"/>
                <w:u w:val="none"/>
                <w:vertAlign w:val="baseline"/>
                <w:lang w:val="en-US"/>
              </w:rPr>
            </w:pPr>
            <w:r>
              <w:rPr>
                <w:rFonts w:hint="eastAsia" w:ascii="仿宋" w:hAnsi="仿宋" w:eastAsia="仿宋" w:cs="仿宋"/>
                <w:color w:val="auto"/>
                <w:spacing w:val="0"/>
                <w:sz w:val="36"/>
                <w:szCs w:val="36"/>
                <w:highlight w:val="none"/>
                <w:u w:val="none"/>
              </w:rPr>
              <w:t>项目名称：</w:t>
            </w:r>
            <w:r>
              <w:rPr>
                <w:rFonts w:hint="eastAsia" w:ascii="仿宋" w:hAnsi="仿宋" w:eastAsia="仿宋" w:cs="仿宋"/>
                <w:color w:val="auto"/>
                <w:spacing w:val="0"/>
                <w:sz w:val="36"/>
                <w:szCs w:val="36"/>
                <w:highlight w:val="none"/>
                <w:u w:val="single"/>
                <w:lang w:val="en-US" w:eastAsia="zh-CN"/>
              </w:rPr>
              <w:t xml:space="preserve">       建筑垃圾堆砌地项目      </w:t>
            </w:r>
          </w:p>
        </w:tc>
      </w:tr>
      <w:tr w14:paraId="1543E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322" w:type="dxa"/>
            <w:tcBorders>
              <w:tl2br w:val="nil"/>
              <w:tr2bl w:val="nil"/>
            </w:tcBorders>
            <w:vAlign w:val="center"/>
          </w:tcPr>
          <w:p w14:paraId="6C89199F">
            <w:pPr>
              <w:keepNext w:val="0"/>
              <w:keepLines w:val="0"/>
              <w:pageBreakBefore w:val="0"/>
              <w:widowControl w:val="0"/>
              <w:kinsoku/>
              <w:wordWrap w:val="0"/>
              <w:overflowPunct/>
              <w:topLinePunct/>
              <w:autoSpaceDE/>
              <w:autoSpaceDN/>
              <w:bidi w:val="0"/>
              <w:adjustRightInd w:val="0"/>
              <w:snapToGrid w:val="0"/>
              <w:spacing w:line="288" w:lineRule="auto"/>
              <w:ind w:left="0" w:leftChars="0" w:firstLine="720" w:firstLineChars="200"/>
              <w:jc w:val="left"/>
              <w:textAlignment w:val="auto"/>
              <w:rPr>
                <w:rFonts w:hint="eastAsia" w:ascii="仿宋" w:hAnsi="仿宋" w:eastAsia="仿宋" w:cs="仿宋"/>
                <w:color w:val="auto"/>
                <w:spacing w:val="0"/>
                <w:sz w:val="36"/>
                <w:szCs w:val="36"/>
                <w:highlight w:val="none"/>
                <w:u w:val="none"/>
                <w:vertAlign w:val="baseline"/>
                <w:lang w:val="en-US"/>
              </w:rPr>
            </w:pPr>
            <w:r>
              <w:rPr>
                <w:rFonts w:hint="eastAsia" w:ascii="仿宋" w:hAnsi="仿宋" w:eastAsia="仿宋" w:cs="仿宋"/>
                <w:color w:val="auto"/>
                <w:spacing w:val="0"/>
                <w:sz w:val="36"/>
                <w:szCs w:val="36"/>
                <w:highlight w:val="none"/>
                <w:u w:val="none"/>
              </w:rPr>
              <w:t>建设单位</w:t>
            </w:r>
            <w:r>
              <w:rPr>
                <w:rFonts w:hint="eastAsia" w:ascii="仿宋" w:hAnsi="仿宋" w:eastAsia="仿宋" w:cs="仿宋"/>
                <w:color w:val="auto"/>
                <w:spacing w:val="-11"/>
                <w:sz w:val="36"/>
                <w:szCs w:val="36"/>
                <w:highlight w:val="none"/>
                <w:u w:val="none"/>
              </w:rPr>
              <w:t>（盖章）：</w:t>
            </w:r>
            <w:r>
              <w:rPr>
                <w:rFonts w:hint="eastAsia" w:ascii="仿宋" w:hAnsi="仿宋" w:eastAsia="仿宋" w:cs="仿宋"/>
                <w:color w:val="auto"/>
                <w:spacing w:val="0"/>
                <w:sz w:val="36"/>
                <w:szCs w:val="36"/>
                <w:highlight w:val="none"/>
                <w:u w:val="single"/>
                <w:lang w:val="en-US" w:eastAsia="zh-CN"/>
              </w:rPr>
              <w:t>迁安市瑞承祥科技有限公司</w:t>
            </w:r>
          </w:p>
        </w:tc>
      </w:tr>
      <w:tr w14:paraId="6D112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322" w:type="dxa"/>
            <w:tcBorders>
              <w:tl2br w:val="nil"/>
              <w:tr2bl w:val="nil"/>
            </w:tcBorders>
            <w:vAlign w:val="center"/>
          </w:tcPr>
          <w:p w14:paraId="26620BA8">
            <w:pPr>
              <w:keepNext w:val="0"/>
              <w:keepLines w:val="0"/>
              <w:pageBreakBefore w:val="0"/>
              <w:widowControl w:val="0"/>
              <w:kinsoku/>
              <w:wordWrap w:val="0"/>
              <w:overflowPunct/>
              <w:topLinePunct/>
              <w:autoSpaceDE/>
              <w:autoSpaceDN/>
              <w:bidi w:val="0"/>
              <w:adjustRightInd w:val="0"/>
              <w:snapToGrid w:val="0"/>
              <w:spacing w:line="288" w:lineRule="auto"/>
              <w:ind w:left="0" w:leftChars="0" w:firstLine="720" w:firstLineChars="200"/>
              <w:jc w:val="left"/>
              <w:textAlignment w:val="auto"/>
              <w:rPr>
                <w:rFonts w:hint="eastAsia" w:ascii="仿宋" w:hAnsi="仿宋" w:eastAsia="仿宋" w:cs="仿宋"/>
                <w:color w:val="auto"/>
                <w:sz w:val="36"/>
                <w:szCs w:val="36"/>
                <w:highlight w:val="none"/>
                <w:u w:val="none"/>
                <w:vertAlign w:val="baseline"/>
                <w:lang w:val="en-US"/>
              </w:rPr>
            </w:pPr>
            <w:r>
              <w:rPr>
                <w:rFonts w:hint="eastAsia" w:ascii="仿宋" w:hAnsi="仿宋" w:eastAsia="仿宋" w:cs="仿宋"/>
                <w:color w:val="auto"/>
                <w:spacing w:val="0"/>
                <w:sz w:val="36"/>
                <w:szCs w:val="36"/>
                <w:highlight w:val="none"/>
                <w:u w:val="none"/>
              </w:rPr>
              <w:t>编制日期：</w:t>
            </w:r>
            <w:r>
              <w:rPr>
                <w:rFonts w:hint="eastAsia" w:ascii="仿宋" w:hAnsi="仿宋" w:eastAsia="仿宋" w:cs="仿宋"/>
                <w:color w:val="auto"/>
                <w:sz w:val="36"/>
                <w:szCs w:val="36"/>
                <w:highlight w:val="none"/>
                <w:u w:val="single"/>
              </w:rPr>
              <w:t xml:space="preserve">  </w:t>
            </w:r>
            <w:r>
              <w:rPr>
                <w:rFonts w:hint="eastAsia" w:ascii="仿宋" w:hAnsi="仿宋" w:eastAsia="仿宋" w:cs="仿宋"/>
                <w:color w:val="auto"/>
                <w:sz w:val="36"/>
                <w:szCs w:val="36"/>
                <w:highlight w:val="none"/>
                <w:u w:val="single"/>
                <w:lang w:val="en-US" w:eastAsia="zh-CN"/>
              </w:rPr>
              <w:t xml:space="preserve">          </w:t>
            </w:r>
            <w:r>
              <w:rPr>
                <w:rFonts w:hint="default" w:ascii="Times New Roman" w:hAnsi="Times New Roman" w:eastAsia="仿宋" w:cs="Times New Roman"/>
                <w:color w:val="auto"/>
                <w:spacing w:val="-6"/>
                <w:sz w:val="36"/>
                <w:szCs w:val="36"/>
                <w:highlight w:val="none"/>
                <w:u w:val="single"/>
                <w:lang w:val="en-US" w:eastAsia="zh-CN"/>
              </w:rPr>
              <w:t>202</w:t>
            </w:r>
            <w:r>
              <w:rPr>
                <w:rFonts w:hint="eastAsia" w:eastAsia="仿宋" w:cs="Times New Roman"/>
                <w:color w:val="auto"/>
                <w:spacing w:val="-6"/>
                <w:sz w:val="36"/>
                <w:szCs w:val="36"/>
                <w:highlight w:val="none"/>
                <w:u w:val="single"/>
                <w:lang w:val="en-US" w:eastAsia="zh-CN"/>
              </w:rPr>
              <w:t>6</w:t>
            </w:r>
            <w:r>
              <w:rPr>
                <w:rFonts w:hint="eastAsia" w:ascii="仿宋" w:hAnsi="仿宋" w:eastAsia="仿宋" w:cs="仿宋"/>
                <w:color w:val="auto"/>
                <w:spacing w:val="-6"/>
                <w:sz w:val="36"/>
                <w:szCs w:val="36"/>
                <w:highlight w:val="none"/>
                <w:u w:val="single"/>
                <w:lang w:val="en-US" w:eastAsia="zh-CN"/>
              </w:rPr>
              <w:t>年</w:t>
            </w:r>
            <w:r>
              <w:rPr>
                <w:rFonts w:hint="eastAsia" w:eastAsia="仿宋" w:cs="Times New Roman"/>
                <w:color w:val="auto"/>
                <w:spacing w:val="-6"/>
                <w:sz w:val="36"/>
                <w:szCs w:val="36"/>
                <w:highlight w:val="none"/>
                <w:u w:val="single"/>
                <w:lang w:val="en-US" w:eastAsia="zh-CN"/>
              </w:rPr>
              <w:t>9</w:t>
            </w:r>
            <w:r>
              <w:rPr>
                <w:rFonts w:hint="eastAsia" w:ascii="仿宋" w:hAnsi="仿宋" w:eastAsia="仿宋" w:cs="仿宋"/>
                <w:color w:val="auto"/>
                <w:spacing w:val="-6"/>
                <w:sz w:val="36"/>
                <w:szCs w:val="36"/>
                <w:highlight w:val="none"/>
                <w:u w:val="single"/>
                <w:lang w:val="en-US" w:eastAsia="zh-CN"/>
              </w:rPr>
              <w:t>月</w:t>
            </w:r>
            <w:r>
              <w:rPr>
                <w:rFonts w:hint="eastAsia" w:ascii="仿宋" w:hAnsi="仿宋" w:eastAsia="仿宋" w:cs="仿宋"/>
                <w:color w:val="auto"/>
                <w:sz w:val="36"/>
                <w:szCs w:val="36"/>
                <w:highlight w:val="none"/>
                <w:u w:val="single"/>
                <w:lang w:val="en-US" w:eastAsia="zh-CN"/>
              </w:rPr>
              <w:t xml:space="preserve">         </w:t>
            </w:r>
          </w:p>
        </w:tc>
      </w:tr>
    </w:tbl>
    <w:p w14:paraId="2C270043">
      <w:pPr>
        <w:keepNext w:val="0"/>
        <w:keepLines w:val="0"/>
        <w:pageBreakBefore w:val="0"/>
        <w:widowControl w:val="0"/>
        <w:kinsoku/>
        <w:wordWrap w:val="0"/>
        <w:overflowPunct/>
        <w:topLinePunct/>
        <w:autoSpaceDE/>
        <w:autoSpaceDN/>
        <w:bidi w:val="0"/>
        <w:adjustRightInd w:val="0"/>
        <w:snapToGrid w:val="0"/>
        <w:spacing w:line="288" w:lineRule="auto"/>
        <w:ind w:firstLine="1080" w:firstLineChars="300"/>
        <w:jc w:val="both"/>
        <w:textAlignment w:val="auto"/>
        <w:rPr>
          <w:rFonts w:hint="default" w:ascii="方正仿宋_GB2312" w:eastAsia="方正仿宋_GB2312"/>
          <w:color w:val="auto"/>
          <w:sz w:val="36"/>
          <w:szCs w:val="36"/>
          <w:highlight w:val="none"/>
          <w:u w:val="single"/>
          <w:lang w:val="en-US" w:eastAsia="zh-CN"/>
        </w:rPr>
      </w:pPr>
      <w:bookmarkStart w:id="0" w:name="_Hlk57884087"/>
    </w:p>
    <w:p w14:paraId="5689CB45">
      <w:pPr>
        <w:adjustRightInd w:val="0"/>
        <w:snapToGrid w:val="0"/>
        <w:spacing w:line="288" w:lineRule="auto"/>
        <w:ind w:firstLine="1040"/>
        <w:rPr>
          <w:rFonts w:ascii="方正仿宋_GB2312" w:eastAsia="方正仿宋_GB2312"/>
          <w:color w:val="auto"/>
          <w:sz w:val="36"/>
          <w:szCs w:val="36"/>
          <w:highlight w:val="none"/>
        </w:rPr>
      </w:pPr>
    </w:p>
    <w:bookmarkEnd w:id="0"/>
    <w:p w14:paraId="31CD3784">
      <w:pPr>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eastAsia" w:ascii="方正楷体_GB2312" w:eastAsia="方正楷体_GB2312"/>
          <w:color w:val="auto"/>
          <w:szCs w:val="36"/>
          <w:highlight w:val="none"/>
        </w:rPr>
      </w:pPr>
      <w:r>
        <w:rPr>
          <w:rFonts w:hint="eastAsia" w:ascii="楷体" w:hAnsi="楷体" w:eastAsia="楷体" w:cs="楷体"/>
          <w:color w:val="auto"/>
          <w:sz w:val="36"/>
          <w:szCs w:val="36"/>
          <w:highlight w:val="none"/>
        </w:rPr>
        <w:t>中华人民共和国生态环境部制</w:t>
      </w:r>
    </w:p>
    <w:p w14:paraId="469EFB93">
      <w:pPr>
        <w:rPr>
          <w:rFonts w:ascii="方正仿宋_GB2312" w:eastAsia="方正仿宋_GB2312"/>
          <w:color w:val="auto"/>
          <w:sz w:val="36"/>
          <w:szCs w:val="36"/>
          <w:highlight w:val="none"/>
        </w:rPr>
        <w:sectPr>
          <w:footerReference r:id="rId5" w:type="default"/>
          <w:footerReference r:id="rId6" w:type="even"/>
          <w:pgSz w:w="11906" w:h="16838"/>
          <w:pgMar w:top="1417" w:right="1191" w:bottom="1417" w:left="1304" w:header="851" w:footer="1077" w:gutter="0"/>
          <w:pgBorders>
            <w:top w:val="none" w:sz="0" w:space="0"/>
            <w:left w:val="none" w:sz="0" w:space="0"/>
            <w:bottom w:val="none" w:sz="0" w:space="0"/>
            <w:right w:val="none" w:sz="0" w:space="0"/>
          </w:pgBorders>
          <w:pgNumType w:fmt="decimal" w:start="3"/>
          <w:cols w:space="720" w:num="1"/>
          <w:docGrid w:linePitch="312" w:charSpace="0"/>
        </w:sectPr>
      </w:pPr>
      <w:r>
        <w:rPr>
          <w:rFonts w:hint="eastAsia" w:ascii="方正楷体_GB2312" w:eastAsia="方正楷体_GB2312"/>
          <w:color w:val="auto"/>
          <w:sz w:val="36"/>
          <w:szCs w:val="36"/>
          <w:highlight w:val="none"/>
        </w:rPr>
        <w:br w:type="page"/>
      </w:r>
    </w:p>
    <w:p w14:paraId="2E5069A6">
      <w:pPr>
        <w:spacing w:before="0" w:beforeLines="0" w:after="0" w:afterLines="0" w:line="240" w:lineRule="auto"/>
        <w:ind w:left="0" w:leftChars="0" w:right="0" w:rightChars="0" w:firstLine="0" w:firstLineChars="0"/>
        <w:jc w:val="center"/>
        <w:rPr>
          <w:rFonts w:ascii="宋体" w:hAnsi="宋体" w:eastAsia="宋体" w:cs="Times New Roman"/>
          <w:color w:val="auto"/>
          <w:kern w:val="2"/>
          <w:sz w:val="21"/>
          <w:szCs w:val="24"/>
          <w:highlight w:val="none"/>
          <w:lang w:val="en-US" w:eastAsia="zh-CN" w:bidi="ar-SA"/>
        </w:rPr>
        <w:sectPr>
          <w:footerReference r:id="rId7" w:type="default"/>
          <w:pgSz w:w="11906" w:h="16838"/>
          <w:pgMar w:top="1440" w:right="1247" w:bottom="1440" w:left="1417" w:header="851" w:footer="879" w:gutter="0"/>
          <w:pgBorders>
            <w:top w:val="none" w:sz="0" w:space="0"/>
            <w:left w:val="none" w:sz="0" w:space="0"/>
            <w:bottom w:val="none" w:sz="0" w:space="0"/>
            <w:right w:val="none" w:sz="0" w:space="0"/>
          </w:pgBorders>
          <w:pgNumType w:fmt="decimal" w:start="1"/>
          <w:cols w:space="425" w:num="1"/>
          <w:docGrid w:type="lines" w:linePitch="312" w:charSpace="0"/>
        </w:sectPr>
      </w:pPr>
    </w:p>
    <w:sdt>
      <w:sdtPr>
        <w:rPr>
          <w:rFonts w:ascii="宋体" w:hAnsi="宋体" w:eastAsia="宋体" w:cs="Times New Roman"/>
          <w:b/>
          <w:bCs/>
          <w:color w:val="auto"/>
          <w:kern w:val="2"/>
          <w:sz w:val="24"/>
          <w:szCs w:val="32"/>
          <w:highlight w:val="none"/>
          <w:lang w:val="en-US" w:eastAsia="zh-CN" w:bidi="ar-SA"/>
        </w:rPr>
        <w:id w:val="147475662"/>
        <w15:color w:val="DBDBDB"/>
        <w:docPartObj>
          <w:docPartGallery w:val="Table of Contents"/>
          <w:docPartUnique/>
        </w:docPartObj>
      </w:sdtPr>
      <w:sdtEndPr>
        <w:rPr>
          <w:rFonts w:ascii="宋体" w:hAnsi="宋体" w:eastAsia="宋体" w:cs="Times New Roman"/>
          <w:b/>
          <w:bCs/>
          <w:color w:val="auto"/>
          <w:kern w:val="2"/>
          <w:sz w:val="21"/>
          <w:szCs w:val="24"/>
          <w:highlight w:val="none"/>
          <w:lang w:val="en-US" w:eastAsia="zh-CN" w:bidi="ar-SA"/>
        </w:rPr>
      </w:sdtEndPr>
      <w:sdtContent>
        <w:p w14:paraId="78AE71B8">
          <w:pPr>
            <w:spacing w:before="0" w:beforeLines="0" w:after="0" w:afterLines="0" w:line="240" w:lineRule="auto"/>
            <w:ind w:left="0" w:leftChars="0" w:right="0" w:rightChars="0" w:firstLine="0" w:firstLineChars="0"/>
            <w:jc w:val="center"/>
            <w:rPr>
              <w:b/>
              <w:bCs/>
              <w:color w:val="auto"/>
              <w:sz w:val="32"/>
              <w:szCs w:val="32"/>
              <w:highlight w:val="none"/>
            </w:rPr>
          </w:pPr>
          <w:r>
            <w:rPr>
              <w:rFonts w:ascii="宋体" w:hAnsi="宋体" w:eastAsia="宋体"/>
              <w:b/>
              <w:bCs/>
              <w:color w:val="auto"/>
              <w:sz w:val="36"/>
              <w:szCs w:val="36"/>
              <w:highlight w:val="none"/>
            </w:rPr>
            <w:t>目录</w:t>
          </w:r>
        </w:p>
        <w:p w14:paraId="4FF144E8">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TOC \o "1-1" \h \u </w:instrText>
          </w:r>
          <w:r>
            <w:rPr>
              <w:color w:val="auto"/>
              <w:highlight w:val="none"/>
            </w:rPr>
            <w:fldChar w:fldCharType="separate"/>
          </w:r>
          <w:r>
            <w:rPr>
              <w:color w:val="auto"/>
              <w:highlight w:val="none"/>
            </w:rPr>
            <w:fldChar w:fldCharType="begin"/>
          </w:r>
          <w:r>
            <w:rPr>
              <w:color w:val="auto"/>
              <w:highlight w:val="none"/>
            </w:rPr>
            <w:instrText xml:space="preserve"> HYPERLINK \l _Toc14505 </w:instrText>
          </w:r>
          <w:r>
            <w:rPr>
              <w:color w:val="auto"/>
              <w:highlight w:val="none"/>
            </w:rPr>
            <w:fldChar w:fldCharType="separate"/>
          </w:r>
          <w:r>
            <w:rPr>
              <w:rFonts w:hint="eastAsia"/>
              <w:color w:val="auto"/>
              <w:highlight w:val="none"/>
            </w:rPr>
            <w:t>一、建设项目基本情况</w:t>
          </w:r>
          <w:r>
            <w:rPr>
              <w:color w:val="auto"/>
              <w:highlight w:val="none"/>
            </w:rPr>
            <w:tab/>
          </w:r>
          <w:r>
            <w:rPr>
              <w:color w:val="auto"/>
              <w:highlight w:val="none"/>
            </w:rPr>
            <w:fldChar w:fldCharType="begin"/>
          </w:r>
          <w:r>
            <w:rPr>
              <w:color w:val="auto"/>
              <w:highlight w:val="none"/>
            </w:rPr>
            <w:instrText xml:space="preserve"> PAGEREF _Toc14505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41C2645C">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_Toc7749 </w:instrText>
          </w:r>
          <w:r>
            <w:rPr>
              <w:color w:val="auto"/>
              <w:highlight w:val="none"/>
            </w:rPr>
            <w:fldChar w:fldCharType="separate"/>
          </w:r>
          <w:r>
            <w:rPr>
              <w:rFonts w:hint="eastAsia"/>
              <w:color w:val="auto"/>
              <w:highlight w:val="none"/>
            </w:rPr>
            <w:t>二、建设项目工程分析</w:t>
          </w:r>
          <w:r>
            <w:rPr>
              <w:color w:val="auto"/>
              <w:highlight w:val="none"/>
            </w:rPr>
            <w:tab/>
          </w:r>
          <w:r>
            <w:rPr>
              <w:color w:val="auto"/>
              <w:highlight w:val="none"/>
            </w:rPr>
            <w:fldChar w:fldCharType="begin"/>
          </w:r>
          <w:r>
            <w:rPr>
              <w:color w:val="auto"/>
              <w:highlight w:val="none"/>
            </w:rPr>
            <w:instrText xml:space="preserve"> PAGEREF _Toc7749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2281CFB0">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_Toc21414 </w:instrText>
          </w:r>
          <w:r>
            <w:rPr>
              <w:color w:val="auto"/>
              <w:highlight w:val="none"/>
            </w:rPr>
            <w:fldChar w:fldCharType="separate"/>
          </w:r>
          <w:r>
            <w:rPr>
              <w:rFonts w:hint="eastAsia"/>
              <w:color w:val="auto"/>
              <w:highlight w:val="none"/>
            </w:rPr>
            <w:t>三、区域环境质量现状、环境保护目标及评价标准</w:t>
          </w:r>
          <w:r>
            <w:rPr>
              <w:color w:val="auto"/>
              <w:highlight w:val="none"/>
            </w:rPr>
            <w:tab/>
          </w:r>
          <w:r>
            <w:rPr>
              <w:color w:val="auto"/>
              <w:highlight w:val="none"/>
            </w:rPr>
            <w:fldChar w:fldCharType="begin"/>
          </w:r>
          <w:r>
            <w:rPr>
              <w:color w:val="auto"/>
              <w:highlight w:val="none"/>
            </w:rPr>
            <w:instrText xml:space="preserve"> PAGEREF _Toc21414 \h </w:instrText>
          </w:r>
          <w:r>
            <w:rPr>
              <w:color w:val="auto"/>
              <w:highlight w:val="none"/>
            </w:rPr>
            <w:fldChar w:fldCharType="separate"/>
          </w:r>
          <w:r>
            <w:rPr>
              <w:color w:val="auto"/>
              <w:highlight w:val="none"/>
            </w:rPr>
            <w:t>68</w:t>
          </w:r>
          <w:r>
            <w:rPr>
              <w:color w:val="auto"/>
              <w:highlight w:val="none"/>
            </w:rPr>
            <w:fldChar w:fldCharType="end"/>
          </w:r>
          <w:r>
            <w:rPr>
              <w:color w:val="auto"/>
              <w:highlight w:val="none"/>
            </w:rPr>
            <w:fldChar w:fldCharType="end"/>
          </w:r>
        </w:p>
        <w:p w14:paraId="24422286">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_Toc2647 </w:instrText>
          </w:r>
          <w:r>
            <w:rPr>
              <w:color w:val="auto"/>
              <w:highlight w:val="none"/>
            </w:rPr>
            <w:fldChar w:fldCharType="separate"/>
          </w:r>
          <w:r>
            <w:rPr>
              <w:rFonts w:hint="eastAsia"/>
              <w:color w:val="auto"/>
              <w:highlight w:val="none"/>
            </w:rPr>
            <w:t>四、主要环境影响和保护措施</w:t>
          </w:r>
          <w:r>
            <w:rPr>
              <w:color w:val="auto"/>
              <w:highlight w:val="none"/>
            </w:rPr>
            <w:tab/>
          </w:r>
          <w:r>
            <w:rPr>
              <w:color w:val="auto"/>
              <w:highlight w:val="none"/>
            </w:rPr>
            <w:fldChar w:fldCharType="begin"/>
          </w:r>
          <w:r>
            <w:rPr>
              <w:color w:val="auto"/>
              <w:highlight w:val="none"/>
            </w:rPr>
            <w:instrText xml:space="preserve"> PAGEREF _Toc2647 \h </w:instrText>
          </w:r>
          <w:r>
            <w:rPr>
              <w:color w:val="auto"/>
              <w:highlight w:val="none"/>
            </w:rPr>
            <w:fldChar w:fldCharType="separate"/>
          </w:r>
          <w:r>
            <w:rPr>
              <w:color w:val="auto"/>
              <w:highlight w:val="none"/>
            </w:rPr>
            <w:t>78</w:t>
          </w:r>
          <w:r>
            <w:rPr>
              <w:color w:val="auto"/>
              <w:highlight w:val="none"/>
            </w:rPr>
            <w:fldChar w:fldCharType="end"/>
          </w:r>
          <w:r>
            <w:rPr>
              <w:color w:val="auto"/>
              <w:highlight w:val="none"/>
            </w:rPr>
            <w:fldChar w:fldCharType="end"/>
          </w:r>
        </w:p>
        <w:p w14:paraId="22FE0E54">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_Toc1397 </w:instrText>
          </w:r>
          <w:r>
            <w:rPr>
              <w:color w:val="auto"/>
              <w:highlight w:val="none"/>
            </w:rPr>
            <w:fldChar w:fldCharType="separate"/>
          </w:r>
          <w:r>
            <w:rPr>
              <w:rFonts w:hint="eastAsia"/>
              <w:color w:val="auto"/>
              <w:highlight w:val="none"/>
            </w:rPr>
            <w:t>五、环境保护措施监督检查清单</w:t>
          </w:r>
          <w:r>
            <w:rPr>
              <w:color w:val="auto"/>
              <w:highlight w:val="none"/>
            </w:rPr>
            <w:tab/>
          </w:r>
          <w:r>
            <w:rPr>
              <w:color w:val="auto"/>
              <w:highlight w:val="none"/>
            </w:rPr>
            <w:fldChar w:fldCharType="begin"/>
          </w:r>
          <w:r>
            <w:rPr>
              <w:color w:val="auto"/>
              <w:highlight w:val="none"/>
            </w:rPr>
            <w:instrText xml:space="preserve"> PAGEREF _Toc1397 \h </w:instrText>
          </w:r>
          <w:r>
            <w:rPr>
              <w:color w:val="auto"/>
              <w:highlight w:val="none"/>
            </w:rPr>
            <w:fldChar w:fldCharType="separate"/>
          </w:r>
          <w:r>
            <w:rPr>
              <w:color w:val="auto"/>
              <w:highlight w:val="none"/>
            </w:rPr>
            <w:t>106</w:t>
          </w:r>
          <w:r>
            <w:rPr>
              <w:color w:val="auto"/>
              <w:highlight w:val="none"/>
            </w:rPr>
            <w:fldChar w:fldCharType="end"/>
          </w:r>
          <w:r>
            <w:rPr>
              <w:color w:val="auto"/>
              <w:highlight w:val="none"/>
            </w:rPr>
            <w:fldChar w:fldCharType="end"/>
          </w:r>
        </w:p>
        <w:p w14:paraId="17D12C7F">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_Toc2937 </w:instrText>
          </w:r>
          <w:r>
            <w:rPr>
              <w:color w:val="auto"/>
              <w:highlight w:val="none"/>
            </w:rPr>
            <w:fldChar w:fldCharType="separate"/>
          </w:r>
          <w:r>
            <w:rPr>
              <w:rFonts w:hint="eastAsia"/>
              <w:color w:val="auto"/>
              <w:highlight w:val="none"/>
              <w:lang w:val="en-US" w:eastAsia="zh-CN"/>
            </w:rPr>
            <w:t>六、结论</w:t>
          </w:r>
          <w:r>
            <w:rPr>
              <w:color w:val="auto"/>
              <w:highlight w:val="none"/>
            </w:rPr>
            <w:tab/>
          </w:r>
          <w:r>
            <w:rPr>
              <w:color w:val="auto"/>
              <w:highlight w:val="none"/>
            </w:rPr>
            <w:fldChar w:fldCharType="begin"/>
          </w:r>
          <w:r>
            <w:rPr>
              <w:color w:val="auto"/>
              <w:highlight w:val="none"/>
            </w:rPr>
            <w:instrText xml:space="preserve"> PAGEREF _Toc2937 \h </w:instrText>
          </w:r>
          <w:r>
            <w:rPr>
              <w:color w:val="auto"/>
              <w:highlight w:val="none"/>
            </w:rPr>
            <w:fldChar w:fldCharType="separate"/>
          </w:r>
          <w:r>
            <w:rPr>
              <w:color w:val="auto"/>
              <w:highlight w:val="none"/>
            </w:rPr>
            <w:t>113</w:t>
          </w:r>
          <w:r>
            <w:rPr>
              <w:color w:val="auto"/>
              <w:highlight w:val="none"/>
            </w:rPr>
            <w:fldChar w:fldCharType="end"/>
          </w:r>
          <w:r>
            <w:rPr>
              <w:color w:val="auto"/>
              <w:highlight w:val="none"/>
            </w:rPr>
            <w:fldChar w:fldCharType="end"/>
          </w:r>
        </w:p>
        <w:p w14:paraId="193BFC1E">
          <w:pPr>
            <w:pStyle w:val="22"/>
            <w:tabs>
              <w:tab w:val="right" w:leader="dot" w:pos="9242"/>
              <w:tab w:val="clear" w:pos="8296"/>
            </w:tabs>
            <w:rPr>
              <w:color w:val="auto"/>
              <w:highlight w:val="none"/>
            </w:rPr>
          </w:pPr>
          <w:r>
            <w:rPr>
              <w:color w:val="auto"/>
              <w:highlight w:val="none"/>
            </w:rPr>
            <w:fldChar w:fldCharType="begin"/>
          </w:r>
          <w:r>
            <w:rPr>
              <w:color w:val="auto"/>
              <w:highlight w:val="none"/>
            </w:rPr>
            <w:instrText xml:space="preserve"> HYPERLINK \l _Toc21634 </w:instrText>
          </w:r>
          <w:r>
            <w:rPr>
              <w:color w:val="auto"/>
              <w:highlight w:val="none"/>
            </w:rPr>
            <w:fldChar w:fldCharType="separate"/>
          </w:r>
          <w:r>
            <w:rPr>
              <w:rFonts w:hint="eastAsia"/>
              <w:color w:val="auto"/>
              <w:highlight w:val="none"/>
            </w:rPr>
            <w:t>附表</w:t>
          </w:r>
          <w:r>
            <w:rPr>
              <w:color w:val="auto"/>
              <w:highlight w:val="none"/>
            </w:rPr>
            <w:tab/>
          </w:r>
          <w:r>
            <w:rPr>
              <w:color w:val="auto"/>
              <w:highlight w:val="none"/>
            </w:rPr>
            <w:fldChar w:fldCharType="begin"/>
          </w:r>
          <w:r>
            <w:rPr>
              <w:color w:val="auto"/>
              <w:highlight w:val="none"/>
            </w:rPr>
            <w:instrText xml:space="preserve"> PAGEREF _Toc21634 \h </w:instrText>
          </w:r>
          <w:r>
            <w:rPr>
              <w:color w:val="auto"/>
              <w:highlight w:val="none"/>
            </w:rPr>
            <w:fldChar w:fldCharType="separate"/>
          </w:r>
          <w:r>
            <w:rPr>
              <w:color w:val="auto"/>
              <w:highlight w:val="none"/>
            </w:rPr>
            <w:t>114</w:t>
          </w:r>
          <w:r>
            <w:rPr>
              <w:color w:val="auto"/>
              <w:highlight w:val="none"/>
            </w:rPr>
            <w:fldChar w:fldCharType="end"/>
          </w:r>
          <w:r>
            <w:rPr>
              <w:color w:val="auto"/>
              <w:highlight w:val="none"/>
            </w:rPr>
            <w:fldChar w:fldCharType="end"/>
          </w:r>
        </w:p>
        <w:p w14:paraId="09C828A7">
          <w:pPr>
            <w:rPr>
              <w:color w:val="auto"/>
              <w:highlight w:val="none"/>
            </w:rPr>
          </w:pPr>
          <w:r>
            <w:rPr>
              <w:color w:val="auto"/>
              <w:highlight w:val="none"/>
            </w:rPr>
            <w:fldChar w:fldCharType="end"/>
          </w:r>
        </w:p>
      </w:sdtContent>
    </w:sdt>
    <w:p w14:paraId="1114DD44">
      <w:pPr>
        <w:bidi w:val="0"/>
        <w:rPr>
          <w:rFonts w:hint="default"/>
          <w:color w:val="auto"/>
          <w:highlight w:val="none"/>
          <w:lang w:val="en-US" w:eastAsia="zh-CN"/>
        </w:rPr>
      </w:pPr>
    </w:p>
    <w:p w14:paraId="51C463AF">
      <w:pPr>
        <w:bidi w:val="0"/>
        <w:rPr>
          <w:rFonts w:hint="default"/>
          <w:color w:val="auto"/>
          <w:highlight w:val="none"/>
          <w:lang w:val="en-US" w:eastAsia="zh-CN"/>
        </w:rPr>
      </w:pPr>
    </w:p>
    <w:p w14:paraId="329F7C17">
      <w:pPr>
        <w:rPr>
          <w:rFonts w:hint="eastAsia"/>
          <w:color w:val="auto"/>
          <w:highlight w:val="none"/>
        </w:rPr>
      </w:pPr>
      <w:bookmarkStart w:id="1" w:name="_Toc14505"/>
      <w:r>
        <w:rPr>
          <w:rFonts w:hint="eastAsia"/>
          <w:color w:val="auto"/>
          <w:highlight w:val="none"/>
        </w:rPr>
        <w:br w:type="page"/>
      </w:r>
    </w:p>
    <w:p w14:paraId="77FBF9DE">
      <w:pPr>
        <w:rPr>
          <w:rFonts w:hint="eastAsia"/>
          <w:color w:val="auto"/>
          <w:highlight w:val="none"/>
        </w:rPr>
      </w:pPr>
      <w:r>
        <w:rPr>
          <w:rFonts w:hint="eastAsia"/>
          <w:color w:val="auto"/>
          <w:highlight w:val="none"/>
        </w:rPr>
        <w:br w:type="page"/>
      </w:r>
    </w:p>
    <w:p w14:paraId="362608D7">
      <w:pPr>
        <w:rPr>
          <w:rFonts w:hint="eastAsia"/>
          <w:color w:val="auto"/>
          <w:highlight w:val="none"/>
        </w:rPr>
        <w:sectPr>
          <w:footerReference r:id="rId8" w:type="default"/>
          <w:pgSz w:w="11906" w:h="16838"/>
          <w:pgMar w:top="1440" w:right="1247" w:bottom="1440" w:left="1417" w:header="851" w:footer="879" w:gutter="0"/>
          <w:pgBorders>
            <w:top w:val="none" w:sz="0" w:space="0"/>
            <w:left w:val="none" w:sz="0" w:space="0"/>
            <w:bottom w:val="none" w:sz="0" w:space="0"/>
            <w:right w:val="none" w:sz="0" w:space="0"/>
          </w:pgBorders>
          <w:pgNumType w:fmt="decimal" w:start="1"/>
          <w:cols w:space="425" w:num="1"/>
          <w:docGrid w:type="lines" w:linePitch="312" w:charSpace="0"/>
        </w:sectPr>
      </w:pPr>
    </w:p>
    <w:p w14:paraId="3EDB2623">
      <w:pPr>
        <w:pStyle w:val="2"/>
        <w:bidi w:val="0"/>
        <w:rPr>
          <w:rFonts w:hint="eastAsia"/>
          <w:color w:val="auto"/>
          <w:highlight w:val="none"/>
        </w:rPr>
      </w:pPr>
      <w:r>
        <w:rPr>
          <w:rFonts w:hint="eastAsia"/>
          <w:color w:val="auto"/>
          <w:highlight w:val="none"/>
        </w:rPr>
        <w:t>一、建设项目基本情况</w:t>
      </w:r>
      <w:bookmarkEnd w:id="1"/>
    </w:p>
    <w:tbl>
      <w:tblPr>
        <w:tblStyle w:val="29"/>
        <w:tblW w:w="907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57" w:type="dxa"/>
          <w:bottom w:w="0" w:type="dxa"/>
          <w:right w:w="57" w:type="dxa"/>
        </w:tblCellMar>
      </w:tblPr>
      <w:tblGrid>
        <w:gridCol w:w="1616"/>
        <w:gridCol w:w="1973"/>
        <w:gridCol w:w="2168"/>
        <w:gridCol w:w="3314"/>
      </w:tblGrid>
      <w:tr w14:paraId="559C8FB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520" w:hRule="atLeast"/>
          <w:jc w:val="center"/>
        </w:trPr>
        <w:tc>
          <w:tcPr>
            <w:tcW w:w="1616" w:type="dxa"/>
            <w:tcBorders>
              <w:tl2br w:val="nil"/>
              <w:tr2bl w:val="nil"/>
            </w:tcBorders>
            <w:noWrap w:val="0"/>
            <w:tcMar>
              <w:top w:w="16" w:type="dxa"/>
              <w:left w:w="16" w:type="dxa"/>
              <w:right w:w="16" w:type="dxa"/>
            </w:tcMar>
            <w:vAlign w:val="center"/>
          </w:tcPr>
          <w:p w14:paraId="68815AF8">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建设项目名称</w:t>
            </w:r>
          </w:p>
        </w:tc>
        <w:tc>
          <w:tcPr>
            <w:tcW w:w="7455" w:type="dxa"/>
            <w:gridSpan w:val="3"/>
            <w:tcBorders>
              <w:tl2br w:val="nil"/>
              <w:tr2bl w:val="nil"/>
            </w:tcBorders>
            <w:noWrap w:val="0"/>
            <w:vAlign w:val="center"/>
          </w:tcPr>
          <w:p w14:paraId="20F3F71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4"/>
                <w:szCs w:val="24"/>
                <w:highlight w:val="none"/>
                <w:lang w:val="en-US" w:eastAsia="zh-CN"/>
              </w:rPr>
            </w:pPr>
            <w:r>
              <w:rPr>
                <w:rFonts w:hint="eastAsia"/>
                <w:color w:val="auto"/>
                <w:sz w:val="24"/>
                <w:szCs w:val="24"/>
                <w:highlight w:val="none"/>
                <w:shd w:val="clear"/>
                <w:lang w:val="en-US" w:eastAsia="zh-CN"/>
              </w:rPr>
              <w:t>建筑垃圾堆砌地项目</w:t>
            </w:r>
          </w:p>
        </w:tc>
      </w:tr>
      <w:tr w14:paraId="6E1FC92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505" w:hRule="atLeast"/>
          <w:jc w:val="center"/>
        </w:trPr>
        <w:tc>
          <w:tcPr>
            <w:tcW w:w="1616" w:type="dxa"/>
            <w:tcBorders>
              <w:tl2br w:val="nil"/>
              <w:tr2bl w:val="nil"/>
            </w:tcBorders>
            <w:noWrap w:val="0"/>
            <w:tcMar>
              <w:top w:w="16" w:type="dxa"/>
              <w:left w:w="16" w:type="dxa"/>
              <w:right w:w="16" w:type="dxa"/>
            </w:tcMar>
            <w:vAlign w:val="center"/>
          </w:tcPr>
          <w:p w14:paraId="6088EEAC">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项目代码</w:t>
            </w:r>
          </w:p>
        </w:tc>
        <w:tc>
          <w:tcPr>
            <w:tcW w:w="7455" w:type="dxa"/>
            <w:gridSpan w:val="3"/>
            <w:tcBorders>
              <w:tl2br w:val="nil"/>
              <w:tr2bl w:val="nil"/>
            </w:tcBorders>
            <w:noWrap w:val="0"/>
            <w:vAlign w:val="center"/>
          </w:tcPr>
          <w:p w14:paraId="0688375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2607-130283-89-01-461205</w:t>
            </w:r>
          </w:p>
        </w:tc>
      </w:tr>
      <w:tr w14:paraId="72A2230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806" w:hRule="atLeast"/>
          <w:jc w:val="center"/>
        </w:trPr>
        <w:tc>
          <w:tcPr>
            <w:tcW w:w="1616" w:type="dxa"/>
            <w:tcBorders>
              <w:tl2br w:val="nil"/>
              <w:tr2bl w:val="nil"/>
            </w:tcBorders>
            <w:noWrap w:val="0"/>
            <w:tcMar>
              <w:top w:w="16" w:type="dxa"/>
              <w:left w:w="16" w:type="dxa"/>
              <w:right w:w="16" w:type="dxa"/>
            </w:tcMar>
            <w:vAlign w:val="center"/>
          </w:tcPr>
          <w:p w14:paraId="3F8FB84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建设单位联系人</w:t>
            </w:r>
          </w:p>
        </w:tc>
        <w:tc>
          <w:tcPr>
            <w:tcW w:w="1973" w:type="dxa"/>
            <w:tcBorders>
              <w:tl2br w:val="nil"/>
              <w:tr2bl w:val="nil"/>
            </w:tcBorders>
            <w:noWrap w:val="0"/>
            <w:vAlign w:val="center"/>
          </w:tcPr>
          <w:p w14:paraId="679DA0A9">
            <w:pPr>
              <w:pStyle w:val="35"/>
              <w:pageBreakBefore w:val="0"/>
              <w:kinsoku/>
              <w:overflowPunct/>
              <w:topLinePunct w:val="0"/>
              <w:bidi w:val="0"/>
              <w:spacing w:before="0" w:after="0"/>
              <w:textAlignment w:val="auto"/>
              <w:rPr>
                <w:rFonts w:hint="default" w:eastAsia="宋体"/>
                <w:color w:val="auto"/>
                <w:sz w:val="24"/>
                <w:szCs w:val="24"/>
                <w:highlight w:val="none"/>
                <w:lang w:val="en-US" w:eastAsia="zh-CN"/>
              </w:rPr>
            </w:pPr>
            <w:r>
              <w:rPr>
                <w:rFonts w:hint="eastAsia" w:cs="Times New Roman"/>
                <w:color w:val="auto"/>
                <w:sz w:val="24"/>
                <w:szCs w:val="24"/>
                <w:highlight w:val="none"/>
                <w:lang w:val="en-US" w:eastAsia="zh-CN"/>
              </w:rPr>
              <w:t>张伟</w:t>
            </w:r>
          </w:p>
        </w:tc>
        <w:tc>
          <w:tcPr>
            <w:tcW w:w="2168" w:type="dxa"/>
            <w:tcBorders>
              <w:tl2br w:val="nil"/>
              <w:tr2bl w:val="nil"/>
            </w:tcBorders>
            <w:noWrap w:val="0"/>
            <w:vAlign w:val="center"/>
          </w:tcPr>
          <w:p w14:paraId="25909691">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联系方式</w:t>
            </w:r>
          </w:p>
        </w:tc>
        <w:tc>
          <w:tcPr>
            <w:tcW w:w="3314" w:type="dxa"/>
            <w:tcBorders>
              <w:tl2br w:val="nil"/>
              <w:tr2bl w:val="nil"/>
            </w:tcBorders>
            <w:noWrap w:val="0"/>
            <w:vAlign w:val="center"/>
          </w:tcPr>
          <w:p w14:paraId="7BE0C3FF">
            <w:pPr>
              <w:pStyle w:val="35"/>
              <w:pageBreakBefore w:val="0"/>
              <w:kinsoku/>
              <w:overflowPunct/>
              <w:topLinePunct w:val="0"/>
              <w:bidi w:val="0"/>
              <w:spacing w:before="0" w:after="0"/>
              <w:textAlignment w:val="auto"/>
              <w:rPr>
                <w:rFonts w:hint="default" w:eastAsia="宋体"/>
                <w:color w:val="auto"/>
                <w:sz w:val="24"/>
                <w:szCs w:val="24"/>
                <w:highlight w:val="none"/>
                <w:lang w:val="en-US" w:eastAsia="zh-CN"/>
              </w:rPr>
            </w:pPr>
          </w:p>
        </w:tc>
      </w:tr>
      <w:tr w14:paraId="0D31E07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475" w:hRule="atLeast"/>
          <w:jc w:val="center"/>
        </w:trPr>
        <w:tc>
          <w:tcPr>
            <w:tcW w:w="1616" w:type="dxa"/>
            <w:tcBorders>
              <w:tl2br w:val="nil"/>
              <w:tr2bl w:val="nil"/>
            </w:tcBorders>
            <w:noWrap w:val="0"/>
            <w:tcMar>
              <w:top w:w="16" w:type="dxa"/>
              <w:left w:w="16" w:type="dxa"/>
              <w:right w:w="16" w:type="dxa"/>
            </w:tcMar>
            <w:vAlign w:val="center"/>
          </w:tcPr>
          <w:p w14:paraId="5FD787CC">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建设地点</w:t>
            </w:r>
          </w:p>
        </w:tc>
        <w:tc>
          <w:tcPr>
            <w:tcW w:w="7455" w:type="dxa"/>
            <w:gridSpan w:val="3"/>
            <w:tcBorders>
              <w:tl2br w:val="nil"/>
              <w:tr2bl w:val="nil"/>
            </w:tcBorders>
            <w:noWrap w:val="0"/>
            <w:vAlign w:val="center"/>
          </w:tcPr>
          <w:p w14:paraId="2C18D9B6">
            <w:pPr>
              <w:pStyle w:val="35"/>
              <w:pageBreakBefore w:val="0"/>
              <w:kinsoku/>
              <w:overflowPunct/>
              <w:topLinePunct w:val="0"/>
              <w:bidi w:val="0"/>
              <w:spacing w:before="0" w:after="0"/>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迁安市夏官营镇罗庄子村西南</w:t>
            </w:r>
          </w:p>
        </w:tc>
      </w:tr>
      <w:tr w14:paraId="1C2F210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490" w:hRule="atLeast"/>
          <w:jc w:val="center"/>
        </w:trPr>
        <w:tc>
          <w:tcPr>
            <w:tcW w:w="1616" w:type="dxa"/>
            <w:tcBorders>
              <w:tl2br w:val="nil"/>
              <w:tr2bl w:val="nil"/>
            </w:tcBorders>
            <w:noWrap w:val="0"/>
            <w:tcMar>
              <w:top w:w="16" w:type="dxa"/>
              <w:left w:w="16" w:type="dxa"/>
              <w:right w:w="16" w:type="dxa"/>
            </w:tcMar>
            <w:vAlign w:val="center"/>
          </w:tcPr>
          <w:p w14:paraId="7A6263A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7455" w:type="dxa"/>
            <w:gridSpan w:val="3"/>
            <w:tcBorders>
              <w:tl2br w:val="nil"/>
              <w:tr2bl w:val="nil"/>
            </w:tcBorders>
            <w:noWrap w:val="0"/>
            <w:vAlign w:val="center"/>
          </w:tcPr>
          <w:p w14:paraId="174B357F">
            <w:pPr>
              <w:pStyle w:val="35"/>
              <w:pageBreakBefore w:val="0"/>
              <w:kinsoku/>
              <w:overflowPunct/>
              <w:topLinePunct w:val="0"/>
              <w:bidi w:val="0"/>
              <w:spacing w:before="0" w:after="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东经：11</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47</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26.03</w:t>
            </w:r>
            <w:r>
              <w:rPr>
                <w:rFonts w:hint="default" w:ascii="Times New Roman" w:hAnsi="Times New Roman" w:cs="Times New Roman"/>
                <w:color w:val="auto"/>
                <w:sz w:val="24"/>
                <w:szCs w:val="24"/>
                <w:highlight w:val="none"/>
                <w:lang w:val="en-US" w:eastAsia="zh-CN"/>
              </w:rPr>
              <w:t>2"；北纬：39°</w:t>
            </w:r>
            <w:r>
              <w:rPr>
                <w:rFonts w:hint="eastAsia" w:cs="Times New Roman"/>
                <w:color w:val="auto"/>
                <w:sz w:val="24"/>
                <w:szCs w:val="24"/>
                <w:highlight w:val="none"/>
                <w:lang w:val="en-US" w:eastAsia="zh-CN"/>
              </w:rPr>
              <w:t>56</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44.491</w:t>
            </w:r>
            <w:r>
              <w:rPr>
                <w:rFonts w:hint="default" w:ascii="Times New Roman" w:hAnsi="Times New Roman" w:cs="Times New Roman"/>
                <w:color w:val="auto"/>
                <w:sz w:val="24"/>
                <w:szCs w:val="24"/>
                <w:highlight w:val="none"/>
                <w:lang w:val="en-US" w:eastAsia="zh-CN"/>
              </w:rPr>
              <w:t>"</w:t>
            </w:r>
          </w:p>
        </w:tc>
      </w:tr>
      <w:tr w14:paraId="32F6351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1499" w:hRule="atLeast"/>
          <w:jc w:val="center"/>
        </w:trPr>
        <w:tc>
          <w:tcPr>
            <w:tcW w:w="1616" w:type="dxa"/>
            <w:tcBorders>
              <w:tl2br w:val="nil"/>
              <w:tr2bl w:val="nil"/>
            </w:tcBorders>
            <w:noWrap w:val="0"/>
            <w:tcMar>
              <w:top w:w="16" w:type="dxa"/>
              <w:left w:w="16" w:type="dxa"/>
              <w:right w:w="16" w:type="dxa"/>
            </w:tcMar>
            <w:vAlign w:val="center"/>
          </w:tcPr>
          <w:p w14:paraId="767D107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国民经济</w:t>
            </w:r>
          </w:p>
          <w:p w14:paraId="687D05E6">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行业类别</w:t>
            </w:r>
          </w:p>
        </w:tc>
        <w:tc>
          <w:tcPr>
            <w:tcW w:w="1973" w:type="dxa"/>
            <w:tcBorders>
              <w:tl2br w:val="nil"/>
              <w:tr2bl w:val="nil"/>
            </w:tcBorders>
            <w:noWrap w:val="0"/>
            <w:vAlign w:val="center"/>
          </w:tcPr>
          <w:p w14:paraId="7E8C59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eastAsia"/>
                <w:color w:val="auto"/>
                <w:highlight w:val="none"/>
                <w:lang w:val="en-US" w:eastAsia="zh-CN"/>
              </w:rPr>
              <w:t>N7723固体废物治理</w:t>
            </w:r>
          </w:p>
        </w:tc>
        <w:tc>
          <w:tcPr>
            <w:tcW w:w="2168" w:type="dxa"/>
            <w:tcBorders>
              <w:tl2br w:val="nil"/>
              <w:tr2bl w:val="nil"/>
            </w:tcBorders>
            <w:noWrap w:val="0"/>
            <w:vAlign w:val="center"/>
          </w:tcPr>
          <w:p w14:paraId="554B25C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sz w:val="24"/>
                <w:szCs w:val="24"/>
                <w:highlight w:val="none"/>
              </w:rPr>
            </w:pPr>
            <w:bookmarkStart w:id="2" w:name="_Hlk49843745"/>
            <w:r>
              <w:rPr>
                <w:rFonts w:hint="default" w:ascii="Times New Roman" w:hAnsi="Times New Roman" w:cs="Times New Roman"/>
                <w:color w:val="auto"/>
                <w:sz w:val="24"/>
                <w:szCs w:val="24"/>
                <w:highlight w:val="none"/>
              </w:rPr>
              <w:t>建设项目</w:t>
            </w:r>
          </w:p>
          <w:p w14:paraId="2E2C053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bookmarkEnd w:id="2"/>
          </w:p>
        </w:tc>
        <w:tc>
          <w:tcPr>
            <w:tcW w:w="3314" w:type="dxa"/>
            <w:tcBorders>
              <w:tl2br w:val="nil"/>
              <w:tr2bl w:val="nil"/>
            </w:tcBorders>
            <w:noWrap w:val="0"/>
            <w:vAlign w:val="center"/>
          </w:tcPr>
          <w:p w14:paraId="71EB8C01">
            <w:pPr>
              <w:keepNext w:val="0"/>
              <w:keepLines w:val="0"/>
              <w:pageBreakBefore w:val="0"/>
              <w:widowControl w:val="0"/>
              <w:numPr>
                <w:ilvl w:val="0"/>
                <w:numId w:val="0"/>
              </w:numPr>
              <w:kinsoku/>
              <w:wordWrap/>
              <w:overflowPunct/>
              <w:topLinePunct w:val="0"/>
              <w:autoSpaceDE/>
              <w:autoSpaceDN/>
              <w:bidi w:val="0"/>
              <w:adjustRightInd/>
              <w:snapToGrid/>
              <w:spacing w:line="264" w:lineRule="auto"/>
              <w:jc w:val="both"/>
              <w:textAlignment w:val="auto"/>
              <w:rPr>
                <w:rFonts w:hint="default"/>
                <w:color w:val="auto"/>
                <w:highlight w:val="none"/>
                <w:lang w:val="en-US" w:eastAsia="zh-CN"/>
              </w:rPr>
            </w:pPr>
            <w:r>
              <w:rPr>
                <w:rFonts w:hint="eastAsia" w:cs="Times New Roman"/>
                <w:color w:val="auto"/>
                <w:highlight w:val="none"/>
                <w:lang w:val="en-US" w:eastAsia="zh-CN"/>
              </w:rPr>
              <w:t>四十七、生态保护和环境治理业-103.一般工业固体废物（含污水处理污泥）、建筑施工废弃物处置及综合利用-其他</w:t>
            </w:r>
          </w:p>
        </w:tc>
      </w:tr>
      <w:tr w14:paraId="34AFFB7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1538" w:hRule="atLeast"/>
          <w:jc w:val="center"/>
        </w:trPr>
        <w:tc>
          <w:tcPr>
            <w:tcW w:w="1616" w:type="dxa"/>
            <w:tcBorders>
              <w:tl2br w:val="nil"/>
              <w:tr2bl w:val="nil"/>
            </w:tcBorders>
            <w:noWrap w:val="0"/>
            <w:tcMar>
              <w:top w:w="16" w:type="dxa"/>
              <w:left w:w="16" w:type="dxa"/>
              <w:right w:w="16" w:type="dxa"/>
            </w:tcMar>
            <w:vAlign w:val="center"/>
          </w:tcPr>
          <w:p w14:paraId="29853AD1">
            <w:pPr>
              <w:pStyle w:val="35"/>
              <w:keepNext w:val="0"/>
              <w:keepLines w:val="0"/>
              <w:pageBreakBefore w:val="0"/>
              <w:widowControl w:val="0"/>
              <w:kinsoku/>
              <w:wordWrap/>
              <w:overflowPunct/>
              <w:topLinePunct w:val="0"/>
              <w:autoSpaceDE/>
              <w:autoSpaceDN/>
              <w:bidi w:val="0"/>
              <w:adjustRightInd/>
              <w:snapToGrid/>
              <w:spacing w:before="0" w:after="0"/>
              <w:textAlignment w:val="auto"/>
              <w:rPr>
                <w:b w:val="0"/>
                <w:bCs w:val="0"/>
                <w:color w:val="auto"/>
                <w:sz w:val="24"/>
                <w:szCs w:val="24"/>
                <w:highlight w:val="none"/>
              </w:rPr>
            </w:pPr>
            <w:r>
              <w:rPr>
                <w:rFonts w:hint="eastAsia"/>
                <w:b w:val="0"/>
                <w:bCs w:val="0"/>
                <w:color w:val="auto"/>
                <w:sz w:val="24"/>
                <w:szCs w:val="24"/>
                <w:highlight w:val="none"/>
              </w:rPr>
              <w:t>建设性质</w:t>
            </w:r>
          </w:p>
        </w:tc>
        <w:tc>
          <w:tcPr>
            <w:tcW w:w="1973" w:type="dxa"/>
            <w:tcBorders>
              <w:tl2br w:val="nil"/>
              <w:tr2bl w:val="nil"/>
            </w:tcBorders>
            <w:noWrap w:val="0"/>
            <w:vAlign w:val="center"/>
          </w:tcPr>
          <w:p w14:paraId="176487AE">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default" w:ascii="Times New Roman" w:hAnsi="Times New Roman" w:cs="Times New Roman"/>
                <w:b w:val="0"/>
                <w:bCs w:val="0"/>
                <w:color w:val="auto"/>
                <w:sz w:val="24"/>
                <w:szCs w:val="24"/>
                <w:highlight w:val="none"/>
              </w:rPr>
              <w:sym w:font="Wingdings" w:char="00FE"/>
            </w:r>
            <w:r>
              <w:rPr>
                <w:rFonts w:hint="eastAsia"/>
                <w:b w:val="0"/>
                <w:bCs w:val="0"/>
                <w:color w:val="auto"/>
                <w:sz w:val="24"/>
                <w:szCs w:val="24"/>
                <w:highlight w:val="none"/>
              </w:rPr>
              <w:t>新建（迁建）</w:t>
            </w:r>
          </w:p>
          <w:p w14:paraId="5DD9C499">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rFonts w:hint="eastAsia"/>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改建</w:t>
            </w:r>
          </w:p>
          <w:p w14:paraId="6615CA9E">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rFonts w:hint="eastAsia"/>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扩建</w:t>
            </w:r>
          </w:p>
          <w:p w14:paraId="227C2046">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技术改造</w:t>
            </w:r>
          </w:p>
        </w:tc>
        <w:tc>
          <w:tcPr>
            <w:tcW w:w="2168" w:type="dxa"/>
            <w:tcBorders>
              <w:tl2br w:val="nil"/>
              <w:tr2bl w:val="nil"/>
            </w:tcBorders>
            <w:noWrap w:val="0"/>
            <w:vAlign w:val="center"/>
          </w:tcPr>
          <w:p w14:paraId="612B669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b w:val="0"/>
                <w:bCs w:val="0"/>
                <w:color w:val="auto"/>
                <w:sz w:val="24"/>
                <w:szCs w:val="24"/>
                <w:highlight w:val="none"/>
              </w:rPr>
            </w:pPr>
            <w:r>
              <w:rPr>
                <w:rFonts w:hint="eastAsia"/>
                <w:b w:val="0"/>
                <w:bCs w:val="0"/>
                <w:color w:val="auto"/>
                <w:sz w:val="24"/>
                <w:szCs w:val="24"/>
                <w:highlight w:val="none"/>
              </w:rPr>
              <w:t>建设项目</w:t>
            </w:r>
          </w:p>
          <w:p w14:paraId="2CBC86BF">
            <w:pPr>
              <w:pStyle w:val="35"/>
              <w:keepNext w:val="0"/>
              <w:keepLines w:val="0"/>
              <w:pageBreakBefore w:val="0"/>
              <w:widowControl w:val="0"/>
              <w:kinsoku/>
              <w:wordWrap/>
              <w:overflowPunct/>
              <w:topLinePunct w:val="0"/>
              <w:autoSpaceDE/>
              <w:autoSpaceDN/>
              <w:bidi w:val="0"/>
              <w:adjustRightInd/>
              <w:snapToGrid/>
              <w:spacing w:before="0" w:after="0"/>
              <w:textAlignment w:val="auto"/>
              <w:rPr>
                <w:b w:val="0"/>
                <w:bCs w:val="0"/>
                <w:color w:val="auto"/>
                <w:sz w:val="24"/>
                <w:szCs w:val="24"/>
                <w:highlight w:val="none"/>
              </w:rPr>
            </w:pPr>
            <w:r>
              <w:rPr>
                <w:rFonts w:hint="eastAsia"/>
                <w:b w:val="0"/>
                <w:bCs w:val="0"/>
                <w:color w:val="auto"/>
                <w:sz w:val="24"/>
                <w:szCs w:val="24"/>
                <w:highlight w:val="none"/>
              </w:rPr>
              <w:t>申报情形</w:t>
            </w:r>
          </w:p>
        </w:tc>
        <w:tc>
          <w:tcPr>
            <w:tcW w:w="3314" w:type="dxa"/>
            <w:tcBorders>
              <w:tl2br w:val="nil"/>
              <w:tr2bl w:val="nil"/>
            </w:tcBorders>
            <w:noWrap w:val="0"/>
            <w:vAlign w:val="center"/>
          </w:tcPr>
          <w:p w14:paraId="457B1C01">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FE"/>
            </w:r>
            <w:r>
              <w:rPr>
                <w:rFonts w:hint="eastAsia"/>
                <w:b w:val="0"/>
                <w:bCs w:val="0"/>
                <w:color w:val="auto"/>
                <w:sz w:val="24"/>
                <w:szCs w:val="24"/>
                <w:highlight w:val="none"/>
              </w:rPr>
              <w:t>首次申报项目</w:t>
            </w:r>
            <w:r>
              <w:rPr>
                <w:b w:val="0"/>
                <w:bCs w:val="0"/>
                <w:color w:val="auto"/>
                <w:sz w:val="24"/>
                <w:szCs w:val="24"/>
                <w:highlight w:val="none"/>
              </w:rPr>
              <w:t xml:space="preserve">             </w:t>
            </w:r>
          </w:p>
          <w:p w14:paraId="2FBE7933">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不予批准后再次申报项目</w:t>
            </w:r>
          </w:p>
          <w:p w14:paraId="4E9D7F64">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超五年重新审核项目</w:t>
            </w:r>
            <w:r>
              <w:rPr>
                <w:b w:val="0"/>
                <w:bCs w:val="0"/>
                <w:color w:val="auto"/>
                <w:sz w:val="24"/>
                <w:szCs w:val="24"/>
                <w:highlight w:val="none"/>
              </w:rPr>
              <w:t xml:space="preserve">     </w:t>
            </w:r>
          </w:p>
          <w:p w14:paraId="61C08104">
            <w:pPr>
              <w:pStyle w:val="35"/>
              <w:keepNext w:val="0"/>
              <w:keepLines w:val="0"/>
              <w:pageBreakBefore w:val="0"/>
              <w:widowControl w:val="0"/>
              <w:kinsoku/>
              <w:wordWrap/>
              <w:overflowPunct/>
              <w:topLinePunct w:val="0"/>
              <w:autoSpaceDE/>
              <w:autoSpaceDN/>
              <w:bidi w:val="0"/>
              <w:adjustRightInd/>
              <w:snapToGrid w:val="0"/>
              <w:spacing w:before="0" w:after="0" w:line="264" w:lineRule="auto"/>
              <w:jc w:val="left"/>
              <w:textAlignment w:val="auto"/>
              <w:rPr>
                <w:b w:val="0"/>
                <w:bCs w:val="0"/>
                <w:color w:val="auto"/>
                <w:sz w:val="24"/>
                <w:szCs w:val="24"/>
                <w:highlight w:val="none"/>
              </w:rPr>
            </w:pPr>
            <w:r>
              <w:rPr>
                <w:rFonts w:hint="eastAsia"/>
                <w:b w:val="0"/>
                <w:bCs w:val="0"/>
                <w:color w:val="auto"/>
                <w:sz w:val="24"/>
                <w:szCs w:val="24"/>
                <w:highlight w:val="none"/>
              </w:rPr>
              <w:sym w:font="Wingdings" w:char="00A8"/>
            </w:r>
            <w:r>
              <w:rPr>
                <w:rFonts w:hint="eastAsia"/>
                <w:b w:val="0"/>
                <w:bCs w:val="0"/>
                <w:color w:val="auto"/>
                <w:sz w:val="24"/>
                <w:szCs w:val="24"/>
                <w:highlight w:val="none"/>
              </w:rPr>
              <w:t>重大变动重新报批项目</w:t>
            </w:r>
          </w:p>
        </w:tc>
      </w:tr>
      <w:tr w14:paraId="498433E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1060" w:hRule="atLeast"/>
          <w:jc w:val="center"/>
        </w:trPr>
        <w:tc>
          <w:tcPr>
            <w:tcW w:w="1616" w:type="dxa"/>
            <w:tcBorders>
              <w:tl2br w:val="nil"/>
              <w:tr2bl w:val="nil"/>
            </w:tcBorders>
            <w:noWrap w:val="0"/>
            <w:tcMar>
              <w:top w:w="16" w:type="dxa"/>
              <w:left w:w="16" w:type="dxa"/>
              <w:right w:w="16" w:type="dxa"/>
            </w:tcMar>
            <w:vAlign w:val="center"/>
          </w:tcPr>
          <w:p w14:paraId="311A628F">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项目审批（核准</w:t>
            </w:r>
            <w:r>
              <w:rPr>
                <w:color w:val="auto"/>
                <w:sz w:val="24"/>
                <w:szCs w:val="24"/>
                <w:highlight w:val="none"/>
              </w:rPr>
              <w:t>/</w:t>
            </w:r>
            <w:r>
              <w:rPr>
                <w:rFonts w:hint="eastAsia"/>
                <w:color w:val="auto"/>
                <w:sz w:val="24"/>
                <w:szCs w:val="24"/>
                <w:highlight w:val="none"/>
              </w:rPr>
              <w:t>备案）部门（选填）</w:t>
            </w:r>
          </w:p>
        </w:tc>
        <w:tc>
          <w:tcPr>
            <w:tcW w:w="1973" w:type="dxa"/>
            <w:tcBorders>
              <w:tl2br w:val="nil"/>
              <w:tr2bl w:val="nil"/>
            </w:tcBorders>
            <w:noWrap w:val="0"/>
            <w:vAlign w:val="center"/>
          </w:tcPr>
          <w:p w14:paraId="3219D5CD">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迁安市行政审批局</w:t>
            </w:r>
          </w:p>
        </w:tc>
        <w:tc>
          <w:tcPr>
            <w:tcW w:w="2168" w:type="dxa"/>
            <w:tcBorders>
              <w:tl2br w:val="nil"/>
              <w:tr2bl w:val="nil"/>
            </w:tcBorders>
            <w:noWrap w:val="0"/>
            <w:vAlign w:val="center"/>
          </w:tcPr>
          <w:p w14:paraId="2283357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项目审批（核准</w:t>
            </w:r>
            <w:r>
              <w:rPr>
                <w:color w:val="auto"/>
                <w:sz w:val="24"/>
                <w:szCs w:val="24"/>
                <w:highlight w:val="none"/>
              </w:rPr>
              <w:t>/</w:t>
            </w:r>
          </w:p>
          <w:p w14:paraId="6C65337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备案）文号（选填）</w:t>
            </w:r>
          </w:p>
        </w:tc>
        <w:tc>
          <w:tcPr>
            <w:tcW w:w="3314" w:type="dxa"/>
            <w:tcBorders>
              <w:tl2br w:val="nil"/>
              <w:tr2bl w:val="nil"/>
            </w:tcBorders>
            <w:noWrap w:val="0"/>
            <w:vAlign w:val="center"/>
          </w:tcPr>
          <w:p w14:paraId="3AA6C4EF">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迁行审投资备字[2026]209号</w:t>
            </w:r>
          </w:p>
        </w:tc>
      </w:tr>
      <w:tr w14:paraId="2699D0D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1616" w:type="dxa"/>
            <w:tcBorders>
              <w:tl2br w:val="nil"/>
              <w:tr2bl w:val="nil"/>
            </w:tcBorders>
            <w:noWrap w:val="0"/>
            <w:tcMar>
              <w:top w:w="16" w:type="dxa"/>
              <w:left w:w="16" w:type="dxa"/>
              <w:right w:w="16" w:type="dxa"/>
            </w:tcMar>
            <w:vAlign w:val="center"/>
          </w:tcPr>
          <w:p w14:paraId="547701C2">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总投资（万元）</w:t>
            </w:r>
          </w:p>
        </w:tc>
        <w:tc>
          <w:tcPr>
            <w:tcW w:w="1973" w:type="dxa"/>
            <w:tcBorders>
              <w:tl2br w:val="nil"/>
              <w:tr2bl w:val="nil"/>
            </w:tcBorders>
            <w:noWrap w:val="0"/>
            <w:vAlign w:val="center"/>
          </w:tcPr>
          <w:p w14:paraId="16E1BE4F">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100</w:t>
            </w:r>
          </w:p>
        </w:tc>
        <w:tc>
          <w:tcPr>
            <w:tcW w:w="2168" w:type="dxa"/>
            <w:tcBorders>
              <w:tl2br w:val="nil"/>
              <w:tr2bl w:val="nil"/>
            </w:tcBorders>
            <w:noWrap w:val="0"/>
            <w:tcMar>
              <w:top w:w="16" w:type="dxa"/>
              <w:left w:w="16" w:type="dxa"/>
              <w:right w:w="16" w:type="dxa"/>
            </w:tcMar>
            <w:vAlign w:val="center"/>
          </w:tcPr>
          <w:p w14:paraId="4EC67B51">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环保投资（万元）</w:t>
            </w:r>
          </w:p>
        </w:tc>
        <w:tc>
          <w:tcPr>
            <w:tcW w:w="3314" w:type="dxa"/>
            <w:tcBorders>
              <w:tl2br w:val="nil"/>
              <w:tr2bl w:val="nil"/>
            </w:tcBorders>
            <w:noWrap w:val="0"/>
            <w:vAlign w:val="center"/>
          </w:tcPr>
          <w:p w14:paraId="43F491D6">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10</w:t>
            </w:r>
          </w:p>
        </w:tc>
      </w:tr>
      <w:tr w14:paraId="2C5F5BA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744" w:hRule="atLeast"/>
          <w:jc w:val="center"/>
        </w:trPr>
        <w:tc>
          <w:tcPr>
            <w:tcW w:w="1616" w:type="dxa"/>
            <w:tcBorders>
              <w:tl2br w:val="nil"/>
              <w:tr2bl w:val="nil"/>
            </w:tcBorders>
            <w:noWrap w:val="0"/>
            <w:tcMar>
              <w:top w:w="16" w:type="dxa"/>
              <w:left w:w="16" w:type="dxa"/>
              <w:right w:w="16" w:type="dxa"/>
            </w:tcMar>
            <w:vAlign w:val="center"/>
          </w:tcPr>
          <w:p w14:paraId="61446287">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环保投资占比（</w:t>
            </w:r>
            <w:r>
              <w:rPr>
                <w:color w:val="auto"/>
                <w:sz w:val="24"/>
                <w:szCs w:val="24"/>
                <w:highlight w:val="none"/>
              </w:rPr>
              <w:t>%</w:t>
            </w:r>
            <w:r>
              <w:rPr>
                <w:rFonts w:hint="eastAsia"/>
                <w:color w:val="auto"/>
                <w:sz w:val="24"/>
                <w:szCs w:val="24"/>
                <w:highlight w:val="none"/>
              </w:rPr>
              <w:t>）</w:t>
            </w:r>
          </w:p>
        </w:tc>
        <w:tc>
          <w:tcPr>
            <w:tcW w:w="1973" w:type="dxa"/>
            <w:tcBorders>
              <w:tl2br w:val="nil"/>
              <w:tr2bl w:val="nil"/>
            </w:tcBorders>
            <w:noWrap w:val="0"/>
            <w:vAlign w:val="center"/>
          </w:tcPr>
          <w:p w14:paraId="63AA676B">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10</w:t>
            </w:r>
          </w:p>
        </w:tc>
        <w:tc>
          <w:tcPr>
            <w:tcW w:w="2168" w:type="dxa"/>
            <w:tcBorders>
              <w:tl2br w:val="nil"/>
              <w:tr2bl w:val="nil"/>
            </w:tcBorders>
            <w:noWrap w:val="0"/>
            <w:tcMar>
              <w:top w:w="16" w:type="dxa"/>
              <w:left w:w="16" w:type="dxa"/>
              <w:right w:w="16" w:type="dxa"/>
            </w:tcMar>
            <w:vAlign w:val="center"/>
          </w:tcPr>
          <w:p w14:paraId="39F1DE65">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施工工期</w:t>
            </w:r>
          </w:p>
        </w:tc>
        <w:tc>
          <w:tcPr>
            <w:tcW w:w="3314" w:type="dxa"/>
            <w:tcBorders>
              <w:tl2br w:val="nil"/>
              <w:tr2bl w:val="nil"/>
            </w:tcBorders>
            <w:noWrap w:val="0"/>
            <w:vAlign w:val="center"/>
          </w:tcPr>
          <w:p w14:paraId="15D644D2">
            <w:pPr>
              <w:pStyle w:val="35"/>
              <w:pageBreakBefore w:val="0"/>
              <w:kinsoku/>
              <w:overflowPunct/>
              <w:topLinePunct w:val="0"/>
              <w:bidi w:val="0"/>
              <w:spacing w:before="0" w:after="0"/>
              <w:textAlignment w:val="auto"/>
              <w:rPr>
                <w:rFonts w:hint="default"/>
                <w:color w:val="auto"/>
                <w:sz w:val="24"/>
                <w:szCs w:val="24"/>
                <w:highlight w:val="none"/>
                <w:lang w:val="en-US" w:eastAsia="zh-CN"/>
              </w:rPr>
            </w:pPr>
            <w:r>
              <w:rPr>
                <w:rFonts w:hint="eastAsia"/>
                <w:color w:val="auto"/>
                <w:sz w:val="24"/>
                <w:szCs w:val="24"/>
                <w:highlight w:val="none"/>
                <w:lang w:val="en-US" w:eastAsia="zh-CN"/>
              </w:rPr>
              <w:t>2</w:t>
            </w:r>
            <w:r>
              <w:rPr>
                <w:rFonts w:hint="default"/>
                <w:color w:val="auto"/>
                <w:sz w:val="24"/>
                <w:szCs w:val="24"/>
                <w:highlight w:val="none"/>
                <w:lang w:val="en-US" w:eastAsia="zh-CN"/>
              </w:rPr>
              <w:t>个月</w:t>
            </w:r>
          </w:p>
        </w:tc>
      </w:tr>
      <w:tr w14:paraId="67DF8BB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902" w:hRule="atLeast"/>
          <w:jc w:val="center"/>
        </w:trPr>
        <w:tc>
          <w:tcPr>
            <w:tcW w:w="1616" w:type="dxa"/>
            <w:tcBorders>
              <w:tl2br w:val="nil"/>
              <w:tr2bl w:val="nil"/>
            </w:tcBorders>
            <w:noWrap w:val="0"/>
            <w:tcMar>
              <w:top w:w="16" w:type="dxa"/>
              <w:left w:w="16" w:type="dxa"/>
              <w:right w:w="16" w:type="dxa"/>
            </w:tcMar>
            <w:vAlign w:val="center"/>
          </w:tcPr>
          <w:p w14:paraId="4F98380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是否开工建设</w:t>
            </w:r>
          </w:p>
        </w:tc>
        <w:tc>
          <w:tcPr>
            <w:tcW w:w="1973" w:type="dxa"/>
            <w:tcBorders>
              <w:tl2br w:val="nil"/>
              <w:tr2bl w:val="nil"/>
            </w:tcBorders>
            <w:noWrap w:val="0"/>
            <w:vAlign w:val="center"/>
          </w:tcPr>
          <w:p w14:paraId="3308D825">
            <w:pPr>
              <w:pStyle w:val="35"/>
              <w:pageBreakBefore w:val="0"/>
              <w:kinsoku/>
              <w:overflowPunct/>
              <w:topLinePunct w:val="0"/>
              <w:bidi w:val="0"/>
              <w:spacing w:before="0" w:after="0"/>
              <w:jc w:val="left"/>
              <w:textAlignment w:val="auto"/>
              <w:rPr>
                <w:color w:val="auto"/>
                <w:sz w:val="24"/>
                <w:szCs w:val="24"/>
                <w:highlight w:val="none"/>
              </w:rPr>
            </w:pPr>
            <w:r>
              <w:rPr>
                <w:rFonts w:hint="eastAsia"/>
                <w:color w:val="auto"/>
                <w:sz w:val="24"/>
                <w:szCs w:val="24"/>
                <w:highlight w:val="none"/>
              </w:rPr>
              <w:sym w:font="Wingdings" w:char="00FE"/>
            </w:r>
            <w:r>
              <w:rPr>
                <w:rFonts w:hint="eastAsia"/>
                <w:color w:val="auto"/>
                <w:sz w:val="24"/>
                <w:szCs w:val="24"/>
                <w:highlight w:val="none"/>
              </w:rPr>
              <w:t>否</w:t>
            </w:r>
          </w:p>
          <w:p w14:paraId="5EE8CF6E">
            <w:pPr>
              <w:pStyle w:val="35"/>
              <w:pageBreakBefore w:val="0"/>
              <w:kinsoku/>
              <w:overflowPunct/>
              <w:topLinePunct w:val="0"/>
              <w:bidi w:val="0"/>
              <w:spacing w:before="0" w:after="0"/>
              <w:jc w:val="left"/>
              <w:textAlignment w:val="auto"/>
              <w:rPr>
                <w:color w:val="auto"/>
                <w:sz w:val="24"/>
                <w:szCs w:val="24"/>
                <w:highlight w:val="none"/>
              </w:rPr>
            </w:pPr>
            <w:r>
              <w:rPr>
                <w:rFonts w:hint="eastAsia"/>
                <w:color w:val="auto"/>
                <w:sz w:val="24"/>
                <w:szCs w:val="24"/>
                <w:highlight w:val="none"/>
              </w:rPr>
              <w:sym w:font="Wingdings" w:char="00A8"/>
            </w:r>
            <w:r>
              <w:rPr>
                <w:rFonts w:hint="eastAsia"/>
                <w:color w:val="auto"/>
                <w:sz w:val="24"/>
                <w:szCs w:val="24"/>
                <w:highlight w:val="none"/>
              </w:rPr>
              <w:t>是：</w:t>
            </w:r>
            <w:r>
              <w:rPr>
                <w:rFonts w:hint="eastAsia"/>
                <w:color w:val="auto"/>
                <w:sz w:val="24"/>
                <w:szCs w:val="24"/>
                <w:highlight w:val="none"/>
                <w:u w:val="single"/>
                <w:lang w:val="en-US" w:eastAsia="zh-CN"/>
              </w:rPr>
              <w:t xml:space="preserve">              </w:t>
            </w:r>
            <w:r>
              <w:rPr>
                <w:rFonts w:hint="eastAsia"/>
                <w:color w:val="auto"/>
                <w:sz w:val="24"/>
                <w:szCs w:val="24"/>
                <w:highlight w:val="none"/>
              </w:rPr>
              <w:t xml:space="preserve">             </w:t>
            </w:r>
          </w:p>
        </w:tc>
        <w:tc>
          <w:tcPr>
            <w:tcW w:w="2168" w:type="dxa"/>
            <w:tcBorders>
              <w:tl2br w:val="nil"/>
              <w:tr2bl w:val="nil"/>
            </w:tcBorders>
            <w:noWrap w:val="0"/>
            <w:tcMar>
              <w:top w:w="16" w:type="dxa"/>
              <w:left w:w="16" w:type="dxa"/>
              <w:right w:w="16" w:type="dxa"/>
            </w:tcMar>
            <w:vAlign w:val="center"/>
          </w:tcPr>
          <w:p w14:paraId="5D50AA4C">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4"/>
                <w:szCs w:val="24"/>
                <w:highlight w:val="none"/>
              </w:rPr>
            </w:pPr>
            <w:r>
              <w:rPr>
                <w:rFonts w:hint="eastAsia"/>
                <w:color w:val="auto"/>
                <w:sz w:val="24"/>
                <w:szCs w:val="24"/>
                <w:highlight w:val="none"/>
              </w:rPr>
              <w:t>用地（用海）</w:t>
            </w:r>
          </w:p>
          <w:p w14:paraId="51E8719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面积</w:t>
            </w:r>
            <w:r>
              <w:rPr>
                <w:rFonts w:hint="default"/>
                <w:color w:val="auto"/>
                <w:sz w:val="24"/>
                <w:szCs w:val="24"/>
                <w:highlight w:val="none"/>
              </w:rPr>
              <w:t>（m</w:t>
            </w:r>
            <w:r>
              <w:rPr>
                <w:rFonts w:hint="default"/>
                <w:color w:val="auto"/>
                <w:sz w:val="24"/>
                <w:szCs w:val="24"/>
                <w:highlight w:val="none"/>
                <w:vertAlign w:val="superscript"/>
              </w:rPr>
              <w:t>2</w:t>
            </w:r>
            <w:r>
              <w:rPr>
                <w:rFonts w:hint="default"/>
                <w:color w:val="auto"/>
                <w:sz w:val="24"/>
                <w:szCs w:val="24"/>
                <w:highlight w:val="none"/>
              </w:rPr>
              <w:t>）</w:t>
            </w:r>
          </w:p>
        </w:tc>
        <w:tc>
          <w:tcPr>
            <w:tcW w:w="3314" w:type="dxa"/>
            <w:tcBorders>
              <w:tl2br w:val="nil"/>
              <w:tr2bl w:val="nil"/>
            </w:tcBorders>
            <w:noWrap w:val="0"/>
            <w:vAlign w:val="center"/>
          </w:tcPr>
          <w:p w14:paraId="6FC39DB7">
            <w:pPr>
              <w:pStyle w:val="35"/>
              <w:pageBreakBefore w:val="0"/>
              <w:kinsoku/>
              <w:overflowPunct/>
              <w:topLinePunct w:val="0"/>
              <w:bidi w:val="0"/>
              <w:spacing w:before="0" w:after="0"/>
              <w:textAlignment w:val="auto"/>
              <w:rPr>
                <w:rFonts w:hint="default" w:eastAsia="宋体"/>
                <w:color w:val="auto"/>
                <w:sz w:val="24"/>
                <w:szCs w:val="24"/>
                <w:highlight w:val="none"/>
                <w:vertAlign w:val="baseline"/>
                <w:lang w:val="en-US" w:eastAsia="zh-CN"/>
              </w:rPr>
            </w:pPr>
            <w:r>
              <w:rPr>
                <w:rFonts w:hint="eastAsia"/>
                <w:color w:val="auto"/>
                <w:sz w:val="24"/>
                <w:szCs w:val="24"/>
                <w:highlight w:val="none"/>
                <w:lang w:val="en-US" w:eastAsia="zh-CN"/>
              </w:rPr>
              <w:t>6326</w:t>
            </w:r>
          </w:p>
        </w:tc>
      </w:tr>
      <w:tr w14:paraId="00F3BB4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753" w:hRule="atLeast"/>
          <w:jc w:val="center"/>
        </w:trPr>
        <w:tc>
          <w:tcPr>
            <w:tcW w:w="1616" w:type="dxa"/>
            <w:tcBorders>
              <w:tl2br w:val="nil"/>
              <w:tr2bl w:val="nil"/>
            </w:tcBorders>
            <w:noWrap w:val="0"/>
            <w:vAlign w:val="center"/>
          </w:tcPr>
          <w:p w14:paraId="47C85906">
            <w:pPr>
              <w:pStyle w:val="35"/>
              <w:pageBreakBefore w:val="0"/>
              <w:kinsoku/>
              <w:overflowPunct/>
              <w:topLinePunct w:val="0"/>
              <w:bidi w:val="0"/>
              <w:spacing w:before="0" w:after="0"/>
              <w:textAlignment w:val="auto"/>
              <w:rPr>
                <w:color w:val="auto"/>
                <w:sz w:val="24"/>
                <w:szCs w:val="24"/>
                <w:highlight w:val="none"/>
              </w:rPr>
            </w:pPr>
            <w:r>
              <w:rPr>
                <w:rFonts w:hint="eastAsia"/>
                <w:color w:val="auto"/>
                <w:sz w:val="24"/>
                <w:szCs w:val="24"/>
                <w:highlight w:val="none"/>
              </w:rPr>
              <w:t>专项评价设置情况</w:t>
            </w:r>
          </w:p>
        </w:tc>
        <w:tc>
          <w:tcPr>
            <w:tcW w:w="7455" w:type="dxa"/>
            <w:gridSpan w:val="3"/>
            <w:tcBorders>
              <w:tl2br w:val="nil"/>
              <w:tr2bl w:val="nil"/>
            </w:tcBorders>
            <w:noWrap w:val="0"/>
            <w:vAlign w:val="center"/>
          </w:tcPr>
          <w:p w14:paraId="65E091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Cs w:val="24"/>
                <w:highlight w:val="none"/>
                <w:lang w:val="en-US" w:eastAsia="zh-CN"/>
              </w:rPr>
            </w:pPr>
            <w:r>
              <w:rPr>
                <w:rFonts w:hint="eastAsia"/>
                <w:color w:val="auto"/>
                <w:szCs w:val="24"/>
                <w:highlight w:val="none"/>
                <w:lang w:val="en-US" w:eastAsia="zh-CN"/>
              </w:rPr>
              <w:t>无</w:t>
            </w:r>
          </w:p>
        </w:tc>
      </w:tr>
      <w:tr w14:paraId="7C763A0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490" w:hRule="atLeast"/>
          <w:jc w:val="center"/>
        </w:trPr>
        <w:tc>
          <w:tcPr>
            <w:tcW w:w="1616" w:type="dxa"/>
            <w:tcBorders>
              <w:tl2br w:val="nil"/>
              <w:tr2bl w:val="nil"/>
            </w:tcBorders>
            <w:noWrap w:val="0"/>
            <w:vAlign w:val="center"/>
          </w:tcPr>
          <w:p w14:paraId="613E44CD">
            <w:pPr>
              <w:pStyle w:val="35"/>
              <w:pageBreakBefore w:val="0"/>
              <w:kinsoku/>
              <w:overflowPunct/>
              <w:topLinePunct w:val="0"/>
              <w:bidi w:val="0"/>
              <w:spacing w:before="0" w:after="0"/>
              <w:jc w:val="center"/>
              <w:textAlignment w:val="auto"/>
              <w:rPr>
                <w:rFonts w:hint="eastAsia"/>
                <w:color w:val="auto"/>
                <w:sz w:val="24"/>
                <w:szCs w:val="24"/>
                <w:highlight w:val="none"/>
              </w:rPr>
            </w:pPr>
            <w:r>
              <w:rPr>
                <w:rFonts w:hint="eastAsia"/>
                <w:color w:val="auto"/>
                <w:sz w:val="24"/>
                <w:szCs w:val="24"/>
                <w:highlight w:val="none"/>
              </w:rPr>
              <w:t>规划情况</w:t>
            </w:r>
          </w:p>
        </w:tc>
        <w:tc>
          <w:tcPr>
            <w:tcW w:w="7455" w:type="dxa"/>
            <w:gridSpan w:val="3"/>
            <w:tcBorders>
              <w:tl2br w:val="nil"/>
              <w:tr2bl w:val="nil"/>
            </w:tcBorders>
            <w:noWrap w:val="0"/>
            <w:vAlign w:val="center"/>
          </w:tcPr>
          <w:p w14:paraId="384840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4"/>
                <w:szCs w:val="24"/>
                <w:highlight w:val="none"/>
                <w:lang w:val="en-US" w:eastAsia="zh-CN"/>
              </w:rPr>
            </w:pPr>
            <w:r>
              <w:rPr>
                <w:rFonts w:hint="eastAsia"/>
                <w:color w:val="auto"/>
                <w:szCs w:val="24"/>
                <w:highlight w:val="none"/>
                <w:lang w:val="en-US" w:eastAsia="zh-CN"/>
              </w:rPr>
              <w:t>无</w:t>
            </w:r>
          </w:p>
        </w:tc>
      </w:tr>
      <w:tr w14:paraId="30279FC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787" w:hRule="atLeast"/>
          <w:jc w:val="center"/>
        </w:trPr>
        <w:tc>
          <w:tcPr>
            <w:tcW w:w="1616" w:type="dxa"/>
            <w:tcBorders>
              <w:tl2br w:val="nil"/>
              <w:tr2bl w:val="nil"/>
            </w:tcBorders>
            <w:noWrap w:val="0"/>
            <w:vAlign w:val="center"/>
          </w:tcPr>
          <w:p w14:paraId="0AFE0448">
            <w:pPr>
              <w:pStyle w:val="35"/>
              <w:pageBreakBefore w:val="0"/>
              <w:kinsoku/>
              <w:overflowPunct/>
              <w:topLinePunct w:val="0"/>
              <w:bidi w:val="0"/>
              <w:spacing w:before="0" w:after="0"/>
              <w:textAlignment w:val="auto"/>
              <w:rPr>
                <w:rFonts w:hint="eastAsia"/>
                <w:color w:val="auto"/>
                <w:sz w:val="24"/>
                <w:szCs w:val="24"/>
                <w:highlight w:val="none"/>
              </w:rPr>
            </w:pPr>
            <w:r>
              <w:rPr>
                <w:rFonts w:hint="eastAsia"/>
                <w:color w:val="auto"/>
                <w:sz w:val="24"/>
                <w:szCs w:val="24"/>
                <w:highlight w:val="none"/>
              </w:rPr>
              <w:t>规划环境影响评价情况</w:t>
            </w:r>
          </w:p>
        </w:tc>
        <w:tc>
          <w:tcPr>
            <w:tcW w:w="7455" w:type="dxa"/>
            <w:gridSpan w:val="3"/>
            <w:tcBorders>
              <w:tl2br w:val="nil"/>
              <w:tr2bl w:val="nil"/>
            </w:tcBorders>
            <w:noWrap w:val="0"/>
            <w:vAlign w:val="center"/>
          </w:tcPr>
          <w:p w14:paraId="208295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4"/>
                <w:szCs w:val="24"/>
                <w:highlight w:val="none"/>
                <w:lang w:val="en-US" w:eastAsia="zh-CN"/>
              </w:rPr>
            </w:pPr>
            <w:r>
              <w:rPr>
                <w:rFonts w:hint="eastAsia"/>
                <w:color w:val="auto"/>
                <w:szCs w:val="24"/>
                <w:highlight w:val="none"/>
                <w:lang w:val="en-US" w:eastAsia="zh-CN"/>
              </w:rPr>
              <w:t>无</w:t>
            </w:r>
          </w:p>
        </w:tc>
      </w:tr>
      <w:tr w14:paraId="7AC2679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1093" w:hRule="atLeast"/>
          <w:jc w:val="center"/>
        </w:trPr>
        <w:tc>
          <w:tcPr>
            <w:tcW w:w="1616" w:type="dxa"/>
            <w:tcBorders>
              <w:tl2br w:val="nil"/>
              <w:tr2bl w:val="nil"/>
            </w:tcBorders>
            <w:noWrap w:val="0"/>
            <w:vAlign w:val="center"/>
          </w:tcPr>
          <w:p w14:paraId="7DCC4D5E">
            <w:pPr>
              <w:pStyle w:val="35"/>
              <w:pageBreakBefore w:val="0"/>
              <w:kinsoku/>
              <w:overflowPunct/>
              <w:topLinePunct w:val="0"/>
              <w:bidi w:val="0"/>
              <w:spacing w:before="0" w:after="0"/>
              <w:textAlignment w:val="auto"/>
              <w:rPr>
                <w:rFonts w:hint="eastAsia"/>
                <w:color w:val="auto"/>
                <w:sz w:val="24"/>
                <w:szCs w:val="24"/>
                <w:highlight w:val="none"/>
              </w:rPr>
            </w:pPr>
            <w:r>
              <w:rPr>
                <w:rFonts w:hint="eastAsia"/>
                <w:color w:val="auto"/>
                <w:sz w:val="24"/>
                <w:szCs w:val="24"/>
                <w:highlight w:val="none"/>
              </w:rPr>
              <w:t>规划及规划环境影响评价符合性分析</w:t>
            </w:r>
          </w:p>
        </w:tc>
        <w:tc>
          <w:tcPr>
            <w:tcW w:w="7455" w:type="dxa"/>
            <w:gridSpan w:val="3"/>
            <w:tcBorders>
              <w:tl2br w:val="nil"/>
              <w:tr2bl w:val="nil"/>
            </w:tcBorders>
            <w:noWrap w:val="0"/>
            <w:vAlign w:val="center"/>
          </w:tcPr>
          <w:p w14:paraId="5A426B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4"/>
                <w:szCs w:val="24"/>
                <w:highlight w:val="none"/>
                <w:lang w:val="en-US" w:eastAsia="zh-CN"/>
              </w:rPr>
            </w:pPr>
            <w:r>
              <w:rPr>
                <w:rFonts w:hint="eastAsia"/>
                <w:color w:val="auto"/>
                <w:szCs w:val="24"/>
                <w:highlight w:val="none"/>
                <w:lang w:val="en-US" w:eastAsia="zh-CN"/>
              </w:rPr>
              <w:t>无</w:t>
            </w:r>
          </w:p>
        </w:tc>
      </w:tr>
      <w:tr w14:paraId="6AD3EA3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616" w:type="dxa"/>
            <w:tcBorders>
              <w:tl2br w:val="nil"/>
              <w:tr2bl w:val="nil"/>
            </w:tcBorders>
            <w:noWrap w:val="0"/>
            <w:vAlign w:val="center"/>
          </w:tcPr>
          <w:p w14:paraId="3DDC212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其他符合性分析</w:t>
            </w:r>
          </w:p>
        </w:tc>
        <w:tc>
          <w:tcPr>
            <w:tcW w:w="7455" w:type="dxa"/>
            <w:gridSpan w:val="3"/>
            <w:tcBorders>
              <w:tl2br w:val="nil"/>
              <w:tr2bl w:val="nil"/>
            </w:tcBorders>
            <w:noWrap w:val="0"/>
            <w:vAlign w:val="center"/>
          </w:tcPr>
          <w:p w14:paraId="62E0E17F">
            <w:pPr>
              <w:pStyle w:val="26"/>
              <w:keepNext w:val="0"/>
              <w:keepLines w:val="0"/>
              <w:pageBreakBefore w:val="0"/>
              <w:widowControl w:val="0"/>
              <w:suppressLineNumbers w:val="0"/>
              <w:kinsoku/>
              <w:wordWrap/>
              <w:overflowPunct/>
              <w:topLinePunct w:val="0"/>
              <w:bidi w:val="0"/>
              <w:snapToGrid/>
              <w:spacing w:before="0" w:beforeAutospacing="0" w:after="0" w:afterAutospacing="0" w:line="480" w:lineRule="exact"/>
              <w:ind w:left="0" w:leftChars="0" w:right="0" w:firstLine="0" w:firstLineChars="0"/>
              <w:jc w:val="both"/>
              <w:textAlignment w:val="auto"/>
              <w:rPr>
                <w:rFonts w:hint="default" w:ascii="Times New Roman" w:hAnsi="Times New Roman" w:cs="Times New Roman"/>
                <w:b/>
                <w:bCs w:val="0"/>
                <w:color w:val="auto"/>
                <w:sz w:val="24"/>
                <w:szCs w:val="24"/>
                <w:highlight w:val="none"/>
              </w:rPr>
            </w:pPr>
            <w:r>
              <w:rPr>
                <w:rFonts w:hint="eastAsia" w:ascii="Times New Roman" w:hAnsi="Times New Roman" w:cs="Times New Roman"/>
                <w:b/>
                <w:bCs w:val="0"/>
                <w:color w:val="auto"/>
                <w:kern w:val="2"/>
                <w:sz w:val="24"/>
                <w:szCs w:val="24"/>
                <w:highlight w:val="none"/>
                <w:lang w:val="en-US" w:eastAsia="zh-CN" w:bidi="ar"/>
              </w:rPr>
              <w:t>1.产业政策符合</w:t>
            </w:r>
            <w:r>
              <w:rPr>
                <w:rFonts w:hint="default" w:ascii="Times New Roman" w:hAnsi="Times New Roman" w:cs="Times New Roman"/>
                <w:b/>
                <w:bCs w:val="0"/>
                <w:color w:val="auto"/>
                <w:kern w:val="2"/>
                <w:sz w:val="24"/>
                <w:szCs w:val="24"/>
                <w:highlight w:val="none"/>
                <w:lang w:bidi="ar"/>
              </w:rPr>
              <w:t>性分析</w:t>
            </w:r>
          </w:p>
          <w:p w14:paraId="1A000FC8">
            <w:pPr>
              <w:bidi w:val="0"/>
              <w:rPr>
                <w:rFonts w:hint="eastAsia"/>
                <w:color w:val="auto"/>
                <w:sz w:val="24"/>
                <w:szCs w:val="24"/>
                <w:highlight w:val="none"/>
                <w:lang w:val="en-US" w:eastAsia="zh-CN"/>
              </w:rPr>
            </w:pPr>
            <w:r>
              <w:rPr>
                <w:rFonts w:hint="eastAsia" w:ascii="Times New Roman" w:hAnsi="Times New Roman" w:eastAsia="宋体" w:cs="Times New Roman"/>
                <w:color w:val="auto"/>
                <w:sz w:val="24"/>
                <w:highlight w:val="none"/>
              </w:rPr>
              <w:t>本项目</w:t>
            </w:r>
            <w:r>
              <w:rPr>
                <w:rFonts w:hint="eastAsia" w:ascii="Times New Roman" w:hAnsi="Times New Roman" w:eastAsia="宋体" w:cs="Times New Roman"/>
                <w:color w:val="auto"/>
                <w:sz w:val="24"/>
                <w:highlight w:val="none"/>
                <w:lang w:val="en-US" w:eastAsia="zh-CN"/>
              </w:rPr>
              <w:t>不属于《</w:t>
            </w:r>
            <w:r>
              <w:rPr>
                <w:rFonts w:hint="eastAsia" w:cs="Times New Roman"/>
                <w:color w:val="auto"/>
                <w:sz w:val="24"/>
                <w:highlight w:val="none"/>
                <w:lang w:val="en-US" w:eastAsia="zh-CN"/>
              </w:rPr>
              <w:t>市场准入负面清单（2025年版）</w:t>
            </w:r>
            <w:r>
              <w:rPr>
                <w:rFonts w:hint="eastAsia" w:ascii="Times New Roman" w:hAnsi="Times New Roman" w:eastAsia="宋体" w:cs="Times New Roman"/>
                <w:color w:val="auto"/>
                <w:sz w:val="24"/>
                <w:highlight w:val="none"/>
                <w:lang w:val="en-US" w:eastAsia="zh-CN"/>
              </w:rPr>
              <w:t>》中禁止类项目；</w:t>
            </w:r>
            <w:r>
              <w:rPr>
                <w:rFonts w:hint="eastAsia" w:cs="Times New Roman"/>
                <w:color w:val="auto"/>
                <w:sz w:val="24"/>
                <w:highlight w:val="none"/>
                <w:lang w:val="en-US" w:eastAsia="zh-CN"/>
              </w:rPr>
              <w:t>属于</w:t>
            </w:r>
            <w:r>
              <w:rPr>
                <w:rFonts w:ascii="Times New Roman" w:hAnsi="Times New Roman" w:eastAsia="宋体" w:cs="Times New Roman"/>
                <w:color w:val="auto"/>
                <w:sz w:val="24"/>
                <w:highlight w:val="none"/>
              </w:rPr>
              <w:t>《产业结构调整指导目录（20</w:t>
            </w:r>
            <w:r>
              <w:rPr>
                <w:rFonts w:hint="eastAsia" w:cs="Times New Roman"/>
                <w:color w:val="auto"/>
                <w:sz w:val="24"/>
                <w:highlight w:val="none"/>
                <w:lang w:val="en-US" w:eastAsia="zh-CN"/>
              </w:rPr>
              <w:t>24</w:t>
            </w:r>
            <w:r>
              <w:rPr>
                <w:rFonts w:ascii="Times New Roman" w:hAnsi="Times New Roman" w:eastAsia="宋体" w:cs="Times New Roman"/>
                <w:color w:val="auto"/>
                <w:sz w:val="24"/>
                <w:highlight w:val="none"/>
              </w:rPr>
              <w:t>年本）》中</w:t>
            </w:r>
            <w:r>
              <w:rPr>
                <w:rFonts w:hint="eastAsia" w:cs="Times New Roman"/>
                <w:color w:val="auto"/>
                <w:sz w:val="24"/>
                <w:highlight w:val="none"/>
                <w:lang w:eastAsia="zh-CN"/>
              </w:rPr>
              <w:t>“</w:t>
            </w:r>
            <w:r>
              <w:rPr>
                <w:rFonts w:hint="eastAsia" w:cs="Times New Roman"/>
                <w:color w:val="auto"/>
                <w:sz w:val="24"/>
                <w:highlight w:val="none"/>
                <w:lang w:val="en-US" w:eastAsia="zh-CN"/>
              </w:rPr>
              <w:t>第一类 鼓励类—四十二、环境保护与资源节约综合利用—3.城镇污水垃圾处理：城镇垃圾、农村生活垃圾、城镇生活污水、农村生活污水、污泥及其他固体废弃物减量化、资源化、无害化处理和综合利用工程</w:t>
            </w:r>
            <w:r>
              <w:rPr>
                <w:rFonts w:hint="eastAsia" w:cs="Times New Roman"/>
                <w:color w:val="auto"/>
                <w:sz w:val="24"/>
                <w:highlight w:val="none"/>
                <w:lang w:eastAsia="zh-CN"/>
              </w:rPr>
              <w:t>”</w:t>
            </w:r>
            <w:r>
              <w:rPr>
                <w:rFonts w:ascii="Times New Roman" w:hAnsi="Times New Roman" w:eastAsia="宋体" w:cs="Times New Roman"/>
                <w:color w:val="auto"/>
                <w:sz w:val="24"/>
                <w:highlight w:val="none"/>
              </w:rPr>
              <w:t>之列，</w:t>
            </w:r>
            <w:r>
              <w:rPr>
                <w:rFonts w:hint="eastAsia" w:ascii="Times New Roman" w:hAnsi="Times New Roman" w:eastAsia="宋体" w:cs="Times New Roman"/>
                <w:color w:val="auto"/>
                <w:sz w:val="24"/>
                <w:highlight w:val="none"/>
                <w:lang w:val="en-US" w:eastAsia="zh-CN"/>
              </w:rPr>
              <w:t>并</w:t>
            </w:r>
            <w:r>
              <w:rPr>
                <w:rFonts w:hint="eastAsia"/>
                <w:color w:val="auto"/>
                <w:sz w:val="24"/>
                <w:szCs w:val="24"/>
                <w:highlight w:val="none"/>
                <w:lang w:val="en-US" w:eastAsia="zh-CN"/>
              </w:rPr>
              <w:t>且本项目已取得迁安市行政审批局备案信息（备案编号：迁行审投资备字[2026]209号），因此，本项目符合国家及地方产业政策要求。</w:t>
            </w:r>
          </w:p>
          <w:p w14:paraId="2706C56E">
            <w:pPr>
              <w:pageBreakBefore w:val="0"/>
              <w:numPr>
                <w:ilvl w:val="0"/>
                <w:numId w:val="0"/>
              </w:numPr>
              <w:kinsoku/>
              <w:overflowPunct/>
              <w:topLinePunct w:val="0"/>
              <w:bidi w:val="0"/>
              <w:ind w:leftChars="0"/>
              <w:textAlignment w:val="auto"/>
              <w:rPr>
                <w:rFonts w:hint="default" w:ascii="Times New Roman" w:hAnsi="Times New Roman" w:cs="Times New Roman"/>
                <w:b/>
                <w:bCs/>
                <w:smallCaps w:val="0"/>
                <w:color w:val="auto"/>
                <w:spacing w:val="0"/>
                <w:position w:val="0"/>
                <w:sz w:val="24"/>
                <w:szCs w:val="24"/>
                <w:highlight w:val="none"/>
                <w:lang w:val="en-US" w:eastAsia="zh-CN"/>
              </w:rPr>
            </w:pPr>
            <w:r>
              <w:rPr>
                <w:rFonts w:hint="eastAsia" w:ascii="Times New Roman" w:hAnsi="Times New Roman" w:cs="Times New Roman"/>
                <w:b/>
                <w:bCs/>
                <w:smallCaps w:val="0"/>
                <w:color w:val="auto"/>
                <w:spacing w:val="0"/>
                <w:position w:val="0"/>
                <w:sz w:val="24"/>
                <w:szCs w:val="24"/>
                <w:highlight w:val="none"/>
                <w:lang w:val="en-US" w:eastAsia="zh-CN"/>
              </w:rPr>
              <w:t>2</w:t>
            </w:r>
            <w:r>
              <w:rPr>
                <w:rFonts w:hint="eastAsia" w:cs="Times New Roman"/>
                <w:b/>
                <w:bCs/>
                <w:smallCaps w:val="0"/>
                <w:color w:val="auto"/>
                <w:spacing w:val="0"/>
                <w:position w:val="0"/>
                <w:sz w:val="24"/>
                <w:szCs w:val="24"/>
                <w:highlight w:val="none"/>
                <w:lang w:val="en-US" w:eastAsia="zh-CN"/>
              </w:rPr>
              <w:t>.项目选址合理性分析</w:t>
            </w:r>
          </w:p>
          <w:p w14:paraId="5D81BAC5">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zh-CN"/>
              </w:rPr>
              <w:t>（</w:t>
            </w:r>
            <w:r>
              <w:rPr>
                <w:rFonts w:hint="eastAsia" w:cs="Times New Roman"/>
                <w:color w:val="auto"/>
                <w:sz w:val="24"/>
                <w:szCs w:val="24"/>
                <w:highlight w:val="none"/>
                <w:lang w:val="en-US" w:eastAsia="zh-CN"/>
              </w:rPr>
              <w:t>1</w:t>
            </w:r>
            <w:r>
              <w:rPr>
                <w:rFonts w:hint="eastAsia" w:cs="Times New Roman"/>
                <w:color w:val="auto"/>
                <w:sz w:val="24"/>
                <w:szCs w:val="24"/>
                <w:highlight w:val="none"/>
                <w:lang w:val="zh-CN"/>
              </w:rPr>
              <w:t>）</w:t>
            </w:r>
            <w:r>
              <w:rPr>
                <w:rFonts w:hint="eastAsia" w:cs="Times New Roman"/>
                <w:color w:val="auto"/>
                <w:sz w:val="24"/>
                <w:szCs w:val="24"/>
                <w:highlight w:val="none"/>
                <w:lang w:val="en-US" w:eastAsia="zh-CN"/>
              </w:rPr>
              <w:t>规划符合性分析</w:t>
            </w:r>
          </w:p>
          <w:p w14:paraId="487F2A4C">
            <w:pPr>
              <w:bidi w:val="0"/>
              <w:rPr>
                <w:rFonts w:hint="default"/>
                <w:color w:val="auto"/>
                <w:highlight w:val="none"/>
                <w:lang w:val="en-US" w:eastAsia="zh-CN"/>
              </w:rPr>
            </w:pPr>
            <w:r>
              <w:rPr>
                <w:rFonts w:hint="eastAsia"/>
                <w:color w:val="auto"/>
                <w:highlight w:val="none"/>
                <w:lang w:val="en-US" w:eastAsia="zh-CN"/>
              </w:rPr>
              <w:t>本项目位于迁安市夏官营镇罗庄子村西南，根据《迁安市城市管理综合行政执法局关于迁安市瑞承祥科技有限公司建筑垃圾堆砌地项目的函》，本项目利用现有</w:t>
            </w:r>
            <w:r>
              <w:rPr>
                <w:rFonts w:hint="eastAsia"/>
                <w:color w:val="auto"/>
                <w:sz w:val="24"/>
                <w:szCs w:val="24"/>
                <w:highlight w:val="none"/>
                <w:lang w:val="en-US" w:eastAsia="zh-CN"/>
              </w:rPr>
              <w:t>废弃低洼坑塘（文件中表述为现有废弃采矿坑，经迁安市自然资源和规划局核查，并出具复函，项目利用地块现状地类为坑塘水面，不属于采矿采砂废弃地）</w:t>
            </w:r>
            <w:r>
              <w:rPr>
                <w:rFonts w:hint="eastAsia"/>
                <w:color w:val="auto"/>
                <w:highlight w:val="none"/>
                <w:lang w:val="en-US" w:eastAsia="zh-CN"/>
              </w:rPr>
              <w:t>建设建筑垃圾堆砌地项目，项目完成后作为迁安市建筑垃圾堆砌地，对迁安市符合要求的建筑垃圾进行堆填（砌），符合《唐山市环境卫生专项规划（2021-2035）》中“3.建筑垃圾处理设施布局—设区市设置多个、各县至少建设一座建筑垃圾堆砌地”的要求。</w:t>
            </w:r>
          </w:p>
          <w:p w14:paraId="12E5E83A">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zh-CN"/>
              </w:rPr>
              <w:t>（</w:t>
            </w:r>
            <w:r>
              <w:rPr>
                <w:rFonts w:hint="eastAsia" w:cs="Times New Roman"/>
                <w:color w:val="auto"/>
                <w:sz w:val="24"/>
                <w:szCs w:val="24"/>
                <w:highlight w:val="none"/>
                <w:lang w:val="en-US" w:eastAsia="zh-CN"/>
              </w:rPr>
              <w:t>2</w:t>
            </w:r>
            <w:r>
              <w:rPr>
                <w:rFonts w:hint="eastAsia" w:cs="Times New Roman"/>
                <w:color w:val="auto"/>
                <w:sz w:val="24"/>
                <w:szCs w:val="24"/>
                <w:highlight w:val="none"/>
                <w:lang w:val="zh-CN"/>
              </w:rPr>
              <w:t>）</w:t>
            </w:r>
            <w:r>
              <w:rPr>
                <w:rFonts w:hint="eastAsia" w:cs="Times New Roman"/>
                <w:color w:val="auto"/>
                <w:sz w:val="24"/>
                <w:szCs w:val="24"/>
                <w:highlight w:val="none"/>
                <w:lang w:val="en-US" w:eastAsia="zh-CN"/>
              </w:rPr>
              <w:t>选址符合性分析</w:t>
            </w:r>
          </w:p>
          <w:p w14:paraId="728175D1">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eastAsia="zh-CN"/>
              </w:rPr>
              <w:t>项目所在区域环境空气质量执行《环境空气质量标准》（GB3095-2026）中二级标准限值要求；声环境质量执行《声环境质量标准》（GB3096-2008）</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zh-CN" w:eastAsia="zh-CN"/>
              </w:rPr>
              <w:t>类区标准</w:t>
            </w:r>
            <w:r>
              <w:rPr>
                <w:rFonts w:hint="eastAsia" w:cs="Times New Roman"/>
                <w:color w:val="auto"/>
                <w:sz w:val="24"/>
                <w:szCs w:val="24"/>
                <w:highlight w:val="none"/>
                <w:lang w:val="zh-CN" w:eastAsia="zh-CN"/>
              </w:rPr>
              <w:t>；</w:t>
            </w:r>
            <w:r>
              <w:rPr>
                <w:rFonts w:hint="eastAsia" w:cs="Times New Roman"/>
                <w:color w:val="auto"/>
                <w:kern w:val="0"/>
                <w:sz w:val="24"/>
                <w:highlight w:val="none"/>
                <w:lang w:val="en-US" w:eastAsia="zh-CN"/>
              </w:rPr>
              <w:t>地下水环境质量执行《地下水质量标准》（GB/T 14848-2017）中</w:t>
            </w:r>
            <w:r>
              <w:rPr>
                <w:rFonts w:hint="default" w:ascii="Times New Roman" w:hAnsi="Times New Roman" w:cs="Times New Roman"/>
                <w:color w:val="auto"/>
                <w:kern w:val="0"/>
                <w:sz w:val="24"/>
                <w:highlight w:val="none"/>
                <w:lang w:val="en-US" w:eastAsia="zh-CN"/>
              </w:rPr>
              <w:t>Ⅲ</w:t>
            </w:r>
            <w:r>
              <w:rPr>
                <w:rFonts w:hint="eastAsia" w:cs="Times New Roman"/>
                <w:color w:val="auto"/>
                <w:kern w:val="0"/>
                <w:sz w:val="24"/>
                <w:highlight w:val="none"/>
                <w:lang w:val="en-US" w:eastAsia="zh-CN"/>
              </w:rPr>
              <w:t>类标准且不恶化现状水质，土壤环境质量执行《土壤环境质量 农用地土壤污染风险管控标准（试行）》（GB15618-2018）中风险筛选值</w:t>
            </w:r>
            <w:r>
              <w:rPr>
                <w:rFonts w:hint="default" w:ascii="Times New Roman" w:hAnsi="Times New Roman" w:eastAsia="宋体"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en-US" w:eastAsia="zh-CN"/>
              </w:rPr>
              <w:t>项目所在区域环境空气属于不达标区，</w:t>
            </w:r>
            <w:r>
              <w:rPr>
                <w:rFonts w:hint="eastAsia" w:ascii="Times New Roman" w:hAnsi="Times New Roman" w:eastAsia="宋体" w:cs="Times New Roman"/>
                <w:color w:val="auto"/>
                <w:sz w:val="24"/>
                <w:szCs w:val="24"/>
                <w:highlight w:val="none"/>
              </w:rPr>
              <w:t>根据</w:t>
            </w:r>
            <w:r>
              <w:rPr>
                <w:rFonts w:hint="eastAsia" w:cs="Times New Roman"/>
                <w:color w:val="auto"/>
                <w:sz w:val="24"/>
                <w:szCs w:val="24"/>
                <w:highlight w:val="none"/>
                <w:lang w:val="en-US" w:eastAsia="zh-CN"/>
              </w:rPr>
              <w:t>唐山市人民政府</w:t>
            </w:r>
            <w:r>
              <w:rPr>
                <w:rFonts w:hint="eastAsia" w:ascii="Times New Roman" w:hAnsi="Times New Roman" w:eastAsia="宋体" w:cs="Times New Roman"/>
                <w:color w:val="auto"/>
                <w:sz w:val="24"/>
                <w:szCs w:val="24"/>
                <w:highlight w:val="none"/>
              </w:rPr>
              <w:t>关于印发《唐山市大气环境质量达标规划》的通知（</w:t>
            </w:r>
            <w:r>
              <w:rPr>
                <w:rFonts w:hint="eastAsia" w:cs="Times New Roman"/>
                <w:color w:val="auto"/>
                <w:sz w:val="24"/>
                <w:szCs w:val="24"/>
                <w:highlight w:val="none"/>
                <w:lang w:val="en-US" w:eastAsia="zh-CN"/>
              </w:rPr>
              <w:t>唐政字</w:t>
            </w:r>
            <w:r>
              <w:rPr>
                <w:rFonts w:hint="eastAsia" w:ascii="Times New Roman" w:hAnsi="Times New Roman" w:eastAsia="宋体" w:cs="Times New Roman"/>
                <w:color w:val="auto"/>
                <w:sz w:val="24"/>
                <w:szCs w:val="24"/>
                <w:highlight w:val="none"/>
              </w:rPr>
              <w:t>[202</w:t>
            </w:r>
            <w:r>
              <w:rPr>
                <w:rFonts w:hint="eastAsia"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81</w:t>
            </w:r>
            <w:r>
              <w:rPr>
                <w:rFonts w:hint="eastAsia" w:ascii="Times New Roman" w:hAnsi="Times New Roman" w:eastAsia="宋体" w:cs="Times New Roman"/>
                <w:color w:val="auto"/>
                <w:sz w:val="24"/>
                <w:szCs w:val="24"/>
                <w:highlight w:val="none"/>
              </w:rPr>
              <w:t>号）</w:t>
            </w:r>
            <w:r>
              <w:rPr>
                <w:rFonts w:hint="eastAsia" w:ascii="Times New Roman" w:hAnsi="Times New Roman" w:eastAsia="宋体" w:cs="Times New Roman"/>
                <w:color w:val="auto"/>
                <w:sz w:val="24"/>
                <w:szCs w:val="24"/>
                <w:highlight w:val="none"/>
                <w:lang w:eastAsia="zh-CN"/>
              </w:rPr>
              <w:t>可知，</w:t>
            </w:r>
            <w:r>
              <w:rPr>
                <w:rFonts w:hint="eastAsia" w:cs="Times New Roman"/>
                <w:color w:val="auto"/>
                <w:sz w:val="24"/>
                <w:szCs w:val="24"/>
                <w:highlight w:val="none"/>
                <w:lang w:val="en-US" w:eastAsia="zh-CN"/>
              </w:rPr>
              <w:t>采取</w:t>
            </w:r>
            <w:r>
              <w:rPr>
                <w:rFonts w:hint="eastAsia" w:ascii="Times New Roman" w:hAnsi="Times New Roman" w:eastAsia="宋体" w:cs="Times New Roman"/>
                <w:color w:val="auto"/>
                <w:sz w:val="24"/>
                <w:szCs w:val="24"/>
                <w:highlight w:val="none"/>
                <w:lang w:eastAsia="zh-CN"/>
              </w:rPr>
              <w:t>推动产业结构、能源结构、交通运输结构优化调整，深化重点行业深度治理，精细化管控面源污染，深入开展多污染物减排，全面系统实施污染过程应急减排，加强支撑能力建设</w:t>
            </w:r>
            <w:r>
              <w:rPr>
                <w:rFonts w:hint="eastAsia" w:cs="Times New Roman"/>
                <w:color w:val="auto"/>
                <w:sz w:val="24"/>
                <w:szCs w:val="24"/>
                <w:highlight w:val="none"/>
                <w:lang w:val="en-US" w:eastAsia="zh-CN"/>
              </w:rPr>
              <w:t>等措施</w:t>
            </w:r>
            <w:r>
              <w:rPr>
                <w:rFonts w:hint="eastAsia" w:cs="Times New Roman"/>
                <w:color w:val="auto"/>
                <w:sz w:val="24"/>
                <w:szCs w:val="24"/>
                <w:highlight w:val="none"/>
                <w:lang w:eastAsia="zh-CN"/>
              </w:rPr>
              <w:t>，推动大气环境质量持续有效改善，项目所在区域空气质量将会逐步得到改善</w:t>
            </w:r>
            <w:r>
              <w:rPr>
                <w:rFonts w:hint="eastAsia" w:cs="Times New Roman"/>
                <w:color w:val="auto"/>
                <w:sz w:val="24"/>
                <w:szCs w:val="24"/>
                <w:highlight w:val="none"/>
                <w:lang w:val="en-US" w:eastAsia="zh-CN"/>
              </w:rPr>
              <w:t>。</w:t>
            </w:r>
          </w:p>
          <w:p w14:paraId="1627C6C1">
            <w:pPr>
              <w:rPr>
                <w:rFonts w:hint="default"/>
                <w:color w:val="auto"/>
                <w:sz w:val="24"/>
                <w:szCs w:val="24"/>
                <w:highlight w:val="none"/>
                <w:lang w:val="en-US" w:eastAsia="zh-CN"/>
              </w:rPr>
            </w:pPr>
            <w:r>
              <w:rPr>
                <w:rFonts w:hint="eastAsia"/>
                <w:color w:val="auto"/>
                <w:sz w:val="24"/>
                <w:szCs w:val="24"/>
                <w:highlight w:val="none"/>
                <w:lang w:val="en-US" w:eastAsia="zh-CN"/>
              </w:rPr>
              <w:t>根据迁安市自然资源和规划局出具的关于本项目用地意见的复函可知：经迁安市自然资源和规划局核查，迁安市瑞承祥科技有限公司建筑垃圾堆砌地项目拟选址地位于迁安市夏官营镇罗庄子村西南，拟占地面积0.6326公顷，该地块现状地类为坑塘水面，不涉及迁安市国土空间总体规划“三区三线”划定的基本农田、生态保护红线、城镇开发边界。根据现场勘测，用地现状为废弃低洼坑塘。其形成原因可能属于早期人类活动、蓄滞防洪、风力吹蚀等造成功能丧失、淤积严重而被废弃，逐渐演变为低洼坑地。</w:t>
            </w:r>
          </w:p>
          <w:p w14:paraId="122E8ADF">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本项目选址位于迁安市夏官营镇罗庄子村西南，利用现有废弃低洼坑塘进行建筑垃圾堆填，根据</w:t>
            </w:r>
            <w:r>
              <w:rPr>
                <w:rFonts w:hint="eastAsia"/>
                <w:color w:val="auto"/>
                <w:sz w:val="24"/>
                <w:szCs w:val="24"/>
                <w:highlight w:val="none"/>
                <w:lang w:val="zh-CN" w:eastAsia="zh-CN"/>
              </w:rPr>
              <w:t>《建筑垃圾处理技术标准》（CJJ/T134-2019）</w:t>
            </w:r>
            <w:r>
              <w:rPr>
                <w:rFonts w:hint="eastAsia"/>
                <w:color w:val="auto"/>
                <w:sz w:val="24"/>
                <w:szCs w:val="24"/>
                <w:highlight w:val="none"/>
                <w:lang w:val="en-US" w:eastAsia="zh-CN"/>
              </w:rPr>
              <w:t>可知，堆填指利用现有低洼地块或即将开发利用但地坪标高低于使用要求的地块，且地块经有关部门认可，用符合条件的建筑垃圾替代部分土石方进行回填或堆高的行为。本项目即为利用现有低洼地块（废弃低洼坑塘），经迁安市城市管理综合行政执法局认可，用符合条件的建筑垃圾替代部分土石方进行回填或堆高的行为。</w:t>
            </w:r>
          </w:p>
          <w:p w14:paraId="0A981F75">
            <w:pPr>
              <w:rPr>
                <w:rFonts w:hint="default"/>
                <w:color w:val="auto"/>
                <w:highlight w:val="none"/>
                <w:lang w:val="en-US" w:eastAsia="zh-CN"/>
              </w:rPr>
            </w:pPr>
            <w:r>
              <w:rPr>
                <w:rFonts w:hint="eastAsia"/>
                <w:color w:val="auto"/>
                <w:kern w:val="24"/>
                <w:sz w:val="24"/>
                <w:highlight w:val="none"/>
              </w:rPr>
              <w:t>本项目位于</w:t>
            </w:r>
            <w:r>
              <w:rPr>
                <w:rFonts w:hint="eastAsia"/>
                <w:color w:val="auto"/>
                <w:kern w:val="24"/>
                <w:sz w:val="24"/>
                <w:highlight w:val="none"/>
                <w:lang w:val="en-US" w:eastAsia="zh-CN"/>
              </w:rPr>
              <w:t>迁安市夏官营镇罗庄子村西南</w:t>
            </w:r>
            <w:r>
              <w:rPr>
                <w:rFonts w:hint="eastAsia"/>
                <w:color w:val="auto"/>
                <w:kern w:val="24"/>
                <w:sz w:val="24"/>
                <w:highlight w:val="none"/>
              </w:rPr>
              <w:t>，不在园区内，根据《</w:t>
            </w:r>
            <w:r>
              <w:rPr>
                <w:rFonts w:hint="eastAsia"/>
                <w:color w:val="auto"/>
                <w:sz w:val="24"/>
                <w:highlight w:val="none"/>
              </w:rPr>
              <w:t>唐山市涉水工业企业入园整治实施方案</w:t>
            </w:r>
            <w:r>
              <w:rPr>
                <w:rFonts w:hint="eastAsia"/>
                <w:color w:val="auto"/>
                <w:kern w:val="24"/>
                <w:sz w:val="24"/>
                <w:highlight w:val="none"/>
              </w:rPr>
              <w:t>》要求，通过企业生产、废水处理工艺提升改造，废水全部循环利用，实现废水零排放的企业可以不进入园区</w:t>
            </w:r>
            <w:r>
              <w:rPr>
                <w:rFonts w:hint="eastAsia"/>
                <w:color w:val="auto"/>
                <w:kern w:val="24"/>
                <w:sz w:val="24"/>
                <w:highlight w:val="none"/>
                <w:lang w:eastAsia="zh-CN"/>
              </w:rPr>
              <w:t>。</w:t>
            </w:r>
            <w:r>
              <w:rPr>
                <w:rFonts w:hint="eastAsia"/>
                <w:color w:val="auto"/>
                <w:kern w:val="24"/>
                <w:sz w:val="24"/>
                <w:highlight w:val="none"/>
              </w:rPr>
              <w:t>本项目</w:t>
            </w:r>
            <w:r>
              <w:rPr>
                <w:rFonts w:hint="eastAsia"/>
                <w:color w:val="auto"/>
                <w:highlight w:val="none"/>
                <w:lang w:val="en-US" w:eastAsia="zh-CN"/>
              </w:rPr>
              <w:t>洗车废水沉淀后循环使用，生活污水泼洒抑尘，堆填（砌）区淋溶水沉淀处理后用于场区抑尘，无废水外排</w:t>
            </w:r>
            <w:r>
              <w:rPr>
                <w:rFonts w:hint="eastAsia"/>
                <w:color w:val="auto"/>
                <w:kern w:val="24"/>
                <w:sz w:val="24"/>
                <w:highlight w:val="none"/>
                <w:lang w:val="en-US" w:eastAsia="zh-CN"/>
              </w:rPr>
              <w:t>，</w:t>
            </w:r>
            <w:r>
              <w:rPr>
                <w:rFonts w:hint="eastAsia"/>
                <w:color w:val="auto"/>
                <w:kern w:val="24"/>
                <w:sz w:val="24"/>
                <w:highlight w:val="none"/>
              </w:rPr>
              <w:t>可不进入园区。</w:t>
            </w:r>
          </w:p>
          <w:p w14:paraId="24B1C2D4">
            <w:pPr>
              <w:pStyle w:val="28"/>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leftChars="0" w:right="0" w:rightChars="0"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项目不在河北省生态保护红线区范围内，</w:t>
            </w:r>
            <w:r>
              <w:rPr>
                <w:rFonts w:hint="eastAsia"/>
                <w:color w:val="auto"/>
                <w:sz w:val="24"/>
                <w:szCs w:val="24"/>
                <w:highlight w:val="none"/>
                <w:lang w:val="en-US" w:eastAsia="zh-CN"/>
              </w:rPr>
              <w:t>不涉及</w:t>
            </w:r>
            <w:r>
              <w:rPr>
                <w:rFonts w:hint="default"/>
                <w:color w:val="auto"/>
                <w:sz w:val="24"/>
                <w:szCs w:val="24"/>
                <w:highlight w:val="none"/>
                <w:lang w:val="en-US" w:eastAsia="zh-CN"/>
              </w:rPr>
              <w:t>基本农田</w:t>
            </w:r>
            <w:r>
              <w:rPr>
                <w:rFonts w:hint="eastAsia"/>
                <w:color w:val="auto"/>
                <w:sz w:val="24"/>
                <w:szCs w:val="24"/>
                <w:highlight w:val="none"/>
                <w:lang w:val="en-US" w:eastAsia="zh-CN"/>
              </w:rPr>
              <w:t>和</w:t>
            </w:r>
            <w:r>
              <w:rPr>
                <w:rFonts w:hint="default"/>
                <w:color w:val="auto"/>
                <w:sz w:val="24"/>
                <w:szCs w:val="24"/>
                <w:highlight w:val="none"/>
                <w:lang w:val="en-US" w:eastAsia="zh-CN"/>
              </w:rPr>
              <w:t>城镇开发边界</w:t>
            </w:r>
            <w:r>
              <w:rPr>
                <w:rFonts w:hint="eastAsia"/>
                <w:color w:val="auto"/>
                <w:sz w:val="24"/>
                <w:szCs w:val="24"/>
                <w:highlight w:val="none"/>
                <w:lang w:val="en-US" w:eastAsia="zh-CN"/>
              </w:rPr>
              <w:t>，</w:t>
            </w:r>
            <w:r>
              <w:rPr>
                <w:rFonts w:hint="default"/>
                <w:color w:val="auto"/>
                <w:sz w:val="24"/>
                <w:szCs w:val="24"/>
                <w:highlight w:val="none"/>
                <w:lang w:val="en-US" w:eastAsia="zh-CN"/>
              </w:rPr>
              <w:t>评价范围内无自然保护区、重点文物、风景名胜等需特殊保护区域，项目</w:t>
            </w:r>
            <w:r>
              <w:rPr>
                <w:rFonts w:hint="eastAsia"/>
                <w:color w:val="auto"/>
                <w:sz w:val="24"/>
                <w:szCs w:val="24"/>
                <w:highlight w:val="none"/>
                <w:lang w:val="en-US" w:eastAsia="zh-CN"/>
              </w:rPr>
              <w:t>场界外500m范围内无大气环境保护目标，距离本项目最近的敏感点为东北侧550m处的罗庄子村，</w:t>
            </w:r>
            <w:r>
              <w:rPr>
                <w:rFonts w:ascii="Times New Roman" w:hAnsi="Times New Roman" w:eastAsia="宋体" w:cs="Times New Roman"/>
                <w:color w:val="auto"/>
                <w:kern w:val="24"/>
                <w:sz w:val="24"/>
                <w:highlight w:val="none"/>
                <w:lang w:val="zh-CN"/>
              </w:rPr>
              <w:t>采取环评提出的各项环保治理措施后，项目的实施不会对</w:t>
            </w:r>
            <w:r>
              <w:rPr>
                <w:rFonts w:hint="eastAsia" w:cs="Times New Roman"/>
                <w:color w:val="auto"/>
                <w:kern w:val="24"/>
                <w:sz w:val="24"/>
                <w:highlight w:val="none"/>
                <w:lang w:val="en-US" w:eastAsia="zh-CN"/>
              </w:rPr>
              <w:t>周边环境质量产生明显不利</w:t>
            </w:r>
            <w:r>
              <w:rPr>
                <w:rFonts w:ascii="Times New Roman" w:hAnsi="Times New Roman" w:eastAsia="宋体" w:cs="Times New Roman"/>
                <w:color w:val="auto"/>
                <w:kern w:val="24"/>
                <w:sz w:val="24"/>
                <w:highlight w:val="none"/>
                <w:lang w:val="zh-CN"/>
              </w:rPr>
              <w:t>影响</w:t>
            </w:r>
            <w:r>
              <w:rPr>
                <w:rFonts w:ascii="Times New Roman" w:hAnsi="Times New Roman" w:eastAsia="宋体" w:cs="Times New Roman"/>
                <w:color w:val="auto"/>
                <w:kern w:val="24"/>
                <w:sz w:val="24"/>
                <w:highlight w:val="none"/>
              </w:rPr>
              <w:t>。</w:t>
            </w:r>
            <w:r>
              <w:rPr>
                <w:rFonts w:hint="eastAsia" w:ascii="Times New Roman" w:hAnsi="Times New Roman" w:eastAsia="宋体" w:cs="Times New Roman"/>
                <w:color w:val="auto"/>
                <w:kern w:val="24"/>
                <w:sz w:val="24"/>
                <w:highlight w:val="none"/>
                <w:lang w:val="en-US" w:eastAsia="zh-CN"/>
              </w:rPr>
              <w:t>因此，本项目选址合理</w:t>
            </w:r>
            <w:r>
              <w:rPr>
                <w:rFonts w:hint="eastAsia"/>
                <w:color w:val="auto"/>
                <w:sz w:val="24"/>
                <w:szCs w:val="24"/>
                <w:highlight w:val="none"/>
                <w:lang w:val="en-US" w:eastAsia="zh-CN"/>
              </w:rPr>
              <w:t>。</w:t>
            </w:r>
          </w:p>
          <w:p w14:paraId="4B588F3F">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b/>
                <w:bCs/>
                <w:color w:val="auto"/>
                <w:sz w:val="24"/>
                <w:szCs w:val="24"/>
                <w:highlight w:val="none"/>
              </w:rPr>
            </w:pPr>
            <w:r>
              <w:rPr>
                <w:rFonts w:hint="eastAsia"/>
                <w:b/>
                <w:bCs/>
                <w:color w:val="auto"/>
                <w:sz w:val="24"/>
                <w:szCs w:val="24"/>
                <w:highlight w:val="none"/>
                <w:lang w:val="en-US" w:eastAsia="zh-CN"/>
              </w:rPr>
              <w:t>3.与生态环境分区管控符合</w:t>
            </w:r>
            <w:r>
              <w:rPr>
                <w:rFonts w:hint="default"/>
                <w:b/>
                <w:bCs/>
                <w:color w:val="auto"/>
                <w:sz w:val="24"/>
                <w:szCs w:val="24"/>
                <w:highlight w:val="none"/>
              </w:rPr>
              <w:t>性分析</w:t>
            </w:r>
          </w:p>
          <w:p w14:paraId="323A02E4">
            <w:pPr>
              <w:pageBreakBefore w:val="0"/>
              <w:kinsoku/>
              <w:overflowPunct/>
              <w:topLinePunct w:val="0"/>
              <w:bidi w:val="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本项目开展与生态环境分区管控（原</w:t>
            </w:r>
            <w:r>
              <w:rPr>
                <w:rFonts w:hint="eastAsia" w:ascii="宋体" w:hAnsi="宋体" w:eastAsia="宋体" w:cs="宋体"/>
                <w:color w:val="auto"/>
                <w:highlight w:val="none"/>
              </w:rPr>
              <w:t>“三线一单”</w:t>
            </w:r>
            <w:r>
              <w:rPr>
                <w:rFonts w:hint="default" w:ascii="Times New Roman" w:hAnsi="Times New Roman" w:eastAsia="宋体" w:cs="Times New Roman"/>
                <w:color w:val="auto"/>
                <w:highlight w:val="none"/>
              </w:rPr>
              <w:t>：生态保护红线、环境质量底线、资源利用上线、生态环境准入清单）符合性分析</w:t>
            </w:r>
            <w:r>
              <w:rPr>
                <w:rFonts w:hint="eastAsia" w:cs="Times New Roman"/>
                <w:color w:val="auto"/>
                <w:highlight w:val="none"/>
                <w:lang w:eastAsia="zh-CN"/>
              </w:rPr>
              <w:t>，</w:t>
            </w:r>
            <w:r>
              <w:rPr>
                <w:rFonts w:hint="default" w:ascii="Times New Roman" w:hAnsi="Times New Roman" w:eastAsia="宋体" w:cs="Times New Roman"/>
                <w:color w:val="auto"/>
                <w:highlight w:val="none"/>
              </w:rPr>
              <w:t>根据《关于以改善环境质量为核心加强环境影响评价管理的通知》</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环环评[2016]150号</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，要求以生态保护红线、环境质量底线、资源利用上线和环境准入负面清单为手段，强化空间、总量和准入环境管理。本项目建设与上述要求的符合性分析如下：</w:t>
            </w:r>
          </w:p>
          <w:p w14:paraId="2D8259EE">
            <w:pPr>
              <w:pageBreakBefore w:val="0"/>
              <w:kinsoku/>
              <w:overflowPunct/>
              <w:topLinePunct w:val="0"/>
              <w:bidi w:val="0"/>
              <w:textAlignment w:val="auto"/>
              <w:rPr>
                <w:rFonts w:hint="default"/>
                <w:color w:val="auto"/>
                <w:highlight w:val="none"/>
              </w:rPr>
            </w:pPr>
            <w:r>
              <w:rPr>
                <w:rFonts w:hint="eastAsia"/>
                <w:color w:val="auto"/>
                <w:highlight w:val="none"/>
              </w:rPr>
              <w:t>（1）</w:t>
            </w:r>
            <w:r>
              <w:rPr>
                <w:rFonts w:hint="default"/>
                <w:color w:val="auto"/>
                <w:highlight w:val="none"/>
              </w:rPr>
              <w:t>生态保护红线</w:t>
            </w:r>
          </w:p>
          <w:p w14:paraId="0C1C402E">
            <w:pPr>
              <w:pageBreakBefore w:val="0"/>
              <w:kinsoku/>
              <w:overflowPunct/>
              <w:topLinePunct w:val="0"/>
              <w:bidi w:val="0"/>
              <w:textAlignment w:val="auto"/>
              <w:rPr>
                <w:rFonts w:hint="default"/>
                <w:color w:val="auto"/>
                <w:highlight w:val="none"/>
              </w:rPr>
            </w:pPr>
            <w:r>
              <w:rPr>
                <w:rFonts w:hint="eastAsia"/>
                <w:color w:val="auto"/>
                <w:highlight w:val="none"/>
                <w:lang w:val="en-US" w:eastAsia="zh-CN"/>
              </w:rPr>
              <w:t>本</w:t>
            </w:r>
            <w:r>
              <w:rPr>
                <w:rFonts w:hint="default"/>
                <w:color w:val="auto"/>
                <w:highlight w:val="none"/>
              </w:rPr>
              <w:t>项目位于</w:t>
            </w:r>
            <w:r>
              <w:rPr>
                <w:rFonts w:hint="eastAsia"/>
                <w:color w:val="auto"/>
                <w:sz w:val="24"/>
                <w:szCs w:val="24"/>
                <w:highlight w:val="none"/>
                <w:lang w:val="en-US" w:eastAsia="zh-CN"/>
              </w:rPr>
              <w:t>迁安市夏官营镇罗庄子村西南</w:t>
            </w:r>
            <w:r>
              <w:rPr>
                <w:rFonts w:hint="default"/>
                <w:color w:val="auto"/>
                <w:highlight w:val="none"/>
              </w:rPr>
              <w:t>，不在主导生态功能区范围内，且不在当地饮用水水源区、风景区、自然保护区等生态保护区内，符合生态保护红线的要求。</w:t>
            </w:r>
          </w:p>
          <w:p w14:paraId="38268B86">
            <w:pPr>
              <w:pageBreakBefore w:val="0"/>
              <w:kinsoku/>
              <w:overflowPunct/>
              <w:topLinePunct w:val="0"/>
              <w:bidi w:val="0"/>
              <w:textAlignment w:val="auto"/>
              <w:rPr>
                <w:rFonts w:hint="default"/>
                <w:color w:val="auto"/>
                <w:highlight w:val="none"/>
              </w:rPr>
            </w:pPr>
            <w:r>
              <w:rPr>
                <w:rFonts w:hint="eastAsia"/>
                <w:color w:val="auto"/>
                <w:highlight w:val="none"/>
              </w:rPr>
              <w:t>（2）</w:t>
            </w:r>
            <w:r>
              <w:rPr>
                <w:rFonts w:hint="default"/>
                <w:color w:val="auto"/>
                <w:highlight w:val="none"/>
              </w:rPr>
              <w:t>环境质量底线</w:t>
            </w:r>
          </w:p>
          <w:p w14:paraId="0CED4D74">
            <w:pPr>
              <w:pageBreakBefore w:val="0"/>
              <w:kinsoku/>
              <w:overflowPunct/>
              <w:topLinePunct w:val="0"/>
              <w:bidi w:val="0"/>
              <w:textAlignment w:val="auto"/>
              <w:rPr>
                <w:rFonts w:hint="default"/>
                <w:color w:val="auto"/>
                <w:highlight w:val="none"/>
                <w:lang w:val="en-US"/>
              </w:rPr>
            </w:pPr>
            <w:r>
              <w:rPr>
                <w:rFonts w:hint="default" w:ascii="Times New Roman" w:hAnsi="Times New Roman" w:eastAsia="宋体" w:cs="Times New Roman"/>
                <w:color w:val="auto"/>
                <w:sz w:val="24"/>
                <w:szCs w:val="24"/>
                <w:highlight w:val="none"/>
                <w:lang w:bidi="ar"/>
              </w:rPr>
              <w:t>根据</w:t>
            </w:r>
            <w:r>
              <w:rPr>
                <w:rFonts w:hint="default" w:ascii="Times New Roman" w:hAnsi="Times New Roman" w:eastAsia="宋体" w:cs="Times New Roman"/>
                <w:snapToGrid w:val="0"/>
                <w:color w:val="auto"/>
                <w:kern w:val="0"/>
                <w:sz w:val="24"/>
                <w:szCs w:val="24"/>
                <w:highlight w:val="none"/>
              </w:rPr>
              <w:t>唐山市生态环境局发布的</w:t>
            </w:r>
            <w:r>
              <w:rPr>
                <w:rFonts w:hint="default" w:ascii="Times New Roman" w:hAnsi="Times New Roman" w:eastAsia="宋体" w:cs="Times New Roman"/>
                <w:bCs/>
                <w:snapToGrid w:val="0"/>
                <w:color w:val="auto"/>
                <w:kern w:val="0"/>
                <w:sz w:val="24"/>
                <w:szCs w:val="24"/>
                <w:highlight w:val="none"/>
                <w:lang w:val="zh-CN"/>
              </w:rPr>
              <w:t>《</w:t>
            </w:r>
            <w:r>
              <w:rPr>
                <w:rFonts w:hint="eastAsia" w:cs="Times New Roman"/>
                <w:bCs/>
                <w:snapToGrid w:val="0"/>
                <w:color w:val="auto"/>
                <w:kern w:val="0"/>
                <w:sz w:val="24"/>
                <w:szCs w:val="24"/>
                <w:highlight w:val="none"/>
                <w:lang w:val="zh-CN"/>
              </w:rPr>
              <w:t>2025年唐山市生态环境质量报告</w:t>
            </w:r>
            <w:r>
              <w:rPr>
                <w:rFonts w:hint="default" w:ascii="Times New Roman" w:hAnsi="Times New Roman" w:eastAsia="宋体" w:cs="Times New Roman"/>
                <w:snapToGrid w:val="0"/>
                <w:color w:val="auto"/>
                <w:kern w:val="0"/>
                <w:sz w:val="24"/>
                <w:szCs w:val="24"/>
                <w:highlight w:val="none"/>
                <w:lang w:val="zh-CN"/>
              </w:rPr>
              <w:t>》中唐山市空气质量数据</w:t>
            </w:r>
            <w:r>
              <w:rPr>
                <w:rFonts w:hint="eastAsia" w:ascii="Times New Roman" w:hAnsi="Times New Roman" w:eastAsia="宋体" w:cs="Times New Roman"/>
                <w:snapToGrid w:val="0"/>
                <w:color w:val="auto"/>
                <w:kern w:val="0"/>
                <w:sz w:val="24"/>
                <w:szCs w:val="24"/>
                <w:highlight w:val="none"/>
                <w:lang w:val="en-US" w:eastAsia="zh-CN"/>
              </w:rPr>
              <w:t>可知，</w:t>
            </w:r>
            <w:r>
              <w:rPr>
                <w:color w:val="auto"/>
                <w:szCs w:val="21"/>
                <w:highlight w:val="none"/>
                <w:lang w:bidi="ar"/>
              </w:rPr>
              <w:t>SO</w:t>
            </w:r>
            <w:r>
              <w:rPr>
                <w:color w:val="auto"/>
                <w:szCs w:val="21"/>
                <w:highlight w:val="none"/>
                <w:vertAlign w:val="subscript"/>
                <w:lang w:bidi="ar"/>
              </w:rPr>
              <w:t>2</w:t>
            </w:r>
            <w:r>
              <w:rPr>
                <w:rFonts w:hint="eastAsia"/>
                <w:color w:val="auto"/>
                <w:szCs w:val="21"/>
                <w:highlight w:val="none"/>
                <w:lang w:bidi="ar"/>
              </w:rPr>
              <w:t>、</w:t>
            </w:r>
            <w:r>
              <w:rPr>
                <w:color w:val="auto"/>
                <w:highlight w:val="none"/>
              </w:rPr>
              <w:t>NO</w:t>
            </w:r>
            <w:r>
              <w:rPr>
                <w:color w:val="auto"/>
                <w:highlight w:val="none"/>
                <w:vertAlign w:val="subscript"/>
              </w:rPr>
              <w:t>2</w:t>
            </w:r>
            <w:r>
              <w:rPr>
                <w:color w:val="auto"/>
                <w:szCs w:val="21"/>
                <w:highlight w:val="none"/>
                <w:lang w:bidi="ar"/>
              </w:rPr>
              <w:t>的年平均质量浓度达标，CO</w:t>
            </w:r>
            <w:r>
              <w:rPr>
                <w:rFonts w:hint="eastAsia"/>
                <w:color w:val="auto"/>
                <w:szCs w:val="21"/>
                <w:highlight w:val="none"/>
                <w:lang w:bidi="ar"/>
              </w:rPr>
              <w:t>的日均值第95百分位浓度</w:t>
            </w:r>
            <w:r>
              <w:rPr>
                <w:color w:val="auto"/>
                <w:szCs w:val="21"/>
                <w:highlight w:val="none"/>
                <w:lang w:bidi="ar"/>
              </w:rPr>
              <w:t>达标，PM</w:t>
            </w:r>
            <w:r>
              <w:rPr>
                <w:rFonts w:hint="eastAsia"/>
                <w:color w:val="auto"/>
                <w:szCs w:val="21"/>
                <w:highlight w:val="none"/>
                <w:vertAlign w:val="subscript"/>
                <w:lang w:val="en-US" w:eastAsia="zh-CN" w:bidi="ar"/>
              </w:rPr>
              <w:t>10</w:t>
            </w:r>
            <w:r>
              <w:rPr>
                <w:rFonts w:hint="eastAsia"/>
                <w:color w:val="auto"/>
                <w:szCs w:val="21"/>
                <w:highlight w:val="none"/>
                <w:vertAlign w:val="baseline"/>
                <w:lang w:val="en-US" w:eastAsia="zh-CN" w:bidi="ar"/>
              </w:rPr>
              <w:t>、</w:t>
            </w:r>
            <w:r>
              <w:rPr>
                <w:rFonts w:hint="eastAsia"/>
                <w:color w:val="auto"/>
                <w:szCs w:val="21"/>
                <w:highlight w:val="none"/>
                <w:lang w:val="en-US" w:eastAsia="zh-CN" w:bidi="ar"/>
              </w:rPr>
              <w:t>PM</w:t>
            </w:r>
            <w:r>
              <w:rPr>
                <w:rFonts w:hint="eastAsia"/>
                <w:color w:val="auto"/>
                <w:szCs w:val="21"/>
                <w:highlight w:val="none"/>
                <w:vertAlign w:val="subscript"/>
                <w:lang w:val="en-US" w:eastAsia="zh-CN" w:bidi="ar"/>
              </w:rPr>
              <w:t>2.5</w:t>
            </w:r>
            <w:r>
              <w:rPr>
                <w:color w:val="auto"/>
                <w:szCs w:val="21"/>
                <w:highlight w:val="none"/>
                <w:lang w:bidi="ar"/>
              </w:rPr>
              <w:t>的年平均质量浓度</w:t>
            </w:r>
            <w:r>
              <w:rPr>
                <w:rFonts w:hint="eastAsia"/>
                <w:color w:val="auto"/>
                <w:szCs w:val="21"/>
                <w:highlight w:val="none"/>
                <w:lang w:val="en-US" w:eastAsia="zh-CN" w:bidi="ar"/>
              </w:rPr>
              <w:t>满足监测期间执行标准</w:t>
            </w:r>
            <w:r>
              <w:rPr>
                <w:rFonts w:hint="eastAsia"/>
                <w:color w:val="auto"/>
                <w:highlight w:val="none"/>
                <w:lang w:eastAsia="zh-CN"/>
              </w:rPr>
              <w:t>《环境空气质量标准》（GB3095-2012）及其修改单中二级标准</w:t>
            </w:r>
            <w:r>
              <w:rPr>
                <w:rFonts w:hint="eastAsia"/>
                <w:color w:val="auto"/>
                <w:highlight w:val="none"/>
                <w:lang w:val="en-US" w:eastAsia="zh-CN"/>
              </w:rPr>
              <w:t>限值要求，不满足现行标准</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w:t>
            </w:r>
            <w:r>
              <w:rPr>
                <w:rFonts w:hint="eastAsia"/>
                <w:color w:val="auto"/>
                <w:highlight w:val="none"/>
                <w:lang w:val="en-US" w:eastAsia="zh-CN"/>
              </w:rPr>
              <w:t>中过渡阶段二级标准限值要求，</w:t>
            </w:r>
            <w:r>
              <w:rPr>
                <w:color w:val="auto"/>
                <w:szCs w:val="21"/>
                <w:highlight w:val="none"/>
                <w:lang w:bidi="ar"/>
              </w:rPr>
              <w:t>O</w:t>
            </w:r>
            <w:r>
              <w:rPr>
                <w:color w:val="auto"/>
                <w:szCs w:val="21"/>
                <w:highlight w:val="none"/>
                <w:vertAlign w:val="subscript"/>
                <w:lang w:bidi="ar"/>
              </w:rPr>
              <w:t>3</w:t>
            </w:r>
            <w:r>
              <w:rPr>
                <w:color w:val="auto"/>
                <w:szCs w:val="21"/>
                <w:highlight w:val="none"/>
                <w:lang w:bidi="ar"/>
              </w:rPr>
              <w:t>的日最大8h平均第90百分位浓度不达标</w:t>
            </w:r>
            <w:r>
              <w:rPr>
                <w:rFonts w:hint="default" w:ascii="Times New Roman" w:hAnsi="Times New Roman" w:eastAsia="宋体" w:cs="Times New Roman"/>
                <w:color w:val="auto"/>
                <w:sz w:val="24"/>
                <w:highlight w:val="none"/>
              </w:rPr>
              <w:t>，故项目所在区域环境空气质量不达标，属于不达标区。</w:t>
            </w:r>
            <w:r>
              <w:rPr>
                <w:rFonts w:hint="default"/>
                <w:color w:val="auto"/>
                <w:highlight w:val="none"/>
              </w:rPr>
              <w:t>唐山市属于大气污染重点区域，监测数据</w:t>
            </w:r>
            <w:r>
              <w:rPr>
                <w:rFonts w:hint="eastAsia"/>
                <w:color w:val="auto"/>
                <w:highlight w:val="none"/>
                <w:lang w:eastAsia="zh-CN"/>
              </w:rPr>
              <w:t>客观地反映</w:t>
            </w:r>
            <w:r>
              <w:rPr>
                <w:rFonts w:hint="default"/>
                <w:color w:val="auto"/>
                <w:highlight w:val="none"/>
              </w:rPr>
              <w:t>了唐山市环境空气质量的现状。分析超标原因为：随着唐山市工业的快速发展、能源消耗和机动车保有量的快速增长，排放的大量二氧化硫、氮氧化物与挥发性有机物导致细颗粒物等二次污染呈加剧态势。</w:t>
            </w:r>
            <w:r>
              <w:rPr>
                <w:rFonts w:hint="eastAsia" w:ascii="Times New Roman" w:hAnsi="Times New Roman" w:eastAsia="宋体" w:cs="Times New Roman"/>
                <w:color w:val="auto"/>
                <w:sz w:val="24"/>
                <w:szCs w:val="24"/>
                <w:highlight w:val="none"/>
              </w:rPr>
              <w:t>根据</w:t>
            </w:r>
            <w:r>
              <w:rPr>
                <w:rFonts w:hint="eastAsia" w:cs="Times New Roman"/>
                <w:color w:val="auto"/>
                <w:sz w:val="24"/>
                <w:szCs w:val="24"/>
                <w:highlight w:val="none"/>
                <w:lang w:val="en-US" w:eastAsia="zh-CN"/>
              </w:rPr>
              <w:t>唐山市人民政府</w:t>
            </w:r>
            <w:r>
              <w:rPr>
                <w:rFonts w:hint="eastAsia" w:ascii="Times New Roman" w:hAnsi="Times New Roman" w:eastAsia="宋体" w:cs="Times New Roman"/>
                <w:color w:val="auto"/>
                <w:sz w:val="24"/>
                <w:szCs w:val="24"/>
                <w:highlight w:val="none"/>
              </w:rPr>
              <w:t>关于印发《唐山市大气环境质量达标规划》的通知（</w:t>
            </w:r>
            <w:r>
              <w:rPr>
                <w:rFonts w:hint="eastAsia" w:cs="Times New Roman"/>
                <w:color w:val="auto"/>
                <w:sz w:val="24"/>
                <w:szCs w:val="24"/>
                <w:highlight w:val="none"/>
                <w:lang w:val="en-US" w:eastAsia="zh-CN"/>
              </w:rPr>
              <w:t>唐政字[</w:t>
            </w:r>
            <w:r>
              <w:rPr>
                <w:rFonts w:hint="eastAsia" w:ascii="Times New Roman" w:hAnsi="Times New Roman" w:eastAsia="宋体" w:cs="Times New Roman"/>
                <w:color w:val="auto"/>
                <w:sz w:val="24"/>
                <w:szCs w:val="24"/>
                <w:highlight w:val="none"/>
              </w:rPr>
              <w:t>202</w:t>
            </w:r>
            <w:r>
              <w:rPr>
                <w:rFonts w:hint="eastAsia" w:cs="Times New Roman"/>
                <w:color w:val="auto"/>
                <w:sz w:val="24"/>
                <w:szCs w:val="24"/>
                <w:highlight w:val="none"/>
                <w:lang w:val="en-US" w:eastAsia="zh-CN"/>
              </w:rPr>
              <w:t>5]81</w:t>
            </w:r>
            <w:r>
              <w:rPr>
                <w:rFonts w:hint="eastAsia" w:ascii="Times New Roman" w:hAnsi="Times New Roman" w:eastAsia="宋体" w:cs="Times New Roman"/>
                <w:color w:val="auto"/>
                <w:sz w:val="24"/>
                <w:szCs w:val="24"/>
                <w:highlight w:val="none"/>
              </w:rPr>
              <w:t>号）</w:t>
            </w:r>
            <w:r>
              <w:rPr>
                <w:rFonts w:hint="eastAsia" w:ascii="Times New Roman" w:hAnsi="Times New Roman" w:eastAsia="宋体" w:cs="Times New Roman"/>
                <w:color w:val="auto"/>
                <w:sz w:val="24"/>
                <w:szCs w:val="24"/>
                <w:highlight w:val="none"/>
                <w:lang w:eastAsia="zh-CN"/>
              </w:rPr>
              <w:t>可知，</w:t>
            </w:r>
            <w:r>
              <w:rPr>
                <w:rFonts w:hint="eastAsia" w:cs="Times New Roman"/>
                <w:color w:val="auto"/>
                <w:sz w:val="24"/>
                <w:szCs w:val="24"/>
                <w:highlight w:val="none"/>
                <w:lang w:val="en-US" w:eastAsia="zh-CN"/>
              </w:rPr>
              <w:t>采取</w:t>
            </w:r>
            <w:r>
              <w:rPr>
                <w:rFonts w:hint="eastAsia" w:ascii="Times New Roman" w:hAnsi="Times New Roman" w:eastAsia="宋体" w:cs="Times New Roman"/>
                <w:color w:val="auto"/>
                <w:sz w:val="24"/>
                <w:szCs w:val="24"/>
                <w:highlight w:val="none"/>
                <w:lang w:eastAsia="zh-CN"/>
              </w:rPr>
              <w:t>推动产业结构、能源结构、交通运输结构优化调整，深化重点行业深度治理，精细化管控面源污染，深入开展多污染物减排，全面系统实施污染过程应急减排，加强支撑能力建设</w:t>
            </w:r>
            <w:r>
              <w:rPr>
                <w:rFonts w:hint="eastAsia" w:cs="Times New Roman"/>
                <w:color w:val="auto"/>
                <w:sz w:val="24"/>
                <w:szCs w:val="24"/>
                <w:highlight w:val="none"/>
                <w:lang w:val="en-US" w:eastAsia="zh-CN"/>
              </w:rPr>
              <w:t>等措施</w:t>
            </w:r>
            <w:r>
              <w:rPr>
                <w:rFonts w:hint="eastAsia" w:cs="Times New Roman"/>
                <w:color w:val="auto"/>
                <w:sz w:val="24"/>
                <w:szCs w:val="24"/>
                <w:highlight w:val="none"/>
                <w:lang w:eastAsia="zh-CN"/>
              </w:rPr>
              <w:t>，推动大气环境质量持续有效改善，项目所在区域空气质量将会逐步得到改善</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kern w:val="0"/>
                <w:sz w:val="24"/>
                <w:highlight w:val="none"/>
                <w:lang w:val="en-US" w:eastAsia="zh-CN"/>
              </w:rPr>
              <w:t>地下水环境质量满足《地下水质量标准》（GB/T 14848-2017）中</w:t>
            </w:r>
            <w:r>
              <w:rPr>
                <w:rFonts w:hint="default" w:ascii="Times New Roman" w:hAnsi="Times New Roman" w:cs="Times New Roman"/>
                <w:color w:val="auto"/>
                <w:kern w:val="0"/>
                <w:sz w:val="24"/>
                <w:highlight w:val="none"/>
                <w:lang w:val="en-US" w:eastAsia="zh-CN"/>
              </w:rPr>
              <w:t>Ⅲ</w:t>
            </w:r>
            <w:r>
              <w:rPr>
                <w:rFonts w:hint="eastAsia" w:cs="Times New Roman"/>
                <w:color w:val="auto"/>
                <w:kern w:val="0"/>
                <w:sz w:val="24"/>
                <w:highlight w:val="none"/>
                <w:lang w:val="en-US" w:eastAsia="zh-CN"/>
              </w:rPr>
              <w:t>类标准区水质，土壤环境质量达到《土壤环境质量 农用地土壤污染风险管控标准（试行）》（GB15618-2018）中风险筛选值。项目采取降噪措施后，</w:t>
            </w:r>
            <w:r>
              <w:rPr>
                <w:rFonts w:hint="default" w:ascii="Times New Roman" w:hAnsi="Times New Roman" w:eastAsia="宋体" w:cs="Times New Roman"/>
                <w:color w:val="auto"/>
                <w:sz w:val="24"/>
                <w:szCs w:val="24"/>
                <w:highlight w:val="none"/>
                <w:lang w:val="zh-CN" w:eastAsia="zh-CN"/>
              </w:rPr>
              <w:t>声环境质量</w:t>
            </w:r>
            <w:r>
              <w:rPr>
                <w:rFonts w:hint="eastAsia" w:cs="Times New Roman"/>
                <w:color w:val="auto"/>
                <w:sz w:val="24"/>
                <w:szCs w:val="24"/>
                <w:highlight w:val="none"/>
                <w:lang w:val="en-US" w:eastAsia="zh-CN"/>
              </w:rPr>
              <w:t>满足</w:t>
            </w:r>
            <w:r>
              <w:rPr>
                <w:rFonts w:hint="default" w:ascii="Times New Roman" w:hAnsi="Times New Roman" w:eastAsia="宋体" w:cs="Times New Roman"/>
                <w:color w:val="auto"/>
                <w:sz w:val="24"/>
                <w:szCs w:val="24"/>
                <w:highlight w:val="none"/>
                <w:lang w:val="zh-CN" w:eastAsia="zh-CN"/>
              </w:rPr>
              <w:t>《声环境质量标准》（GB3096-2008）</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zh-CN" w:eastAsia="zh-CN"/>
              </w:rPr>
              <w:t>类区标准</w:t>
            </w:r>
            <w:r>
              <w:rPr>
                <w:rFonts w:hint="eastAsia" w:cs="Times New Roman"/>
                <w:color w:val="auto"/>
                <w:sz w:val="24"/>
                <w:szCs w:val="24"/>
                <w:highlight w:val="none"/>
                <w:lang w:val="en-US" w:eastAsia="zh-CN"/>
              </w:rPr>
              <w:t>要求。</w:t>
            </w:r>
          </w:p>
          <w:p w14:paraId="2E6BA0FC">
            <w:pPr>
              <w:bidi w:val="0"/>
              <w:rPr>
                <w:rFonts w:hint="default"/>
                <w:color w:val="auto"/>
                <w:highlight w:val="none"/>
              </w:rPr>
            </w:pPr>
            <w:r>
              <w:rPr>
                <w:rFonts w:hint="default"/>
                <w:color w:val="auto"/>
                <w:highlight w:val="none"/>
              </w:rPr>
              <w:t>本项目生产过程中，废气</w:t>
            </w:r>
            <w:r>
              <w:rPr>
                <w:rFonts w:hint="default"/>
                <w:color w:val="auto"/>
                <w:highlight w:val="none"/>
                <w:lang w:val="en-US" w:eastAsia="zh-CN"/>
              </w:rPr>
              <w:t>达标排放</w:t>
            </w:r>
            <w:r>
              <w:rPr>
                <w:rFonts w:hint="eastAsia"/>
                <w:color w:val="auto"/>
                <w:highlight w:val="none"/>
                <w:lang w:eastAsia="zh-CN"/>
              </w:rPr>
              <w:t>；</w:t>
            </w:r>
            <w:r>
              <w:rPr>
                <w:rFonts w:hint="eastAsia"/>
                <w:color w:val="auto"/>
                <w:highlight w:val="none"/>
                <w:lang w:val="en-US" w:eastAsia="zh-CN"/>
              </w:rPr>
              <w:t>洗车废水沉淀后循环使用，生活污水泼洒抑尘，堆填（砌）区淋溶水沉淀处理后用于场区抑尘</w:t>
            </w:r>
            <w:r>
              <w:rPr>
                <w:rFonts w:hint="eastAsia"/>
                <w:color w:val="auto"/>
                <w:highlight w:val="none"/>
                <w:lang w:eastAsia="zh-CN"/>
              </w:rPr>
              <w:t>；</w:t>
            </w:r>
            <w:r>
              <w:rPr>
                <w:rFonts w:hint="eastAsia"/>
                <w:color w:val="auto"/>
                <w:highlight w:val="none"/>
                <w:lang w:val="en-US" w:eastAsia="zh-CN"/>
              </w:rPr>
              <w:t>采取降噪措施后，场界噪声满足标准要求；</w:t>
            </w:r>
            <w:r>
              <w:rPr>
                <w:rFonts w:hint="default"/>
                <w:color w:val="auto"/>
                <w:highlight w:val="none"/>
              </w:rPr>
              <w:t>固体废物均妥善处置</w:t>
            </w:r>
            <w:r>
              <w:rPr>
                <w:rFonts w:hint="eastAsia"/>
                <w:color w:val="auto"/>
                <w:highlight w:val="none"/>
                <w:lang w:eastAsia="zh-CN"/>
              </w:rPr>
              <w:t>；</w:t>
            </w:r>
            <w:r>
              <w:rPr>
                <w:rFonts w:hint="eastAsia"/>
                <w:color w:val="auto"/>
                <w:highlight w:val="none"/>
                <w:lang w:val="en-US" w:eastAsia="zh-CN"/>
              </w:rPr>
              <w:t>采取防渗措施，可阻断对地下水、土壤污染途径，</w:t>
            </w:r>
            <w:r>
              <w:rPr>
                <w:rFonts w:hint="default"/>
                <w:color w:val="auto"/>
                <w:highlight w:val="none"/>
              </w:rPr>
              <w:t>不会产生二次污染</w:t>
            </w:r>
            <w:r>
              <w:rPr>
                <w:rFonts w:hint="eastAsia"/>
                <w:color w:val="auto"/>
                <w:highlight w:val="none"/>
                <w:lang w:eastAsia="zh-CN"/>
              </w:rPr>
              <w:t>。</w:t>
            </w:r>
            <w:r>
              <w:rPr>
                <w:rFonts w:hint="default"/>
                <w:color w:val="auto"/>
                <w:highlight w:val="none"/>
              </w:rPr>
              <w:t>因此，本项目符合环境质量底线的要求。</w:t>
            </w:r>
          </w:p>
          <w:p w14:paraId="79A180C4">
            <w:pPr>
              <w:bidi w:val="0"/>
              <w:rPr>
                <w:rFonts w:hint="default"/>
                <w:color w:val="auto"/>
                <w:highlight w:val="none"/>
              </w:rPr>
            </w:pPr>
            <w:r>
              <w:rPr>
                <w:rFonts w:hint="eastAsia"/>
                <w:color w:val="auto"/>
                <w:highlight w:val="none"/>
              </w:rPr>
              <w:t>（3）</w:t>
            </w:r>
            <w:r>
              <w:rPr>
                <w:rFonts w:hint="default"/>
                <w:color w:val="auto"/>
                <w:highlight w:val="none"/>
              </w:rPr>
              <w:t>资源利用上线</w:t>
            </w:r>
          </w:p>
          <w:p w14:paraId="54F57EBF">
            <w:pPr>
              <w:pageBreakBefore w:val="0"/>
              <w:kinsoku/>
              <w:overflowPunct/>
              <w:topLinePunct w:val="0"/>
              <w:bidi w:val="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highlight w:val="none"/>
              </w:rPr>
              <w:t>资源是环境的载体，资源利用上线是各地区能源、水、土地等资源消耗不得突破的</w:t>
            </w:r>
            <w:r>
              <w:rPr>
                <w:rFonts w:hint="eastAsia" w:ascii="宋体" w:hAnsi="宋体" w:eastAsia="宋体" w:cs="宋体"/>
                <w:color w:val="auto"/>
                <w:highlight w:val="none"/>
              </w:rPr>
              <w:t>“天花板”</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本项目生活用水外购桶装水，迁安市建勇矿业有限公司为本项目提供场区抑尘用水、洗车用水供水服务</w:t>
            </w:r>
            <w:r>
              <w:rPr>
                <w:rFonts w:hint="eastAsia" w:ascii="Times New Roman" w:hAnsi="Times New Roman" w:eastAsia="宋体" w:cs="Times New Roman"/>
                <w:color w:val="auto"/>
                <w:sz w:val="24"/>
                <w:szCs w:val="24"/>
                <w:highlight w:val="none"/>
                <w:lang w:val="en-US" w:eastAsia="zh-CN" w:bidi="ar"/>
              </w:rPr>
              <w:t>，</w:t>
            </w:r>
            <w:r>
              <w:rPr>
                <w:rFonts w:hint="eastAsia" w:cs="Times New Roman"/>
                <w:color w:val="auto"/>
                <w:sz w:val="24"/>
                <w:szCs w:val="24"/>
                <w:highlight w:val="none"/>
                <w:lang w:val="en-US" w:eastAsia="zh-CN" w:bidi="ar"/>
              </w:rPr>
              <w:t>可满足项目用水需求；</w:t>
            </w:r>
            <w:r>
              <w:rPr>
                <w:rFonts w:hint="eastAsia" w:ascii="Times New Roman" w:hAnsi="Times New Roman" w:eastAsia="宋体" w:cs="Times New Roman"/>
                <w:color w:val="auto"/>
                <w:sz w:val="24"/>
                <w:szCs w:val="24"/>
                <w:highlight w:val="none"/>
                <w:lang w:eastAsia="zh-CN" w:bidi="ar"/>
              </w:rPr>
              <w:t>用</w:t>
            </w:r>
            <w:r>
              <w:rPr>
                <w:rFonts w:hint="default" w:ascii="Times New Roman" w:hAnsi="Times New Roman" w:eastAsia="宋体" w:cs="Times New Roman"/>
                <w:color w:val="auto"/>
                <w:sz w:val="24"/>
                <w:szCs w:val="24"/>
                <w:highlight w:val="none"/>
                <w:lang w:bidi="ar"/>
              </w:rPr>
              <w:t>电由本地电网供给，可满足项目用电需求</w:t>
            </w:r>
            <w:r>
              <w:rPr>
                <w:rFonts w:hint="eastAsia" w:cs="Times New Roman"/>
                <w:color w:val="auto"/>
                <w:sz w:val="24"/>
                <w:szCs w:val="24"/>
                <w:highlight w:val="none"/>
                <w:lang w:eastAsia="zh-CN" w:bidi="ar"/>
              </w:rPr>
              <w:t>；</w:t>
            </w:r>
            <w:r>
              <w:rPr>
                <w:rFonts w:hint="eastAsia" w:cs="Times New Roman"/>
                <w:color w:val="auto"/>
                <w:sz w:val="24"/>
                <w:szCs w:val="24"/>
                <w:highlight w:val="none"/>
                <w:lang w:val="en-US" w:eastAsia="zh-CN" w:bidi="ar"/>
              </w:rPr>
              <w:t>本项目依托迁安市夏官营镇罗庄子村西南现有</w:t>
            </w:r>
            <w:r>
              <w:rPr>
                <w:rFonts w:hint="eastAsia"/>
                <w:color w:val="auto"/>
                <w:sz w:val="24"/>
                <w:szCs w:val="24"/>
                <w:highlight w:val="none"/>
                <w:lang w:val="en-US" w:eastAsia="zh-CN"/>
              </w:rPr>
              <w:t>废弃低洼坑塘</w:t>
            </w:r>
            <w:r>
              <w:rPr>
                <w:rFonts w:hint="eastAsia" w:cs="Times New Roman"/>
                <w:color w:val="auto"/>
                <w:sz w:val="24"/>
                <w:szCs w:val="24"/>
                <w:highlight w:val="none"/>
                <w:lang w:val="en-US" w:eastAsia="zh-CN" w:bidi="ar"/>
              </w:rPr>
              <w:t>堆填建筑垃圾，</w:t>
            </w:r>
            <w:r>
              <w:rPr>
                <w:rFonts w:hint="default" w:cs="Times New Roman"/>
                <w:color w:val="auto"/>
                <w:sz w:val="24"/>
                <w:szCs w:val="24"/>
                <w:highlight w:val="none"/>
                <w:lang w:val="en-US" w:eastAsia="zh-CN" w:bidi="ar"/>
              </w:rPr>
              <w:t>堆</w:t>
            </w:r>
            <w:r>
              <w:rPr>
                <w:rFonts w:hint="eastAsia" w:cs="Times New Roman"/>
                <w:color w:val="auto"/>
                <w:sz w:val="24"/>
                <w:szCs w:val="24"/>
                <w:highlight w:val="none"/>
                <w:lang w:val="en-US" w:eastAsia="zh-CN" w:bidi="ar"/>
              </w:rPr>
              <w:t>填</w:t>
            </w:r>
            <w:r>
              <w:rPr>
                <w:rFonts w:hint="default" w:cs="Times New Roman"/>
                <w:color w:val="auto"/>
                <w:sz w:val="24"/>
                <w:szCs w:val="24"/>
                <w:highlight w:val="none"/>
                <w:lang w:val="en-US" w:eastAsia="zh-CN" w:bidi="ar"/>
              </w:rPr>
              <w:t>封场后</w:t>
            </w:r>
            <w:r>
              <w:rPr>
                <w:rFonts w:hint="eastAsia" w:cs="Times New Roman"/>
                <w:color w:val="auto"/>
                <w:sz w:val="24"/>
                <w:szCs w:val="24"/>
                <w:highlight w:val="none"/>
                <w:lang w:val="en-US" w:eastAsia="zh-CN" w:bidi="ar"/>
              </w:rPr>
              <w:t>根据要求经有关</w:t>
            </w:r>
            <w:r>
              <w:rPr>
                <w:rFonts w:hint="default" w:cs="Times New Roman"/>
                <w:color w:val="auto"/>
                <w:sz w:val="24"/>
                <w:szCs w:val="24"/>
                <w:highlight w:val="none"/>
                <w:lang w:val="en-US" w:eastAsia="zh-CN" w:bidi="ar"/>
              </w:rPr>
              <w:t>部门鉴定</w:t>
            </w:r>
            <w:r>
              <w:rPr>
                <w:rFonts w:hint="eastAsia" w:cs="Times New Roman"/>
                <w:color w:val="auto"/>
                <w:sz w:val="24"/>
                <w:szCs w:val="24"/>
                <w:highlight w:val="none"/>
                <w:lang w:val="en-US" w:eastAsia="zh-CN" w:bidi="ar"/>
              </w:rPr>
              <w:t>满足相关要求后用于</w:t>
            </w:r>
            <w:r>
              <w:rPr>
                <w:rFonts w:hint="eastAsia" w:ascii="宋体" w:hAnsi="宋体" w:cs="宋体"/>
                <w:color w:val="auto"/>
                <w:sz w:val="24"/>
                <w:szCs w:val="24"/>
                <w:highlight w:val="none"/>
                <w:lang w:val="en-US" w:eastAsia="zh-CN"/>
              </w:rPr>
              <w:t>农业开发（养殖、种植、苗圃、园艺等）</w:t>
            </w:r>
            <w:r>
              <w:rPr>
                <w:rFonts w:hint="default" w:ascii="Times New Roman" w:hAnsi="Times New Roman" w:eastAsia="宋体" w:cs="Times New Roman"/>
                <w:color w:val="auto"/>
                <w:sz w:val="24"/>
                <w:szCs w:val="24"/>
                <w:highlight w:val="none"/>
                <w:lang w:bidi="ar"/>
              </w:rPr>
              <w:t>。因此，本项目符合资源利用上线要求。</w:t>
            </w:r>
          </w:p>
          <w:p w14:paraId="4F029C43">
            <w:pPr>
              <w:bidi w:val="0"/>
              <w:rPr>
                <w:rFonts w:hint="default"/>
                <w:color w:val="auto"/>
                <w:highlight w:val="none"/>
              </w:rPr>
            </w:pPr>
            <w:r>
              <w:rPr>
                <w:rFonts w:hint="eastAsia"/>
                <w:color w:val="auto"/>
                <w:highlight w:val="none"/>
              </w:rPr>
              <w:t>（4）</w:t>
            </w:r>
            <w:r>
              <w:rPr>
                <w:rFonts w:hint="default"/>
                <w:color w:val="auto"/>
                <w:highlight w:val="none"/>
              </w:rPr>
              <w:t>环境准入负面清单</w:t>
            </w:r>
          </w:p>
          <w:p w14:paraId="74668426">
            <w:pPr>
              <w:bidi w:val="0"/>
              <w:rPr>
                <w:rFonts w:hint="default"/>
                <w:color w:val="auto"/>
                <w:highlight w:val="none"/>
              </w:rPr>
            </w:pPr>
            <w:r>
              <w:rPr>
                <w:rFonts w:hint="default"/>
                <w:color w:val="auto"/>
                <w:highlight w:val="none"/>
              </w:rPr>
              <w:t>环境准入负面清单是基于生态保护红线、环境质量底线和资源利用上线，以清单方式列出的禁止、限制等差别化环境准入条件和要求。要在规划环评清单式管理试点的基础上，从布局选址、资源利用效率、资源配置方式等方面入手，制定环境准入负面清单，充分发挥负面清单对产业发展和项目准入的指导和约束作用。</w:t>
            </w:r>
          </w:p>
          <w:p w14:paraId="341F4FE7">
            <w:pPr>
              <w:bidi w:val="0"/>
              <w:rPr>
                <w:rFonts w:hint="eastAsia"/>
                <w:color w:val="auto"/>
                <w:sz w:val="24"/>
                <w:szCs w:val="24"/>
                <w:highlight w:val="none"/>
                <w:lang w:val="en-US" w:eastAsia="zh-CN"/>
              </w:rPr>
            </w:pPr>
            <w:r>
              <w:rPr>
                <w:rFonts w:hint="eastAsia" w:ascii="Times New Roman" w:hAnsi="Times New Roman" w:eastAsia="宋体" w:cs="Times New Roman"/>
                <w:color w:val="auto"/>
                <w:sz w:val="24"/>
                <w:highlight w:val="none"/>
              </w:rPr>
              <w:t>本项目</w:t>
            </w:r>
            <w:r>
              <w:rPr>
                <w:rFonts w:hint="eastAsia" w:ascii="Times New Roman" w:hAnsi="Times New Roman" w:eastAsia="宋体" w:cs="Times New Roman"/>
                <w:color w:val="auto"/>
                <w:sz w:val="24"/>
                <w:highlight w:val="none"/>
                <w:lang w:val="en-US" w:eastAsia="zh-CN"/>
              </w:rPr>
              <w:t>不属于《</w:t>
            </w:r>
            <w:r>
              <w:rPr>
                <w:rFonts w:hint="eastAsia" w:cs="Times New Roman"/>
                <w:color w:val="auto"/>
                <w:sz w:val="24"/>
                <w:highlight w:val="none"/>
                <w:lang w:val="en-US" w:eastAsia="zh-CN"/>
              </w:rPr>
              <w:t>市场准入负面清单（2025年版）</w:t>
            </w:r>
            <w:r>
              <w:rPr>
                <w:rFonts w:hint="eastAsia" w:ascii="Times New Roman" w:hAnsi="Times New Roman" w:eastAsia="宋体" w:cs="Times New Roman"/>
                <w:color w:val="auto"/>
                <w:sz w:val="24"/>
                <w:highlight w:val="none"/>
                <w:lang w:val="en-US" w:eastAsia="zh-CN"/>
              </w:rPr>
              <w:t>》中禁止类项目；</w:t>
            </w:r>
            <w:r>
              <w:rPr>
                <w:rFonts w:hint="eastAsia" w:cs="Times New Roman"/>
                <w:color w:val="auto"/>
                <w:sz w:val="24"/>
                <w:highlight w:val="none"/>
                <w:lang w:val="en-US" w:eastAsia="zh-CN"/>
              </w:rPr>
              <w:t>属于</w:t>
            </w:r>
            <w:r>
              <w:rPr>
                <w:rFonts w:ascii="Times New Roman" w:hAnsi="Times New Roman" w:eastAsia="宋体" w:cs="Times New Roman"/>
                <w:color w:val="auto"/>
                <w:sz w:val="24"/>
                <w:highlight w:val="none"/>
              </w:rPr>
              <w:t>《产业结构调整指导目录（20</w:t>
            </w:r>
            <w:r>
              <w:rPr>
                <w:rFonts w:hint="eastAsia" w:cs="Times New Roman"/>
                <w:color w:val="auto"/>
                <w:sz w:val="24"/>
                <w:highlight w:val="none"/>
                <w:lang w:val="en-US" w:eastAsia="zh-CN"/>
              </w:rPr>
              <w:t>24</w:t>
            </w:r>
            <w:r>
              <w:rPr>
                <w:rFonts w:ascii="Times New Roman" w:hAnsi="Times New Roman" w:eastAsia="宋体" w:cs="Times New Roman"/>
                <w:color w:val="auto"/>
                <w:sz w:val="24"/>
                <w:highlight w:val="none"/>
              </w:rPr>
              <w:t>年本）》中</w:t>
            </w:r>
            <w:r>
              <w:rPr>
                <w:rFonts w:hint="eastAsia" w:cs="Times New Roman"/>
                <w:color w:val="auto"/>
                <w:sz w:val="24"/>
                <w:highlight w:val="none"/>
                <w:lang w:eastAsia="zh-CN"/>
              </w:rPr>
              <w:t>“</w:t>
            </w:r>
            <w:r>
              <w:rPr>
                <w:rFonts w:hint="eastAsia" w:cs="Times New Roman"/>
                <w:color w:val="auto"/>
                <w:sz w:val="24"/>
                <w:highlight w:val="none"/>
                <w:lang w:val="en-US" w:eastAsia="zh-CN"/>
              </w:rPr>
              <w:t>第一类 鼓励类—四十二、环境保护与资源节约综合利用—3.城镇污水垃圾处理：城镇垃圾、农村生活垃圾、城镇生活污水、农村生活污水、污泥及其他固体废弃物减量化、资源化、无害化处理和综合利用工程</w:t>
            </w:r>
            <w:r>
              <w:rPr>
                <w:rFonts w:hint="eastAsia" w:cs="Times New Roman"/>
                <w:color w:val="auto"/>
                <w:sz w:val="24"/>
                <w:highlight w:val="none"/>
                <w:lang w:eastAsia="zh-CN"/>
              </w:rPr>
              <w:t>”</w:t>
            </w:r>
            <w:r>
              <w:rPr>
                <w:rFonts w:ascii="Times New Roman" w:hAnsi="Times New Roman" w:eastAsia="宋体" w:cs="Times New Roman"/>
                <w:color w:val="auto"/>
                <w:sz w:val="24"/>
                <w:highlight w:val="none"/>
              </w:rPr>
              <w:t>之列，</w:t>
            </w:r>
            <w:r>
              <w:rPr>
                <w:rFonts w:hint="eastAsia" w:ascii="Times New Roman" w:hAnsi="Times New Roman" w:eastAsia="宋体" w:cs="Times New Roman"/>
                <w:color w:val="auto"/>
                <w:sz w:val="24"/>
                <w:highlight w:val="none"/>
                <w:lang w:val="en-US" w:eastAsia="zh-CN"/>
              </w:rPr>
              <w:t>并</w:t>
            </w:r>
            <w:r>
              <w:rPr>
                <w:rFonts w:hint="eastAsia"/>
                <w:color w:val="auto"/>
                <w:sz w:val="24"/>
                <w:szCs w:val="24"/>
                <w:highlight w:val="none"/>
                <w:lang w:val="en-US" w:eastAsia="zh-CN"/>
              </w:rPr>
              <w:t>且本项目已取得迁安市行政审批局备案信息（备案编号：迁行审投资备字[2026]209号），因此，本项目符合国家及地方产业政策要求。</w:t>
            </w:r>
          </w:p>
          <w:p w14:paraId="70A99389">
            <w:pPr>
              <w:bidi w:val="0"/>
              <w:rPr>
                <w:rFonts w:hint="default"/>
                <w:color w:val="auto"/>
                <w:sz w:val="24"/>
                <w:szCs w:val="24"/>
                <w:highlight w:val="none"/>
                <w:lang w:val="en-US" w:eastAsia="zh-CN"/>
              </w:rPr>
            </w:pPr>
            <w:r>
              <w:rPr>
                <w:rFonts w:hint="eastAsia"/>
                <w:color w:val="auto"/>
                <w:sz w:val="24"/>
                <w:szCs w:val="24"/>
                <w:highlight w:val="none"/>
                <w:lang w:val="en-US" w:eastAsia="zh-CN"/>
              </w:rPr>
              <w:t>综上，本项目符合生态环境分区管控要求。</w:t>
            </w:r>
          </w:p>
          <w:p w14:paraId="28454E06">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b/>
                <w:bCs/>
                <w:color w:val="auto"/>
                <w:sz w:val="24"/>
                <w:szCs w:val="24"/>
                <w:highlight w:val="none"/>
              </w:rPr>
            </w:pPr>
            <w:r>
              <w:rPr>
                <w:rFonts w:hint="eastAsia"/>
                <w:b/>
                <w:bCs/>
                <w:color w:val="auto"/>
                <w:sz w:val="24"/>
                <w:szCs w:val="24"/>
                <w:highlight w:val="none"/>
                <w:lang w:val="en-US" w:eastAsia="zh-CN"/>
              </w:rPr>
              <w:t>4.与《唐山市生态环境准入清单》符合性</w:t>
            </w:r>
            <w:r>
              <w:rPr>
                <w:rFonts w:hint="default"/>
                <w:b/>
                <w:bCs/>
                <w:color w:val="auto"/>
                <w:sz w:val="24"/>
                <w:szCs w:val="24"/>
                <w:highlight w:val="none"/>
              </w:rPr>
              <w:t>分析</w:t>
            </w:r>
          </w:p>
          <w:p w14:paraId="44D716D6">
            <w:pPr>
              <w:bidi w:val="0"/>
              <w:rPr>
                <w:rFonts w:hint="default"/>
                <w:color w:val="auto"/>
                <w:highlight w:val="none"/>
              </w:rPr>
            </w:pPr>
            <w:r>
              <w:rPr>
                <w:rFonts w:hint="eastAsia"/>
                <w:color w:val="auto"/>
                <w:highlight w:val="none"/>
                <w:lang w:val="en-US" w:eastAsia="zh-CN"/>
              </w:rPr>
              <w:t>根据《唐山市生态环境准入清单》（2023年版）</w:t>
            </w:r>
            <w:r>
              <w:rPr>
                <w:rFonts w:hint="eastAsia" w:ascii="Times New Roman" w:eastAsia="宋体"/>
                <w:color w:val="auto"/>
                <w:highlight w:val="none"/>
                <w:lang w:val="en-US" w:eastAsia="zh-CN"/>
              </w:rPr>
              <w:t>，本项目与其对比分析如下</w:t>
            </w:r>
            <w:r>
              <w:rPr>
                <w:rFonts w:hint="eastAsia"/>
                <w:color w:val="auto"/>
                <w:highlight w:val="none"/>
                <w:lang w:val="en-US" w:eastAsia="zh-CN"/>
              </w:rPr>
              <w:t>：</w:t>
            </w:r>
          </w:p>
          <w:p w14:paraId="30B931A1">
            <w:pPr>
              <w:bidi w:val="0"/>
              <w:rPr>
                <w:rFonts w:hint="eastAsia"/>
                <w:color w:val="auto"/>
                <w:highlight w:val="none"/>
                <w:lang w:val="en-US" w:eastAsia="zh-CN"/>
              </w:rPr>
            </w:pPr>
            <w:r>
              <w:rPr>
                <w:rFonts w:hint="eastAsia"/>
                <w:color w:val="auto"/>
                <w:highlight w:val="none"/>
                <w:lang w:val="en-US" w:eastAsia="zh-CN"/>
              </w:rPr>
              <w:t>本项目</w:t>
            </w:r>
            <w:r>
              <w:rPr>
                <w:rFonts w:hint="default"/>
                <w:color w:val="auto"/>
                <w:highlight w:val="none"/>
              </w:rPr>
              <w:t>位于</w:t>
            </w:r>
            <w:r>
              <w:rPr>
                <w:rFonts w:hint="eastAsia"/>
                <w:color w:val="auto"/>
                <w:highlight w:val="none"/>
                <w:lang w:val="en-US" w:eastAsia="zh-CN"/>
              </w:rPr>
              <w:t>迁安市夏官营镇罗庄子村西南</w:t>
            </w:r>
            <w:r>
              <w:rPr>
                <w:rFonts w:hint="eastAsia"/>
                <w:color w:val="auto"/>
                <w:highlight w:val="none"/>
                <w:lang w:eastAsia="zh-CN"/>
              </w:rPr>
              <w:t>，</w:t>
            </w:r>
            <w:r>
              <w:rPr>
                <w:rFonts w:hint="eastAsia"/>
                <w:color w:val="auto"/>
                <w:highlight w:val="none"/>
                <w:lang w:val="en-US" w:eastAsia="zh-CN"/>
              </w:rPr>
              <w:t>不在生态保护红线区、自然保护区、风景名胜区、森林公园、湿地公园、地质公园、水产种质资源保护区、自然文化遗产、湿地空间、饮用水地下水源保护区、一般生态空间范围内，本项目所在区域属于一般管控单元，项目与唐山市陆域环境管控单元生态环境准入清单符合性分析见表1-1至表1-5。</w:t>
            </w:r>
          </w:p>
          <w:p w14:paraId="029218A4">
            <w:pPr>
              <w:ind w:left="0" w:leftChars="0" w:firstLine="0" w:firstLineChars="0"/>
              <w:rPr>
                <w:rFonts w:hint="eastAsia"/>
                <w:color w:val="auto"/>
                <w:highlight w:val="none"/>
                <w:lang w:val="en-US" w:eastAsia="zh-CN"/>
              </w:rPr>
            </w:pPr>
          </w:p>
          <w:p w14:paraId="59ECB02F">
            <w:pPr>
              <w:ind w:left="0" w:leftChars="0" w:firstLine="0" w:firstLineChars="0"/>
              <w:rPr>
                <w:rFonts w:hint="eastAsia"/>
                <w:color w:val="auto"/>
                <w:highlight w:val="none"/>
                <w:lang w:val="en-US" w:eastAsia="zh-CN"/>
              </w:rPr>
            </w:pPr>
          </w:p>
          <w:p w14:paraId="25BDED23">
            <w:pPr>
              <w:ind w:left="0" w:leftChars="0" w:firstLine="0" w:firstLineChars="0"/>
              <w:rPr>
                <w:rFonts w:hint="eastAsia"/>
                <w:color w:val="auto"/>
                <w:highlight w:val="none"/>
                <w:lang w:val="en-US" w:eastAsia="zh-CN"/>
              </w:rPr>
            </w:pPr>
          </w:p>
          <w:p w14:paraId="5F173723">
            <w:pPr>
              <w:ind w:left="0" w:leftChars="0" w:firstLine="0" w:firstLineChars="0"/>
              <w:rPr>
                <w:rFonts w:hint="eastAsia"/>
                <w:color w:val="auto"/>
                <w:highlight w:val="none"/>
                <w:lang w:val="en-US" w:eastAsia="zh-CN"/>
              </w:rPr>
            </w:pPr>
          </w:p>
          <w:p w14:paraId="03ABFAF0">
            <w:pPr>
              <w:ind w:left="0" w:leftChars="0" w:firstLine="0" w:firstLineChars="0"/>
              <w:rPr>
                <w:rFonts w:hint="eastAsia"/>
                <w:color w:val="auto"/>
                <w:highlight w:val="none"/>
                <w:lang w:val="en-US" w:eastAsia="zh-CN"/>
              </w:rPr>
            </w:pPr>
          </w:p>
          <w:p w14:paraId="04853E85">
            <w:pPr>
              <w:ind w:left="0" w:leftChars="0" w:firstLine="0" w:firstLineChars="0"/>
              <w:rPr>
                <w:rFonts w:hint="eastAsia"/>
                <w:color w:val="auto"/>
                <w:highlight w:val="none"/>
                <w:lang w:val="en-US" w:eastAsia="zh-CN"/>
              </w:rPr>
            </w:pPr>
          </w:p>
          <w:p w14:paraId="2D161CCB">
            <w:pPr>
              <w:ind w:left="0" w:leftChars="0" w:firstLine="0" w:firstLineChars="0"/>
              <w:rPr>
                <w:rFonts w:hint="eastAsia"/>
                <w:color w:val="auto"/>
                <w:highlight w:val="none"/>
                <w:lang w:val="en-US" w:eastAsia="zh-CN"/>
              </w:rPr>
            </w:pPr>
          </w:p>
          <w:p w14:paraId="2A7B5DFF">
            <w:pPr>
              <w:ind w:left="0" w:leftChars="0" w:firstLine="0" w:firstLineChars="0"/>
              <w:rPr>
                <w:rFonts w:hint="eastAsia"/>
                <w:color w:val="auto"/>
                <w:highlight w:val="none"/>
                <w:lang w:val="en-US" w:eastAsia="zh-CN"/>
              </w:rPr>
            </w:pPr>
          </w:p>
          <w:p w14:paraId="06ACE4B7">
            <w:pPr>
              <w:ind w:left="0" w:leftChars="0" w:firstLine="0" w:firstLineChars="0"/>
              <w:rPr>
                <w:rFonts w:hint="eastAsia"/>
                <w:color w:val="auto"/>
                <w:highlight w:val="none"/>
                <w:lang w:val="en-US" w:eastAsia="zh-CN"/>
              </w:rPr>
            </w:pPr>
          </w:p>
          <w:p w14:paraId="767B6A45">
            <w:pPr>
              <w:ind w:left="0" w:leftChars="0" w:firstLine="0" w:firstLineChars="0"/>
              <w:rPr>
                <w:rFonts w:hint="eastAsia"/>
                <w:color w:val="auto"/>
                <w:highlight w:val="none"/>
                <w:lang w:val="en-US" w:eastAsia="zh-CN"/>
              </w:rPr>
            </w:pPr>
          </w:p>
          <w:p w14:paraId="119D3F87">
            <w:pPr>
              <w:ind w:left="0" w:leftChars="0" w:firstLine="0" w:firstLineChars="0"/>
              <w:rPr>
                <w:rFonts w:hint="eastAsia"/>
                <w:color w:val="auto"/>
                <w:highlight w:val="none"/>
                <w:lang w:val="en-US" w:eastAsia="zh-CN"/>
              </w:rPr>
            </w:pPr>
          </w:p>
          <w:p w14:paraId="7F2CD22C">
            <w:pPr>
              <w:ind w:left="0" w:leftChars="0" w:firstLine="0" w:firstLineChars="0"/>
              <w:rPr>
                <w:rFonts w:hint="eastAsia"/>
                <w:color w:val="auto"/>
                <w:highlight w:val="none"/>
                <w:lang w:val="en-US" w:eastAsia="zh-CN"/>
              </w:rPr>
            </w:pPr>
          </w:p>
          <w:p w14:paraId="3E535DE4">
            <w:pPr>
              <w:ind w:left="0" w:leftChars="0" w:firstLine="0" w:firstLineChars="0"/>
              <w:rPr>
                <w:rFonts w:hint="eastAsia"/>
                <w:color w:val="auto"/>
                <w:highlight w:val="none"/>
                <w:lang w:val="en-US" w:eastAsia="zh-CN"/>
              </w:rPr>
            </w:pPr>
          </w:p>
          <w:p w14:paraId="6B16189B">
            <w:pPr>
              <w:ind w:left="0" w:leftChars="0" w:firstLine="0" w:firstLineChars="0"/>
              <w:rPr>
                <w:rFonts w:hint="eastAsia"/>
                <w:color w:val="auto"/>
                <w:highlight w:val="none"/>
                <w:lang w:val="en-US" w:eastAsia="zh-CN"/>
              </w:rPr>
            </w:pPr>
          </w:p>
          <w:p w14:paraId="6118FDF2">
            <w:pPr>
              <w:ind w:left="0" w:leftChars="0" w:firstLine="0" w:firstLineChars="0"/>
              <w:rPr>
                <w:rFonts w:hint="eastAsia"/>
                <w:color w:val="auto"/>
                <w:highlight w:val="none"/>
                <w:lang w:val="en-US" w:eastAsia="zh-CN"/>
              </w:rPr>
            </w:pPr>
          </w:p>
          <w:p w14:paraId="02436782">
            <w:pPr>
              <w:ind w:left="0" w:leftChars="0" w:firstLine="0" w:firstLineChars="0"/>
              <w:rPr>
                <w:rFonts w:hint="eastAsia"/>
                <w:color w:val="auto"/>
                <w:highlight w:val="none"/>
                <w:lang w:val="en-US" w:eastAsia="zh-CN"/>
              </w:rPr>
            </w:pPr>
          </w:p>
          <w:p w14:paraId="0E9BDAE5">
            <w:pPr>
              <w:ind w:left="0" w:leftChars="0" w:firstLine="0" w:firstLineChars="0"/>
              <w:rPr>
                <w:rFonts w:hint="eastAsia"/>
                <w:color w:val="auto"/>
                <w:highlight w:val="none"/>
                <w:lang w:val="en-US" w:eastAsia="zh-CN"/>
              </w:rPr>
            </w:pPr>
          </w:p>
          <w:p w14:paraId="4E63137B">
            <w:pPr>
              <w:ind w:left="0" w:leftChars="0" w:firstLine="0" w:firstLineChars="0"/>
              <w:rPr>
                <w:rFonts w:hint="eastAsia"/>
                <w:color w:val="auto"/>
                <w:highlight w:val="none"/>
                <w:lang w:val="en-US" w:eastAsia="zh-CN"/>
              </w:rPr>
            </w:pPr>
          </w:p>
          <w:p w14:paraId="561FCF94">
            <w:pPr>
              <w:ind w:left="0" w:leftChars="0" w:firstLine="0" w:firstLineChars="0"/>
              <w:rPr>
                <w:rFonts w:hint="eastAsia"/>
                <w:color w:val="auto"/>
                <w:highlight w:val="none"/>
                <w:lang w:val="en-US" w:eastAsia="zh-CN"/>
              </w:rPr>
            </w:pPr>
          </w:p>
        </w:tc>
      </w:tr>
    </w:tbl>
    <w:p w14:paraId="0803D26C">
      <w:pPr>
        <w:rPr>
          <w:color w:val="auto"/>
          <w:highlight w:val="none"/>
        </w:rPr>
        <w:sectPr>
          <w:footerReference r:id="rId9" w:type="default"/>
          <w:pgSz w:w="11906" w:h="16838"/>
          <w:pgMar w:top="1440" w:right="1247" w:bottom="1440" w:left="1417" w:header="851" w:footer="879"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30"/>
        <w:tblW w:w="0" w:type="auto"/>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3429"/>
      </w:tblGrid>
      <w:tr w14:paraId="0A6CEE1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455" w:hRule="atLeast"/>
          <w:jc w:val="center"/>
        </w:trPr>
        <w:tc>
          <w:tcPr>
            <w:tcW w:w="745" w:type="dxa"/>
            <w:tcBorders>
              <w:tl2br w:val="nil"/>
              <w:tr2bl w:val="nil"/>
            </w:tcBorders>
            <w:vAlign w:val="center"/>
          </w:tcPr>
          <w:p w14:paraId="2E7169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highlight w:val="none"/>
                <w:vertAlign w:val="baseline"/>
              </w:rPr>
            </w:pPr>
            <w:r>
              <w:rPr>
                <w:rFonts w:hint="eastAsia" w:ascii="宋体" w:hAnsi="宋体" w:cs="宋体"/>
                <w:color w:val="auto"/>
                <w:kern w:val="0"/>
                <w:sz w:val="24"/>
                <w:szCs w:val="24"/>
                <w:highlight w:val="none"/>
              </w:rPr>
              <w:t>其他符合性分析</w:t>
            </w:r>
          </w:p>
        </w:tc>
        <w:tc>
          <w:tcPr>
            <w:tcW w:w="13429" w:type="dxa"/>
            <w:tcBorders>
              <w:tl2br w:val="nil"/>
              <w:tr2bl w:val="nil"/>
            </w:tcBorders>
            <w:vAlign w:val="top"/>
          </w:tcPr>
          <w:p w14:paraId="7F55A862">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唐山市生态环境准入清单</w:t>
            </w:r>
            <w:r>
              <w:rPr>
                <w:rFonts w:hint="eastAsia" w:cs="Times New Roman"/>
                <w:b/>
                <w:bCs/>
                <w:color w:val="auto"/>
                <w:sz w:val="21"/>
                <w:szCs w:val="21"/>
                <w:highlight w:val="none"/>
                <w:lang w:val="en-US" w:eastAsia="zh-CN"/>
              </w:rPr>
              <w:t>（全市大气环境总体管控要求）符合性分析一览表</w:t>
            </w:r>
          </w:p>
          <w:tbl>
            <w:tblPr>
              <w:tblStyle w:val="29"/>
              <w:tblW w:w="131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03"/>
              <w:gridCol w:w="780"/>
              <w:gridCol w:w="8277"/>
              <w:gridCol w:w="2613"/>
              <w:gridCol w:w="780"/>
            </w:tblGrid>
            <w:tr w14:paraId="22192B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0" w:type="dxa"/>
                  <w:tcBorders>
                    <w:tl2br w:val="nil"/>
                    <w:tr2bl w:val="nil"/>
                  </w:tcBorders>
                  <w:noWrap w:val="0"/>
                  <w:vAlign w:val="center"/>
                </w:tcPr>
                <w:p w14:paraId="2BD9780C">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要素属性</w:t>
                  </w:r>
                </w:p>
              </w:tc>
              <w:tc>
                <w:tcPr>
                  <w:tcW w:w="777" w:type="dxa"/>
                  <w:tcBorders>
                    <w:tl2br w:val="nil"/>
                    <w:tr2bl w:val="nil"/>
                  </w:tcBorders>
                  <w:noWrap w:val="0"/>
                  <w:vAlign w:val="center"/>
                </w:tcPr>
                <w:p w14:paraId="3E948C26">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管控类别</w:t>
                  </w:r>
                </w:p>
              </w:tc>
              <w:tc>
                <w:tcPr>
                  <w:tcW w:w="8241" w:type="dxa"/>
                  <w:tcBorders>
                    <w:tl2br w:val="nil"/>
                    <w:tr2bl w:val="nil"/>
                  </w:tcBorders>
                  <w:noWrap w:val="0"/>
                  <w:vAlign w:val="center"/>
                </w:tcPr>
                <w:p w14:paraId="01775257">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管控要求</w:t>
                  </w:r>
                </w:p>
              </w:tc>
              <w:tc>
                <w:tcPr>
                  <w:tcW w:w="2602" w:type="dxa"/>
                  <w:tcBorders>
                    <w:tl2br w:val="nil"/>
                    <w:tr2bl w:val="nil"/>
                  </w:tcBorders>
                  <w:noWrap w:val="0"/>
                  <w:vAlign w:val="center"/>
                </w:tcPr>
                <w:p w14:paraId="6B35744D">
                  <w:pPr>
                    <w:spacing w:line="280" w:lineRule="exact"/>
                    <w:ind w:firstLine="0" w:firstLineChars="0"/>
                    <w:jc w:val="center"/>
                    <w:rPr>
                      <w:color w:val="auto"/>
                      <w:kern w:val="0"/>
                      <w:sz w:val="21"/>
                      <w:szCs w:val="21"/>
                      <w:highlight w:val="none"/>
                    </w:rPr>
                  </w:pPr>
                  <w:r>
                    <w:rPr>
                      <w:color w:val="auto"/>
                      <w:kern w:val="0"/>
                      <w:sz w:val="21"/>
                      <w:szCs w:val="21"/>
                      <w:highlight w:val="none"/>
                    </w:rPr>
                    <w:t>项目情况</w:t>
                  </w:r>
                </w:p>
              </w:tc>
              <w:tc>
                <w:tcPr>
                  <w:tcW w:w="776" w:type="dxa"/>
                  <w:tcBorders>
                    <w:tl2br w:val="nil"/>
                    <w:tr2bl w:val="nil"/>
                  </w:tcBorders>
                  <w:noWrap w:val="0"/>
                  <w:vAlign w:val="center"/>
                </w:tcPr>
                <w:p w14:paraId="5E42710C">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本项目</w:t>
                  </w:r>
                  <w:r>
                    <w:rPr>
                      <w:color w:val="auto"/>
                      <w:kern w:val="0"/>
                      <w:sz w:val="21"/>
                      <w:szCs w:val="21"/>
                      <w:highlight w:val="none"/>
                    </w:rPr>
                    <w:t>符合性</w:t>
                  </w:r>
                </w:p>
              </w:tc>
            </w:tr>
            <w:tr w14:paraId="623679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8" w:hRule="atLeast"/>
                <w:jc w:val="center"/>
              </w:trPr>
              <w:tc>
                <w:tcPr>
                  <w:tcW w:w="700" w:type="dxa"/>
                  <w:vMerge w:val="restart"/>
                  <w:tcBorders>
                    <w:tl2br w:val="nil"/>
                    <w:tr2bl w:val="nil"/>
                  </w:tcBorders>
                  <w:noWrap w:val="0"/>
                  <w:vAlign w:val="center"/>
                </w:tcPr>
                <w:p w14:paraId="75DD70B4">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大气环境</w:t>
                  </w:r>
                </w:p>
              </w:tc>
              <w:tc>
                <w:tcPr>
                  <w:tcW w:w="777" w:type="dxa"/>
                  <w:tcBorders>
                    <w:tl2br w:val="nil"/>
                    <w:tr2bl w:val="nil"/>
                  </w:tcBorders>
                  <w:noWrap w:val="0"/>
                  <w:vAlign w:val="center"/>
                </w:tcPr>
                <w:p w14:paraId="2A893EAE">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污染防控目标</w:t>
                  </w:r>
                </w:p>
              </w:tc>
              <w:tc>
                <w:tcPr>
                  <w:tcW w:w="8241" w:type="dxa"/>
                  <w:tcBorders>
                    <w:tl2br w:val="nil"/>
                    <w:tr2bl w:val="nil"/>
                  </w:tcBorders>
                  <w:noWrap w:val="0"/>
                  <w:vAlign w:val="center"/>
                </w:tcPr>
                <w:p w14:paraId="164078D4">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2025年，全市细颗粒物（PM</w:t>
                  </w:r>
                  <w:r>
                    <w:rPr>
                      <w:rFonts w:hint="eastAsia"/>
                      <w:color w:val="auto"/>
                      <w:kern w:val="0"/>
                      <w:sz w:val="21"/>
                      <w:szCs w:val="21"/>
                      <w:highlight w:val="none"/>
                      <w:vertAlign w:val="subscript"/>
                      <w:lang w:val="zh-CN"/>
                    </w:rPr>
                    <w:t>2.5</w:t>
                  </w:r>
                  <w:r>
                    <w:rPr>
                      <w:rFonts w:hint="eastAsia"/>
                      <w:color w:val="auto"/>
                      <w:kern w:val="0"/>
                      <w:sz w:val="21"/>
                      <w:szCs w:val="21"/>
                      <w:highlight w:val="none"/>
                      <w:lang w:val="zh-CN"/>
                    </w:rPr>
                    <w:t>）平均浓度达到40微克/立方米左右，空气质量优良天数比率达到70%以上，单位地区生产总值二氧化碳排放下降比例达河北省要求。</w:t>
                  </w:r>
                </w:p>
              </w:tc>
              <w:tc>
                <w:tcPr>
                  <w:tcW w:w="2602" w:type="dxa"/>
                  <w:tcBorders>
                    <w:tl2br w:val="nil"/>
                    <w:tr2bl w:val="nil"/>
                  </w:tcBorders>
                  <w:noWrap w:val="0"/>
                  <w:vAlign w:val="center"/>
                </w:tcPr>
                <w:p w14:paraId="28172358">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本项目采取废气污染物防治措施，颗粒物达标排放。</w:t>
                  </w:r>
                </w:p>
              </w:tc>
              <w:tc>
                <w:tcPr>
                  <w:tcW w:w="776" w:type="dxa"/>
                  <w:tcBorders>
                    <w:tl2br w:val="nil"/>
                    <w:tr2bl w:val="nil"/>
                  </w:tcBorders>
                  <w:noWrap w:val="0"/>
                  <w:vAlign w:val="center"/>
                </w:tcPr>
                <w:p w14:paraId="6D9B014A">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517BF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700" w:type="dxa"/>
                  <w:vMerge w:val="continue"/>
                  <w:tcBorders>
                    <w:tl2br w:val="nil"/>
                    <w:tr2bl w:val="nil"/>
                  </w:tcBorders>
                  <w:noWrap w:val="0"/>
                  <w:vAlign w:val="center"/>
                </w:tcPr>
                <w:p w14:paraId="6BA31F1D">
                  <w:pPr>
                    <w:spacing w:line="280" w:lineRule="exact"/>
                    <w:ind w:firstLine="0" w:firstLineChars="0"/>
                    <w:jc w:val="center"/>
                    <w:rPr>
                      <w:color w:val="auto"/>
                      <w:sz w:val="21"/>
                      <w:szCs w:val="21"/>
                      <w:highlight w:val="none"/>
                    </w:rPr>
                  </w:pPr>
                </w:p>
              </w:tc>
              <w:tc>
                <w:tcPr>
                  <w:tcW w:w="777" w:type="dxa"/>
                  <w:vMerge w:val="restart"/>
                  <w:tcBorders>
                    <w:tl2br w:val="nil"/>
                    <w:tr2bl w:val="nil"/>
                  </w:tcBorders>
                  <w:noWrap w:val="0"/>
                  <w:vAlign w:val="center"/>
                </w:tcPr>
                <w:p w14:paraId="08E288E8">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空间布局约束</w:t>
                  </w:r>
                </w:p>
              </w:tc>
              <w:tc>
                <w:tcPr>
                  <w:tcW w:w="8241" w:type="dxa"/>
                  <w:tcBorders>
                    <w:tl2br w:val="nil"/>
                    <w:tr2bl w:val="nil"/>
                  </w:tcBorders>
                  <w:noWrap w:val="0"/>
                  <w:vAlign w:val="center"/>
                </w:tcPr>
                <w:p w14:paraId="21EF535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1、全面推进沿海、迁安、滦州、迁西（遵化）4大片区规划建设，加快推进钢铁企业整合搬迁项目建设，推进“公转铁”、“公转水”和物料集中输送管廊项目建设，形成“沿海临港、铁路沿线”产业新布局。</w:t>
                  </w:r>
                </w:p>
              </w:tc>
              <w:tc>
                <w:tcPr>
                  <w:tcW w:w="2602" w:type="dxa"/>
                  <w:tcBorders>
                    <w:tl2br w:val="nil"/>
                    <w:tr2bl w:val="nil"/>
                  </w:tcBorders>
                  <w:noWrap w:val="0"/>
                  <w:vAlign w:val="center"/>
                </w:tcPr>
                <w:p w14:paraId="27DB3F89">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6426AB43">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1BB8BA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700" w:type="dxa"/>
                  <w:vMerge w:val="continue"/>
                  <w:tcBorders>
                    <w:tl2br w:val="nil"/>
                    <w:tr2bl w:val="nil"/>
                  </w:tcBorders>
                  <w:noWrap w:val="0"/>
                  <w:vAlign w:val="center"/>
                </w:tcPr>
                <w:p w14:paraId="7B0EC544">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56F3DCA0">
                  <w:pPr>
                    <w:spacing w:line="280" w:lineRule="exact"/>
                    <w:ind w:firstLine="0" w:firstLineChars="0"/>
                    <w:jc w:val="center"/>
                    <w:rPr>
                      <w:rFonts w:hint="eastAsia"/>
                      <w:color w:val="auto"/>
                      <w:sz w:val="21"/>
                      <w:szCs w:val="21"/>
                      <w:highlight w:val="none"/>
                      <w:lang w:val="en-US" w:eastAsia="zh-CN"/>
                    </w:rPr>
                  </w:pPr>
                </w:p>
              </w:tc>
              <w:tc>
                <w:tcPr>
                  <w:tcW w:w="8241" w:type="dxa"/>
                  <w:tcBorders>
                    <w:tl2br w:val="nil"/>
                    <w:tr2bl w:val="nil"/>
                  </w:tcBorders>
                  <w:noWrap w:val="0"/>
                  <w:vAlign w:val="center"/>
                </w:tcPr>
                <w:p w14:paraId="5560580E">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2、严禁违规新增钢铁、焦化、水泥、平板玻璃等产能，依法推动独立焦化、独立石灰、独立球团逐步退出。</w:t>
                  </w:r>
                </w:p>
              </w:tc>
              <w:tc>
                <w:tcPr>
                  <w:tcW w:w="2602" w:type="dxa"/>
                  <w:tcBorders>
                    <w:tl2br w:val="nil"/>
                    <w:tr2bl w:val="nil"/>
                  </w:tcBorders>
                  <w:noWrap w:val="0"/>
                  <w:vAlign w:val="center"/>
                </w:tcPr>
                <w:p w14:paraId="7636E2FB">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D8FFC0C">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50E09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00" w:type="dxa"/>
                  <w:vMerge w:val="continue"/>
                  <w:tcBorders>
                    <w:tl2br w:val="nil"/>
                    <w:tr2bl w:val="nil"/>
                  </w:tcBorders>
                  <w:noWrap w:val="0"/>
                  <w:vAlign w:val="center"/>
                </w:tcPr>
                <w:p w14:paraId="4DF35FD0">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28ED9CB1">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546ED7E8">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4、基本取缔燃煤热风炉和钢铁行业燃煤供热锅炉，基本淘汰热电联产供热管网覆盖范围内的燃煤加热、烘干炉（窑）。</w:t>
                  </w:r>
                </w:p>
              </w:tc>
              <w:tc>
                <w:tcPr>
                  <w:tcW w:w="2602" w:type="dxa"/>
                  <w:tcBorders>
                    <w:tl2br w:val="nil"/>
                    <w:tr2bl w:val="nil"/>
                  </w:tcBorders>
                  <w:noWrap w:val="0"/>
                  <w:vAlign w:val="center"/>
                </w:tcPr>
                <w:p w14:paraId="156668A3">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5FB8B432">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15E96D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700" w:type="dxa"/>
                  <w:vMerge w:val="continue"/>
                  <w:tcBorders>
                    <w:tl2br w:val="nil"/>
                    <w:tr2bl w:val="nil"/>
                  </w:tcBorders>
                  <w:noWrap w:val="0"/>
                  <w:vAlign w:val="center"/>
                </w:tcPr>
                <w:p w14:paraId="3CB6B216">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3A66B8D9">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188936B7">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5、企业事业单位和其他生产经营者应当在规定期限内，淘汰列入河北省淘汰落后生产工艺、设备和产品名录的生产工艺、设备和产品。</w:t>
                  </w:r>
                </w:p>
              </w:tc>
              <w:tc>
                <w:tcPr>
                  <w:tcW w:w="2602" w:type="dxa"/>
                  <w:tcBorders>
                    <w:tl2br w:val="nil"/>
                    <w:tr2bl w:val="nil"/>
                  </w:tcBorders>
                  <w:noWrap w:val="0"/>
                  <w:vAlign w:val="center"/>
                </w:tcPr>
                <w:p w14:paraId="37C3FE01">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r>
                    <w:rPr>
                      <w:rFonts w:hint="eastAsia"/>
                      <w:color w:val="auto"/>
                      <w:kern w:val="0"/>
                      <w:sz w:val="21"/>
                      <w:szCs w:val="21"/>
                      <w:highlight w:val="none"/>
                    </w:rPr>
                    <w:t>列入河北省淘汰落后生产工艺、设备和产品名录的生产工艺、设备和产品</w:t>
                  </w:r>
                  <w:r>
                    <w:rPr>
                      <w:rFonts w:hint="eastAsia"/>
                      <w:color w:val="auto"/>
                      <w:kern w:val="0"/>
                      <w:sz w:val="21"/>
                      <w:szCs w:val="21"/>
                      <w:highlight w:val="none"/>
                      <w:lang w:eastAsia="zh-CN"/>
                    </w:rPr>
                    <w:t>。</w:t>
                  </w:r>
                </w:p>
              </w:tc>
              <w:tc>
                <w:tcPr>
                  <w:tcW w:w="776" w:type="dxa"/>
                  <w:tcBorders>
                    <w:tl2br w:val="nil"/>
                    <w:tr2bl w:val="nil"/>
                  </w:tcBorders>
                  <w:noWrap w:val="0"/>
                  <w:vAlign w:val="center"/>
                </w:tcPr>
                <w:p w14:paraId="6FC9A8B9">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35D73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700" w:type="dxa"/>
                  <w:vMerge w:val="continue"/>
                  <w:tcBorders>
                    <w:tl2br w:val="nil"/>
                    <w:tr2bl w:val="nil"/>
                  </w:tcBorders>
                  <w:noWrap w:val="0"/>
                  <w:vAlign w:val="center"/>
                </w:tcPr>
                <w:p w14:paraId="7D26F51F">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69F80B72">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4A0B229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6、全面取缔35蒸吨及以下燃煤锅炉，发现一台，拆除一台，确保实现动态“清零”；严禁新增35蒸吨及以下燃煤锅炉。路南区、路北区、高新区、开平区、古冶区、丰润区、丰南区、曹妃甸区全面取缔燃生物质燃料、燃油（醇基燃料）锅炉，建成区范围内改为电锅炉，其他区域改为燃气锅炉或电锅炉。其他县（市）、开发区（管理区）全面取缔燃用生物质燃料非专用锅炉，改为燃气锅炉或电锅炉。</w:t>
                  </w:r>
                </w:p>
              </w:tc>
              <w:tc>
                <w:tcPr>
                  <w:tcW w:w="2602" w:type="dxa"/>
                  <w:tcBorders>
                    <w:tl2br w:val="nil"/>
                    <w:tr2bl w:val="nil"/>
                  </w:tcBorders>
                  <w:noWrap w:val="0"/>
                  <w:vAlign w:val="center"/>
                </w:tcPr>
                <w:p w14:paraId="5A8F0B22">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4201614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1039F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28" w:hRule="atLeast"/>
                <w:jc w:val="center"/>
              </w:trPr>
              <w:tc>
                <w:tcPr>
                  <w:tcW w:w="700" w:type="dxa"/>
                  <w:vMerge w:val="continue"/>
                  <w:tcBorders>
                    <w:tl2br w:val="nil"/>
                    <w:tr2bl w:val="nil"/>
                  </w:tcBorders>
                  <w:noWrap w:val="0"/>
                  <w:vAlign w:val="center"/>
                </w:tcPr>
                <w:p w14:paraId="3BBCB08C">
                  <w:pPr>
                    <w:spacing w:line="280" w:lineRule="exact"/>
                    <w:ind w:firstLine="0" w:firstLineChars="0"/>
                    <w:jc w:val="center"/>
                    <w:rPr>
                      <w:color w:val="auto"/>
                      <w:sz w:val="21"/>
                      <w:szCs w:val="21"/>
                      <w:highlight w:val="none"/>
                    </w:rPr>
                  </w:pPr>
                </w:p>
              </w:tc>
              <w:tc>
                <w:tcPr>
                  <w:tcW w:w="777" w:type="dxa"/>
                  <w:vMerge w:val="restart"/>
                  <w:tcBorders>
                    <w:tl2br w:val="nil"/>
                    <w:tr2bl w:val="nil"/>
                  </w:tcBorders>
                  <w:noWrap w:val="0"/>
                  <w:vAlign w:val="center"/>
                </w:tcPr>
                <w:p w14:paraId="2C787113">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污染物排放管控</w:t>
                  </w:r>
                </w:p>
              </w:tc>
              <w:tc>
                <w:tcPr>
                  <w:tcW w:w="8241" w:type="dxa"/>
                  <w:tcBorders>
                    <w:tl2br w:val="nil"/>
                    <w:tr2bl w:val="nil"/>
                  </w:tcBorders>
                  <w:noWrap w:val="0"/>
                  <w:vAlign w:val="center"/>
                </w:tcPr>
                <w:p w14:paraId="5AD36FD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35蒸吨以上燃煤锅炉、燃油（醇基燃料）锅炉、燃用生物质专用锅炉各污染物排放浓度达到《河北省锅炉大气污染物排放标准（DB13/5161）》要求；燃煤气、天然气锅炉各污染物排放浓度达到《唐山市锅炉治理专项实施方案》（唐气领办</w:t>
                  </w:r>
                  <w:r>
                    <w:rPr>
                      <w:rFonts w:hint="eastAsia"/>
                      <w:color w:val="auto"/>
                      <w:kern w:val="0"/>
                      <w:sz w:val="21"/>
                      <w:szCs w:val="21"/>
                      <w:highlight w:val="none"/>
                      <w:lang w:val="en-US" w:eastAsia="zh-CN"/>
                    </w:rPr>
                    <w:t>[</w:t>
                  </w:r>
                  <w:r>
                    <w:rPr>
                      <w:rFonts w:hint="eastAsia"/>
                      <w:color w:val="auto"/>
                      <w:kern w:val="0"/>
                      <w:sz w:val="21"/>
                      <w:szCs w:val="21"/>
                      <w:highlight w:val="none"/>
                    </w:rPr>
                    <w:t>2019</w:t>
                  </w:r>
                  <w:r>
                    <w:rPr>
                      <w:rFonts w:hint="eastAsia"/>
                      <w:color w:val="auto"/>
                      <w:kern w:val="0"/>
                      <w:sz w:val="21"/>
                      <w:szCs w:val="21"/>
                      <w:highlight w:val="none"/>
                      <w:lang w:val="en-US" w:eastAsia="zh-CN"/>
                    </w:rPr>
                    <w:t>]</w:t>
                  </w:r>
                  <w:r>
                    <w:rPr>
                      <w:rFonts w:hint="eastAsia"/>
                      <w:color w:val="auto"/>
                      <w:kern w:val="0"/>
                      <w:sz w:val="21"/>
                      <w:szCs w:val="21"/>
                      <w:highlight w:val="none"/>
                    </w:rPr>
                    <w:t>10号）要求。</w:t>
                  </w:r>
                </w:p>
              </w:tc>
              <w:tc>
                <w:tcPr>
                  <w:tcW w:w="2602" w:type="dxa"/>
                  <w:tcBorders>
                    <w:tl2br w:val="nil"/>
                    <w:tr2bl w:val="nil"/>
                  </w:tcBorders>
                  <w:noWrap w:val="0"/>
                  <w:vAlign w:val="center"/>
                </w:tcPr>
                <w:p w14:paraId="41B30706">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F1B9C39">
                  <w:pPr>
                    <w:spacing w:line="280" w:lineRule="exact"/>
                    <w:ind w:firstLine="0" w:firstLineChars="0"/>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549142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74" w:hRule="atLeast"/>
                <w:jc w:val="center"/>
              </w:trPr>
              <w:tc>
                <w:tcPr>
                  <w:tcW w:w="700" w:type="dxa"/>
                  <w:vMerge w:val="continue"/>
                  <w:tcBorders>
                    <w:tl2br w:val="nil"/>
                    <w:tr2bl w:val="nil"/>
                  </w:tcBorders>
                  <w:noWrap w:val="0"/>
                  <w:vAlign w:val="center"/>
                </w:tcPr>
                <w:p w14:paraId="6AB4F760">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7512CA91">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79D8104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3、加强农村燃煤污染治理：（一）推广使用民用清洁燃烧炉具，加快淘汰低效直燃式高污染炉具，严禁生产、销售、使用不符合环保要求的炉具；（二）加强洁净型煤、优质煤炭的推广使用，实现农村地区洁净型煤配送网点建设全覆盖，严禁使用高硫分和劣质煤炭；（三）推广太阳能、电能、燃气、沼气、地热等使用，加强农作物秸秆能源化，推进农村清洁能源的替代和开发利用。</w:t>
                  </w:r>
                </w:p>
              </w:tc>
              <w:tc>
                <w:tcPr>
                  <w:tcW w:w="2602" w:type="dxa"/>
                  <w:tcBorders>
                    <w:tl2br w:val="nil"/>
                    <w:tr2bl w:val="nil"/>
                  </w:tcBorders>
                  <w:noWrap w:val="0"/>
                  <w:vAlign w:val="center"/>
                </w:tcPr>
                <w:p w14:paraId="5CA5330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1CFF04BE">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60D0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081" w:hRule="atLeast"/>
                <w:jc w:val="center"/>
              </w:trPr>
              <w:tc>
                <w:tcPr>
                  <w:tcW w:w="700" w:type="dxa"/>
                  <w:vMerge w:val="continue"/>
                  <w:tcBorders>
                    <w:tl2br w:val="nil"/>
                    <w:tr2bl w:val="nil"/>
                  </w:tcBorders>
                  <w:noWrap w:val="0"/>
                  <w:vAlign w:val="center"/>
                </w:tcPr>
                <w:p w14:paraId="372E79BE">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42C9F2F9">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990868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4、对保留的工业炉窑开展环保提标改造，配套建设高效脱硫脱硝除尘设施，确保稳定达标排放。加快推进钢铁行业超低排放改造，积极推进平板玻璃行业和水泥行业污染治理升级改造。鼓励具备条件的陶瓷企业陶瓷窑、喷雾干燥塔开展超低排放改造。平板玻璃、建筑陶瓷企业逐步取消脱硫脱硝烟气旁路或设置备用脱硫脱硝等设施，鼓励水泥企业实施全流程污染深度治理。推进具备条件的焦化企业实施干熄焦改造。在保证生产安全前提下，钢铁烧结（球团）、高炉、转炉、轧钢工序实施车间封闭生产。对标行业先进，持续推动污染物排放总量降低。</w:t>
                  </w:r>
                </w:p>
              </w:tc>
              <w:tc>
                <w:tcPr>
                  <w:tcW w:w="2602" w:type="dxa"/>
                  <w:tcBorders>
                    <w:tl2br w:val="nil"/>
                    <w:tr2bl w:val="nil"/>
                  </w:tcBorders>
                  <w:noWrap w:val="0"/>
                  <w:vAlign w:val="center"/>
                </w:tcPr>
                <w:p w14:paraId="4D2A7501">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3EA215B7">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03BD1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03" w:hRule="atLeast"/>
                <w:jc w:val="center"/>
              </w:trPr>
              <w:tc>
                <w:tcPr>
                  <w:tcW w:w="700" w:type="dxa"/>
                  <w:vMerge w:val="continue"/>
                  <w:tcBorders>
                    <w:tl2br w:val="nil"/>
                    <w:tr2bl w:val="nil"/>
                  </w:tcBorders>
                  <w:noWrap w:val="0"/>
                  <w:vAlign w:val="center"/>
                </w:tcPr>
                <w:p w14:paraId="742F72DC">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7D3F9BDD">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4CF55B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5、推广新能源机动车，建设相应的充电站（桩）、加气站等基础设施，新建居民住宅小区停车位应当建设相应的充电设施；鼓励和支持公共交通、出租车、环境卫生、邮政、快递等行业用车和公务用车率先使用新能源机动车。加强城市步行和自行车交通系统建设，引导公众绿色、低碳出行。船舶靠港后应当优先使用岸电。新建码头应当规划、设计和建设岸基供电设施；已建成的码头应当逐步实施岸基供电设施改造。</w:t>
                  </w:r>
                </w:p>
              </w:tc>
              <w:tc>
                <w:tcPr>
                  <w:tcW w:w="2602" w:type="dxa"/>
                  <w:tcBorders>
                    <w:tl2br w:val="nil"/>
                    <w:tr2bl w:val="nil"/>
                  </w:tcBorders>
                  <w:noWrap w:val="0"/>
                  <w:vAlign w:val="center"/>
                </w:tcPr>
                <w:p w14:paraId="434CAD8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75560278">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40FF5A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700" w:type="dxa"/>
                  <w:vMerge w:val="continue"/>
                  <w:tcBorders>
                    <w:tl2br w:val="nil"/>
                    <w:tr2bl w:val="nil"/>
                  </w:tcBorders>
                  <w:noWrap w:val="0"/>
                  <w:vAlign w:val="center"/>
                </w:tcPr>
                <w:p w14:paraId="354CC8FF">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8CCD34B">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5F58F82F">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6、加快油品质量升级。停止销售低于国</w:t>
                  </w:r>
                  <w:r>
                    <w:rPr>
                      <w:rFonts w:hint="default" w:ascii="Times New Roman" w:hAnsi="Times New Roman" w:cs="Times New Roman"/>
                      <w:color w:val="auto"/>
                      <w:kern w:val="0"/>
                      <w:sz w:val="21"/>
                      <w:szCs w:val="21"/>
                      <w:highlight w:val="none"/>
                    </w:rPr>
                    <w:t>Ⅵ</w:t>
                  </w:r>
                  <w:r>
                    <w:rPr>
                      <w:rFonts w:hint="eastAsia"/>
                      <w:color w:val="auto"/>
                      <w:kern w:val="0"/>
                      <w:sz w:val="21"/>
                      <w:szCs w:val="21"/>
                      <w:highlight w:val="none"/>
                    </w:rPr>
                    <w:t>标准的汽柴油，实现车用柴油、普通柴油、部分船舶用油“三油并轨”</w:t>
                  </w:r>
                  <w:r>
                    <w:rPr>
                      <w:rFonts w:hint="eastAsia"/>
                      <w:color w:val="auto"/>
                      <w:kern w:val="0"/>
                      <w:sz w:val="21"/>
                      <w:szCs w:val="21"/>
                      <w:highlight w:val="none"/>
                      <w:lang w:eastAsia="zh-CN"/>
                    </w:rPr>
                    <w:t>。</w:t>
                  </w:r>
                </w:p>
              </w:tc>
              <w:tc>
                <w:tcPr>
                  <w:tcW w:w="2602" w:type="dxa"/>
                  <w:tcBorders>
                    <w:tl2br w:val="nil"/>
                    <w:tr2bl w:val="nil"/>
                  </w:tcBorders>
                  <w:noWrap w:val="0"/>
                  <w:vAlign w:val="center"/>
                </w:tcPr>
                <w:p w14:paraId="7CEED4F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58098133">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24E056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700" w:type="dxa"/>
                  <w:vMerge w:val="continue"/>
                  <w:tcBorders>
                    <w:tl2br w:val="nil"/>
                    <w:tr2bl w:val="nil"/>
                  </w:tcBorders>
                  <w:noWrap w:val="0"/>
                  <w:vAlign w:val="center"/>
                </w:tcPr>
                <w:p w14:paraId="5F2C02CC">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F605569">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71DF6F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7、推进矿山综合整治。按照“能关则关、应合尽合、能转则转”的原则，对违反法律法规、列入关闭计划、整改不达标、乱采滥挖的矿山，依法依规坚决关闭取缔。</w:t>
                  </w:r>
                </w:p>
              </w:tc>
              <w:tc>
                <w:tcPr>
                  <w:tcW w:w="2602" w:type="dxa"/>
                  <w:tcBorders>
                    <w:tl2br w:val="nil"/>
                    <w:tr2bl w:val="nil"/>
                  </w:tcBorders>
                  <w:noWrap w:val="0"/>
                  <w:vAlign w:val="center"/>
                </w:tcPr>
                <w:p w14:paraId="2EB6B24E">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936CF68">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2159BD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700" w:type="dxa"/>
                  <w:vMerge w:val="continue"/>
                  <w:tcBorders>
                    <w:tl2br w:val="nil"/>
                    <w:tr2bl w:val="nil"/>
                  </w:tcBorders>
                  <w:noWrap w:val="0"/>
                  <w:vAlign w:val="center"/>
                </w:tcPr>
                <w:p w14:paraId="15BA6494">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71951CC9">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791FA822">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8、强化建筑施工扬尘污染防治，严格落实《河北省扬尘污染防治办法》，对城市建成区、县城建筑施工工地实施全面监管。强化道路扬尘综合治理，按照《河北省城市精细化管理标准》有关要求，全面巩固洁净城市创建成果。</w:t>
                  </w:r>
                </w:p>
              </w:tc>
              <w:tc>
                <w:tcPr>
                  <w:tcW w:w="2602" w:type="dxa"/>
                  <w:tcBorders>
                    <w:tl2br w:val="nil"/>
                    <w:tr2bl w:val="nil"/>
                  </w:tcBorders>
                  <w:noWrap w:val="0"/>
                  <w:vAlign w:val="center"/>
                </w:tcPr>
                <w:p w14:paraId="01ABBB2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施工期按要求采取扬尘污染防治措施</w:t>
                  </w:r>
                  <w:r>
                    <w:rPr>
                      <w:rFonts w:hint="eastAsia" w:eastAsia="宋体"/>
                      <w:color w:val="auto"/>
                      <w:kern w:val="0"/>
                      <w:sz w:val="21"/>
                      <w:szCs w:val="21"/>
                      <w:highlight w:val="none"/>
                      <w:lang w:val="en-US" w:eastAsia="zh-CN"/>
                    </w:rPr>
                    <w:t>。</w:t>
                  </w:r>
                </w:p>
              </w:tc>
              <w:tc>
                <w:tcPr>
                  <w:tcW w:w="776" w:type="dxa"/>
                  <w:tcBorders>
                    <w:tl2br w:val="nil"/>
                    <w:tr2bl w:val="nil"/>
                  </w:tcBorders>
                  <w:noWrap w:val="0"/>
                  <w:vAlign w:val="center"/>
                </w:tcPr>
                <w:p w14:paraId="0D732C3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52168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2" w:hRule="atLeast"/>
                <w:jc w:val="center"/>
              </w:trPr>
              <w:tc>
                <w:tcPr>
                  <w:tcW w:w="700" w:type="dxa"/>
                  <w:vMerge w:val="continue"/>
                  <w:tcBorders>
                    <w:tl2br w:val="nil"/>
                    <w:tr2bl w:val="nil"/>
                  </w:tcBorders>
                  <w:noWrap w:val="0"/>
                  <w:vAlign w:val="center"/>
                </w:tcPr>
                <w:p w14:paraId="6AE906F8">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A0CA630">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1409A6A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9、深化重点行业深度治理。巩固钢铁、焦化、煤电、水泥、平板玻璃等重点行业超低排放改造成效，实施工艺全流程深度治理，推进全过程无组织排放管控。</w:t>
                  </w:r>
                </w:p>
              </w:tc>
              <w:tc>
                <w:tcPr>
                  <w:tcW w:w="2602" w:type="dxa"/>
                  <w:tcBorders>
                    <w:tl2br w:val="nil"/>
                    <w:tr2bl w:val="nil"/>
                  </w:tcBorders>
                  <w:noWrap w:val="0"/>
                  <w:vAlign w:val="center"/>
                </w:tcPr>
                <w:p w14:paraId="10C4E3BB">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9D938E2">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26E47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03" w:hRule="atLeast"/>
                <w:jc w:val="center"/>
              </w:trPr>
              <w:tc>
                <w:tcPr>
                  <w:tcW w:w="700" w:type="dxa"/>
                  <w:vMerge w:val="continue"/>
                  <w:tcBorders>
                    <w:tl2br w:val="nil"/>
                    <w:tr2bl w:val="nil"/>
                  </w:tcBorders>
                  <w:noWrap w:val="0"/>
                  <w:vAlign w:val="center"/>
                </w:tcPr>
                <w:p w14:paraId="56D1250B">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4D96F3F">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0B07E4F4">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10、加强重污染天气应急联动。加强污染气象条件和空气污染监测、预报预警和评估能力建设，建成全市区域传输监控预警系统，提高重污染天气预报预警的准确度。加大秋冬季工业企业生产调控力度，按照基本抵消新增污染物排放量的原则，对钢铁、建材、焦化、铸造、化工等高排放行业实行强化管控。</w:t>
                  </w:r>
                </w:p>
              </w:tc>
              <w:tc>
                <w:tcPr>
                  <w:tcW w:w="2602" w:type="dxa"/>
                  <w:tcBorders>
                    <w:tl2br w:val="nil"/>
                    <w:tr2bl w:val="nil"/>
                  </w:tcBorders>
                  <w:noWrap w:val="0"/>
                  <w:vAlign w:val="center"/>
                </w:tcPr>
                <w:p w14:paraId="5D2C514B">
                  <w:pPr>
                    <w:spacing w:line="280" w:lineRule="exact"/>
                    <w:ind w:firstLine="0" w:firstLineChars="0"/>
                    <w:jc w:val="center"/>
                    <w:rPr>
                      <w:rFonts w:hint="default"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05C3C134">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1BA569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700" w:type="dxa"/>
                  <w:vMerge w:val="continue"/>
                  <w:tcBorders>
                    <w:tl2br w:val="nil"/>
                    <w:tr2bl w:val="nil"/>
                  </w:tcBorders>
                  <w:noWrap w:val="0"/>
                  <w:vAlign w:val="center"/>
                </w:tcPr>
                <w:p w14:paraId="7751ABA8">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039C4B27">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7659758">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11、强化柴油货车污染防治。加快柴油货车治理，推动货运经营整合升级、提质增效，加快规模化发展、连锁化经营。实施清洁柴油车、清洁运输和清洁油品行动，降低污染排放总量。</w:t>
                  </w:r>
                </w:p>
              </w:tc>
              <w:tc>
                <w:tcPr>
                  <w:tcW w:w="2602" w:type="dxa"/>
                  <w:tcBorders>
                    <w:tl2br w:val="nil"/>
                    <w:tr2bl w:val="nil"/>
                  </w:tcBorders>
                  <w:noWrap w:val="0"/>
                  <w:vAlign w:val="center"/>
                </w:tcPr>
                <w:p w14:paraId="22966A12">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w:t>
                  </w:r>
                  <w:r>
                    <w:rPr>
                      <w:rFonts w:hint="default" w:ascii="Times New Roman" w:hAnsi="Times New Roman" w:eastAsia="宋体" w:cs="Times New Roman"/>
                      <w:color w:val="auto"/>
                      <w:sz w:val="21"/>
                      <w:szCs w:val="21"/>
                      <w:highlight w:val="none"/>
                      <w:lang w:val="en-US" w:eastAsia="zh-CN"/>
                    </w:rPr>
                    <w:t>使用国</w:t>
                  </w:r>
                  <w:r>
                    <w:rPr>
                      <w:rFonts w:hint="eastAsia" w:ascii="Times New Roman" w:hAnsi="Times New Roman" w:eastAsia="宋体" w:cs="Times New Roman"/>
                      <w:color w:val="auto"/>
                      <w:sz w:val="21"/>
                      <w:szCs w:val="21"/>
                      <w:highlight w:val="none"/>
                      <w:lang w:val="en-US" w:eastAsia="zh-CN"/>
                    </w:rPr>
                    <w:t>五及以上</w:t>
                  </w:r>
                  <w:r>
                    <w:rPr>
                      <w:rFonts w:hint="default" w:ascii="Times New Roman" w:hAnsi="Times New Roman" w:eastAsia="宋体" w:cs="Times New Roman"/>
                      <w:color w:val="auto"/>
                      <w:sz w:val="21"/>
                      <w:szCs w:val="21"/>
                      <w:highlight w:val="none"/>
                      <w:lang w:val="en-US" w:eastAsia="zh-CN"/>
                    </w:rPr>
                    <w:t>排放标准重型载货车辆或新能源车辆</w:t>
                  </w:r>
                  <w:r>
                    <w:rPr>
                      <w:rFonts w:hint="eastAsia" w:ascii="Times New Roman" w:hAnsi="Times New Roman" w:eastAsia="宋体" w:cs="Times New Roman"/>
                      <w:color w:val="auto"/>
                      <w:sz w:val="21"/>
                      <w:szCs w:val="21"/>
                      <w:highlight w:val="none"/>
                      <w:lang w:val="en-US" w:eastAsia="zh-CN"/>
                    </w:rPr>
                    <w:t>运输</w:t>
                  </w:r>
                  <w:r>
                    <w:rPr>
                      <w:rFonts w:hint="eastAsia" w:eastAsia="宋体"/>
                      <w:color w:val="auto"/>
                      <w:kern w:val="0"/>
                      <w:sz w:val="21"/>
                      <w:szCs w:val="21"/>
                      <w:highlight w:val="none"/>
                      <w:lang w:val="en-US" w:eastAsia="zh-CN"/>
                    </w:rPr>
                    <w:t>。</w:t>
                  </w:r>
                </w:p>
              </w:tc>
              <w:tc>
                <w:tcPr>
                  <w:tcW w:w="776" w:type="dxa"/>
                  <w:tcBorders>
                    <w:tl2br w:val="nil"/>
                    <w:tr2bl w:val="nil"/>
                  </w:tcBorders>
                  <w:noWrap w:val="0"/>
                  <w:vAlign w:val="center"/>
                </w:tcPr>
                <w:p w14:paraId="6A1C0676">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DEBA6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1" w:hRule="atLeast"/>
                <w:jc w:val="center"/>
              </w:trPr>
              <w:tc>
                <w:tcPr>
                  <w:tcW w:w="700" w:type="dxa"/>
                  <w:vMerge w:val="continue"/>
                  <w:tcBorders>
                    <w:tl2br w:val="nil"/>
                    <w:tr2bl w:val="nil"/>
                  </w:tcBorders>
                  <w:noWrap w:val="0"/>
                  <w:vAlign w:val="center"/>
                </w:tcPr>
                <w:p w14:paraId="31B83E28">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19C6509F">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28003DF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12、禁止露天焚烧秸秆、落叶、枯草等产生烟尘污染的物质，以及电子废弃物、油毡、橡胶、塑料、皮革、沥青、垃圾等产生有毒有害、恶臭或者强烈异味气体的物质。</w:t>
                  </w:r>
                </w:p>
              </w:tc>
              <w:tc>
                <w:tcPr>
                  <w:tcW w:w="2602" w:type="dxa"/>
                  <w:tcBorders>
                    <w:tl2br w:val="nil"/>
                    <w:tr2bl w:val="nil"/>
                  </w:tcBorders>
                  <w:noWrap w:val="0"/>
                  <w:vAlign w:val="center"/>
                </w:tcPr>
                <w:p w14:paraId="58031656">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6EAC0EE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2BB98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53" w:hRule="atLeast"/>
                <w:jc w:val="center"/>
              </w:trPr>
              <w:tc>
                <w:tcPr>
                  <w:tcW w:w="700" w:type="dxa"/>
                  <w:vMerge w:val="continue"/>
                  <w:tcBorders>
                    <w:tl2br w:val="nil"/>
                    <w:tr2bl w:val="nil"/>
                  </w:tcBorders>
                  <w:noWrap w:val="0"/>
                  <w:vAlign w:val="center"/>
                </w:tcPr>
                <w:p w14:paraId="6A2E80F3">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07539878">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73F1121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13、以化工、工业涂装、包装印刷、油品储运销等行业领域为重点，安全高效推进挥发性有机物综合治理，无组织排放和末端深度治理等提升改造工程。</w:t>
                  </w:r>
                </w:p>
              </w:tc>
              <w:tc>
                <w:tcPr>
                  <w:tcW w:w="2602" w:type="dxa"/>
                  <w:tcBorders>
                    <w:tl2br w:val="nil"/>
                    <w:tr2bl w:val="nil"/>
                  </w:tcBorders>
                  <w:noWrap w:val="0"/>
                  <w:vAlign w:val="center"/>
                </w:tcPr>
                <w:p w14:paraId="51426170">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3A0F9064">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4E054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700" w:type="dxa"/>
                  <w:vMerge w:val="continue"/>
                  <w:tcBorders>
                    <w:tl2br w:val="nil"/>
                    <w:tr2bl w:val="nil"/>
                  </w:tcBorders>
                  <w:noWrap w:val="0"/>
                  <w:vAlign w:val="center"/>
                </w:tcPr>
                <w:p w14:paraId="70138FD9">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002520E5">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5A6A2F4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14、推动大气氨排放控制。加强烟气脱硝和氨法脱硫氨逃逸控制。推进种植业、养殖业大气氨减排，加强源头防控，优化肥料、饲料结构。</w:t>
                  </w:r>
                </w:p>
              </w:tc>
              <w:tc>
                <w:tcPr>
                  <w:tcW w:w="2602" w:type="dxa"/>
                  <w:tcBorders>
                    <w:tl2br w:val="nil"/>
                    <w:tr2bl w:val="nil"/>
                  </w:tcBorders>
                  <w:noWrap w:val="0"/>
                  <w:vAlign w:val="center"/>
                </w:tcPr>
                <w:p w14:paraId="7089B374">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14AAE74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ADD9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700" w:type="dxa"/>
                  <w:vMerge w:val="continue"/>
                  <w:tcBorders>
                    <w:tl2br w:val="nil"/>
                    <w:tr2bl w:val="nil"/>
                  </w:tcBorders>
                  <w:noWrap w:val="0"/>
                  <w:vAlign w:val="center"/>
                </w:tcPr>
                <w:p w14:paraId="40DB7B7A">
                  <w:pPr>
                    <w:spacing w:line="280" w:lineRule="exact"/>
                    <w:ind w:firstLine="0" w:firstLineChars="0"/>
                    <w:jc w:val="center"/>
                    <w:rPr>
                      <w:color w:val="auto"/>
                      <w:sz w:val="21"/>
                      <w:szCs w:val="21"/>
                      <w:highlight w:val="none"/>
                    </w:rPr>
                  </w:pPr>
                </w:p>
              </w:tc>
              <w:tc>
                <w:tcPr>
                  <w:tcW w:w="777" w:type="dxa"/>
                  <w:vMerge w:val="continue"/>
                  <w:tcBorders>
                    <w:tl2br w:val="nil"/>
                    <w:tr2bl w:val="nil"/>
                  </w:tcBorders>
                  <w:noWrap w:val="0"/>
                  <w:vAlign w:val="center"/>
                </w:tcPr>
                <w:p w14:paraId="614095F6">
                  <w:pPr>
                    <w:spacing w:line="280" w:lineRule="exact"/>
                    <w:ind w:firstLine="0" w:firstLineChars="0"/>
                    <w:jc w:val="center"/>
                    <w:rPr>
                      <w:color w:val="auto"/>
                      <w:sz w:val="21"/>
                      <w:szCs w:val="21"/>
                      <w:highlight w:val="none"/>
                    </w:rPr>
                  </w:pPr>
                </w:p>
              </w:tc>
              <w:tc>
                <w:tcPr>
                  <w:tcW w:w="8241" w:type="dxa"/>
                  <w:tcBorders>
                    <w:tl2br w:val="nil"/>
                    <w:tr2bl w:val="nil"/>
                  </w:tcBorders>
                  <w:noWrap w:val="0"/>
                  <w:vAlign w:val="center"/>
                </w:tcPr>
                <w:p w14:paraId="6EEAE6C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rPr>
                    <w:t>15、严格控制二氧化碳排放强度。加强甲烷等非二氧化碳温室气体管控。</w:t>
                  </w:r>
                </w:p>
              </w:tc>
              <w:tc>
                <w:tcPr>
                  <w:tcW w:w="2602" w:type="dxa"/>
                  <w:tcBorders>
                    <w:tl2br w:val="nil"/>
                    <w:tr2bl w:val="nil"/>
                  </w:tcBorders>
                  <w:noWrap w:val="0"/>
                  <w:vAlign w:val="center"/>
                </w:tcPr>
                <w:p w14:paraId="554FF11F">
                  <w:pPr>
                    <w:spacing w:line="280" w:lineRule="exact"/>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3C907626">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242063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6" w:hRule="atLeast"/>
                <w:jc w:val="center"/>
              </w:trPr>
              <w:tc>
                <w:tcPr>
                  <w:tcW w:w="700" w:type="dxa"/>
                  <w:vMerge w:val="continue"/>
                  <w:tcBorders>
                    <w:tl2br w:val="nil"/>
                    <w:tr2bl w:val="nil"/>
                  </w:tcBorders>
                  <w:noWrap w:val="0"/>
                  <w:vAlign w:val="center"/>
                </w:tcPr>
                <w:p w14:paraId="556314E3">
                  <w:pPr>
                    <w:spacing w:line="280" w:lineRule="exact"/>
                    <w:ind w:firstLine="0" w:firstLineChars="0"/>
                    <w:jc w:val="center"/>
                    <w:rPr>
                      <w:color w:val="auto"/>
                      <w:sz w:val="21"/>
                      <w:szCs w:val="21"/>
                      <w:highlight w:val="none"/>
                    </w:rPr>
                  </w:pPr>
                </w:p>
              </w:tc>
              <w:tc>
                <w:tcPr>
                  <w:tcW w:w="777" w:type="dxa"/>
                  <w:tcBorders>
                    <w:tl2br w:val="nil"/>
                    <w:tr2bl w:val="nil"/>
                  </w:tcBorders>
                  <w:noWrap w:val="0"/>
                  <w:vAlign w:val="center"/>
                </w:tcPr>
                <w:p w14:paraId="764E8F2F">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环境风险防控</w:t>
                  </w:r>
                </w:p>
              </w:tc>
              <w:tc>
                <w:tcPr>
                  <w:tcW w:w="8241" w:type="dxa"/>
                  <w:tcBorders>
                    <w:tl2br w:val="nil"/>
                    <w:tr2bl w:val="nil"/>
                  </w:tcBorders>
                  <w:noWrap w:val="0"/>
                  <w:vAlign w:val="center"/>
                </w:tcPr>
                <w:p w14:paraId="3F5CCDA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完善市、县、乡、村网格化环境监管体系，建立信息全面、要素齐全、处置高效、决策科学的市级大气环境监管大数据平台，实现对各级网格和各类污染源的集中在线监测、全程监控和监管指挥。</w:t>
                  </w:r>
                </w:p>
              </w:tc>
              <w:tc>
                <w:tcPr>
                  <w:tcW w:w="2602" w:type="dxa"/>
                  <w:tcBorders>
                    <w:tl2br w:val="nil"/>
                    <w:tr2bl w:val="nil"/>
                  </w:tcBorders>
                  <w:noWrap w:val="0"/>
                  <w:vAlign w:val="center"/>
                </w:tcPr>
                <w:p w14:paraId="7F62F3CD">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788DD883">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03A3FE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700" w:type="dxa"/>
                  <w:vMerge w:val="continue"/>
                  <w:tcBorders>
                    <w:tl2br w:val="nil"/>
                    <w:tr2bl w:val="nil"/>
                  </w:tcBorders>
                  <w:noWrap w:val="0"/>
                  <w:vAlign w:val="center"/>
                </w:tcPr>
                <w:p w14:paraId="00B89DF5">
                  <w:pPr>
                    <w:spacing w:line="280" w:lineRule="exact"/>
                    <w:ind w:firstLine="0" w:firstLineChars="0"/>
                    <w:jc w:val="center"/>
                    <w:rPr>
                      <w:color w:val="auto"/>
                      <w:kern w:val="0"/>
                      <w:sz w:val="21"/>
                      <w:szCs w:val="21"/>
                      <w:highlight w:val="none"/>
                      <w:lang w:val="zh-CN"/>
                    </w:rPr>
                  </w:pPr>
                </w:p>
              </w:tc>
              <w:tc>
                <w:tcPr>
                  <w:tcW w:w="777" w:type="dxa"/>
                  <w:vMerge w:val="restart"/>
                  <w:tcBorders>
                    <w:tl2br w:val="nil"/>
                    <w:tr2bl w:val="nil"/>
                  </w:tcBorders>
                  <w:noWrap w:val="0"/>
                  <w:vAlign w:val="center"/>
                </w:tcPr>
                <w:p w14:paraId="729454F7">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资源开发利用</w:t>
                  </w:r>
                </w:p>
              </w:tc>
              <w:tc>
                <w:tcPr>
                  <w:tcW w:w="8241" w:type="dxa"/>
                  <w:tcBorders>
                    <w:tl2br w:val="nil"/>
                    <w:tr2bl w:val="nil"/>
                  </w:tcBorders>
                  <w:noWrap w:val="0"/>
                  <w:vAlign w:val="center"/>
                </w:tcPr>
                <w:p w14:paraId="006EFF4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1、国家大气污染防治重点区域内新建、改建、扩建用煤项目的，应当实行煤炭的等量或者减量替代。</w:t>
                  </w:r>
                </w:p>
              </w:tc>
              <w:tc>
                <w:tcPr>
                  <w:tcW w:w="2602" w:type="dxa"/>
                  <w:tcBorders>
                    <w:tl2br w:val="nil"/>
                    <w:tr2bl w:val="nil"/>
                  </w:tcBorders>
                  <w:noWrap w:val="0"/>
                  <w:vAlign w:val="center"/>
                </w:tcPr>
                <w:p w14:paraId="25B9A4B8">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76" w:type="dxa"/>
                  <w:tcBorders>
                    <w:tl2br w:val="nil"/>
                    <w:tr2bl w:val="nil"/>
                  </w:tcBorders>
                  <w:noWrap w:val="0"/>
                  <w:vAlign w:val="center"/>
                </w:tcPr>
                <w:p w14:paraId="6D08422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E844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700" w:type="dxa"/>
                  <w:vMerge w:val="continue"/>
                  <w:tcBorders>
                    <w:tl2br w:val="nil"/>
                    <w:tr2bl w:val="nil"/>
                  </w:tcBorders>
                  <w:noWrap w:val="0"/>
                  <w:vAlign w:val="center"/>
                </w:tcPr>
                <w:p w14:paraId="63372758">
                  <w:pPr>
                    <w:spacing w:line="280" w:lineRule="exact"/>
                    <w:ind w:firstLine="0" w:firstLineChars="0"/>
                    <w:jc w:val="center"/>
                    <w:rPr>
                      <w:color w:val="auto"/>
                      <w:kern w:val="0"/>
                      <w:sz w:val="21"/>
                      <w:szCs w:val="21"/>
                      <w:highlight w:val="none"/>
                      <w:lang w:val="zh-CN"/>
                    </w:rPr>
                  </w:pPr>
                </w:p>
              </w:tc>
              <w:tc>
                <w:tcPr>
                  <w:tcW w:w="777" w:type="dxa"/>
                  <w:vMerge w:val="continue"/>
                  <w:tcBorders>
                    <w:tl2br w:val="nil"/>
                    <w:tr2bl w:val="nil"/>
                  </w:tcBorders>
                  <w:noWrap w:val="0"/>
                  <w:vAlign w:val="center"/>
                </w:tcPr>
                <w:p w14:paraId="5549CE24">
                  <w:pPr>
                    <w:spacing w:line="280" w:lineRule="exact"/>
                    <w:ind w:firstLine="0" w:firstLineChars="0"/>
                    <w:jc w:val="center"/>
                    <w:rPr>
                      <w:color w:val="auto"/>
                      <w:kern w:val="0"/>
                      <w:sz w:val="21"/>
                      <w:szCs w:val="21"/>
                      <w:highlight w:val="none"/>
                      <w:lang w:val="zh-CN"/>
                    </w:rPr>
                  </w:pPr>
                </w:p>
              </w:tc>
              <w:tc>
                <w:tcPr>
                  <w:tcW w:w="8241" w:type="dxa"/>
                  <w:tcBorders>
                    <w:tl2br w:val="nil"/>
                    <w:tr2bl w:val="nil"/>
                  </w:tcBorders>
                  <w:noWrap w:val="0"/>
                  <w:vAlign w:val="center"/>
                </w:tcPr>
                <w:p w14:paraId="2C9DD5AF">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2、实施能源消耗总量和强度双控行动。健全节能标准体系，大力开发、推广节能高效技术和产品，实现重点用能行业、设备节能标准全覆盖。</w:t>
                  </w:r>
                </w:p>
              </w:tc>
              <w:tc>
                <w:tcPr>
                  <w:tcW w:w="2602" w:type="dxa"/>
                  <w:tcBorders>
                    <w:tl2br w:val="nil"/>
                    <w:tr2bl w:val="nil"/>
                  </w:tcBorders>
                  <w:noWrap w:val="0"/>
                  <w:vAlign w:val="center"/>
                </w:tcPr>
                <w:p w14:paraId="6321BA5F">
                  <w:pPr>
                    <w:spacing w:line="280" w:lineRule="exact"/>
                    <w:ind w:firstLine="0" w:firstLineChars="0"/>
                    <w:jc w:val="center"/>
                    <w:rPr>
                      <w:rFonts w:hint="default" w:eastAsia="宋体"/>
                      <w:color w:val="auto"/>
                      <w:kern w:val="0"/>
                      <w:sz w:val="21"/>
                      <w:szCs w:val="21"/>
                      <w:highlight w:val="none"/>
                      <w:lang w:val="en-US" w:eastAsia="zh-CN"/>
                    </w:rPr>
                  </w:pPr>
                  <w:r>
                    <w:rPr>
                      <w:rFonts w:hint="default" w:eastAsia="宋体"/>
                      <w:color w:val="auto"/>
                      <w:kern w:val="0"/>
                      <w:sz w:val="21"/>
                      <w:szCs w:val="21"/>
                      <w:highlight w:val="none"/>
                      <w:lang w:val="en-US" w:eastAsia="zh-CN"/>
                    </w:rPr>
                    <w:t>本项目</w:t>
                  </w:r>
                  <w:r>
                    <w:rPr>
                      <w:rFonts w:hint="eastAsia" w:eastAsia="宋体"/>
                      <w:color w:val="auto"/>
                      <w:kern w:val="0"/>
                      <w:sz w:val="21"/>
                      <w:szCs w:val="21"/>
                      <w:highlight w:val="none"/>
                      <w:lang w:val="en-US" w:eastAsia="zh-CN"/>
                    </w:rPr>
                    <w:t>使用低耗能设备</w:t>
                  </w:r>
                  <w:r>
                    <w:rPr>
                      <w:rFonts w:hint="eastAsia"/>
                      <w:color w:val="auto"/>
                      <w:kern w:val="0"/>
                      <w:sz w:val="21"/>
                      <w:szCs w:val="21"/>
                      <w:highlight w:val="none"/>
                      <w:lang w:val="en-US" w:eastAsia="zh-CN"/>
                    </w:rPr>
                    <w:t>。</w:t>
                  </w:r>
                </w:p>
              </w:tc>
              <w:tc>
                <w:tcPr>
                  <w:tcW w:w="776" w:type="dxa"/>
                  <w:tcBorders>
                    <w:tl2br w:val="nil"/>
                    <w:tr2bl w:val="nil"/>
                  </w:tcBorders>
                  <w:noWrap w:val="0"/>
                  <w:vAlign w:val="center"/>
                </w:tcPr>
                <w:p w14:paraId="2ECF5384">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2081DC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73" w:hRule="atLeast"/>
                <w:jc w:val="center"/>
              </w:trPr>
              <w:tc>
                <w:tcPr>
                  <w:tcW w:w="700" w:type="dxa"/>
                  <w:vMerge w:val="continue"/>
                  <w:tcBorders>
                    <w:tl2br w:val="nil"/>
                    <w:tr2bl w:val="nil"/>
                  </w:tcBorders>
                  <w:noWrap w:val="0"/>
                  <w:vAlign w:val="center"/>
                </w:tcPr>
                <w:p w14:paraId="46048E89">
                  <w:pPr>
                    <w:spacing w:line="280" w:lineRule="exact"/>
                    <w:ind w:firstLine="0" w:firstLineChars="0"/>
                    <w:jc w:val="center"/>
                    <w:rPr>
                      <w:color w:val="auto"/>
                      <w:kern w:val="0"/>
                      <w:sz w:val="21"/>
                      <w:szCs w:val="21"/>
                      <w:highlight w:val="none"/>
                      <w:lang w:val="zh-CN"/>
                    </w:rPr>
                  </w:pPr>
                </w:p>
              </w:tc>
              <w:tc>
                <w:tcPr>
                  <w:tcW w:w="777" w:type="dxa"/>
                  <w:vMerge w:val="continue"/>
                  <w:tcBorders>
                    <w:tl2br w:val="nil"/>
                    <w:tr2bl w:val="nil"/>
                  </w:tcBorders>
                  <w:noWrap w:val="0"/>
                  <w:vAlign w:val="center"/>
                </w:tcPr>
                <w:p w14:paraId="39D085CF">
                  <w:pPr>
                    <w:spacing w:line="280" w:lineRule="exact"/>
                    <w:ind w:firstLine="0" w:firstLineChars="0"/>
                    <w:jc w:val="center"/>
                    <w:rPr>
                      <w:color w:val="auto"/>
                      <w:kern w:val="0"/>
                      <w:sz w:val="21"/>
                      <w:szCs w:val="21"/>
                      <w:highlight w:val="none"/>
                      <w:lang w:val="zh-CN"/>
                    </w:rPr>
                  </w:pPr>
                </w:p>
              </w:tc>
              <w:tc>
                <w:tcPr>
                  <w:tcW w:w="8241" w:type="dxa"/>
                  <w:tcBorders>
                    <w:tl2br w:val="nil"/>
                    <w:tr2bl w:val="nil"/>
                  </w:tcBorders>
                  <w:noWrap w:val="0"/>
                  <w:vAlign w:val="center"/>
                </w:tcPr>
                <w:p w14:paraId="0586AAB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3、新（改、扩）建项目能耗达到《河北省主要产品能耗限额和设备能效限定值》准入值要求，鼓励达到先进值。对能效不达标的企业限期进行节能提升改造，现有企业单位产品能耗达到《河北省主要产品能耗限额和设备能效限定值》限定值要求，鼓励已达标企业通过节能改造达到先进值。国家或省对重点行业单位产品能源消耗限额进行修订的，行业限定值、准入值、先进值按新标准执行。</w:t>
                  </w:r>
                </w:p>
              </w:tc>
              <w:tc>
                <w:tcPr>
                  <w:tcW w:w="2602" w:type="dxa"/>
                  <w:tcBorders>
                    <w:tl2br w:val="nil"/>
                    <w:tr2bl w:val="nil"/>
                  </w:tcBorders>
                  <w:noWrap w:val="0"/>
                  <w:vAlign w:val="center"/>
                </w:tcPr>
                <w:p w14:paraId="2110A7FB">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本项目建成后积极推进节能降耗。</w:t>
                  </w:r>
                </w:p>
              </w:tc>
              <w:tc>
                <w:tcPr>
                  <w:tcW w:w="776" w:type="dxa"/>
                  <w:tcBorders>
                    <w:tl2br w:val="nil"/>
                    <w:tr2bl w:val="nil"/>
                  </w:tcBorders>
                  <w:noWrap w:val="0"/>
                  <w:vAlign w:val="center"/>
                </w:tcPr>
                <w:p w14:paraId="38CDDAF1">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bl>
          <w:p w14:paraId="235031A1">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4ACC3CDA">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23788359">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2E0743A8">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73FE4868">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cs="Times New Roman"/>
                <w:b/>
                <w:bCs/>
                <w:color w:val="auto"/>
                <w:sz w:val="21"/>
                <w:szCs w:val="21"/>
                <w:highlight w:val="none"/>
                <w:lang w:val="en-US" w:eastAsia="zh-CN"/>
              </w:rPr>
            </w:pPr>
          </w:p>
          <w:p w14:paraId="7EBF1CBA">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唐山市生态环境准入清单</w:t>
            </w:r>
            <w:r>
              <w:rPr>
                <w:rFonts w:hint="eastAsia" w:cs="Times New Roman"/>
                <w:b/>
                <w:bCs/>
                <w:color w:val="auto"/>
                <w:sz w:val="21"/>
                <w:szCs w:val="21"/>
                <w:highlight w:val="none"/>
                <w:lang w:val="en-US" w:eastAsia="zh-CN"/>
              </w:rPr>
              <w:t>（全市地表水环境总体管控要求）符合性分析一览表</w:t>
            </w:r>
          </w:p>
          <w:tbl>
            <w:tblPr>
              <w:tblStyle w:val="29"/>
              <w:tblW w:w="131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61"/>
              <w:gridCol w:w="754"/>
              <w:gridCol w:w="8717"/>
              <w:gridCol w:w="2140"/>
              <w:gridCol w:w="781"/>
            </w:tblGrid>
            <w:tr w14:paraId="72AA4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761" w:type="dxa"/>
                  <w:tcBorders>
                    <w:tl2br w:val="nil"/>
                    <w:tr2bl w:val="nil"/>
                  </w:tcBorders>
                  <w:noWrap w:val="0"/>
                  <w:vAlign w:val="center"/>
                </w:tcPr>
                <w:p w14:paraId="1C462981">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要素属性</w:t>
                  </w:r>
                </w:p>
              </w:tc>
              <w:tc>
                <w:tcPr>
                  <w:tcW w:w="754" w:type="dxa"/>
                  <w:tcBorders>
                    <w:tl2br w:val="nil"/>
                    <w:tr2bl w:val="nil"/>
                  </w:tcBorders>
                  <w:noWrap w:val="0"/>
                  <w:vAlign w:val="center"/>
                </w:tcPr>
                <w:p w14:paraId="21834066">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管控类别</w:t>
                  </w:r>
                </w:p>
              </w:tc>
              <w:tc>
                <w:tcPr>
                  <w:tcW w:w="8717" w:type="dxa"/>
                  <w:tcBorders>
                    <w:tl2br w:val="nil"/>
                    <w:tr2bl w:val="nil"/>
                  </w:tcBorders>
                  <w:noWrap w:val="0"/>
                  <w:vAlign w:val="center"/>
                </w:tcPr>
                <w:p w14:paraId="596BB051">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管控要求</w:t>
                  </w:r>
                </w:p>
              </w:tc>
              <w:tc>
                <w:tcPr>
                  <w:tcW w:w="2140" w:type="dxa"/>
                  <w:tcBorders>
                    <w:tl2br w:val="nil"/>
                    <w:tr2bl w:val="nil"/>
                  </w:tcBorders>
                  <w:noWrap w:val="0"/>
                  <w:vAlign w:val="center"/>
                </w:tcPr>
                <w:p w14:paraId="114EF109">
                  <w:pPr>
                    <w:spacing w:line="280" w:lineRule="exact"/>
                    <w:ind w:firstLine="0" w:firstLineChars="0"/>
                    <w:jc w:val="center"/>
                    <w:rPr>
                      <w:color w:val="auto"/>
                      <w:kern w:val="0"/>
                      <w:sz w:val="21"/>
                      <w:szCs w:val="21"/>
                      <w:highlight w:val="none"/>
                    </w:rPr>
                  </w:pPr>
                  <w:r>
                    <w:rPr>
                      <w:color w:val="auto"/>
                      <w:kern w:val="0"/>
                      <w:sz w:val="21"/>
                      <w:szCs w:val="21"/>
                      <w:highlight w:val="none"/>
                    </w:rPr>
                    <w:t>项目情况</w:t>
                  </w:r>
                </w:p>
              </w:tc>
              <w:tc>
                <w:tcPr>
                  <w:tcW w:w="781" w:type="dxa"/>
                  <w:tcBorders>
                    <w:tl2br w:val="nil"/>
                    <w:tr2bl w:val="nil"/>
                  </w:tcBorders>
                  <w:noWrap w:val="0"/>
                  <w:vAlign w:val="center"/>
                </w:tcPr>
                <w:p w14:paraId="78C6C96B">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本项目</w:t>
                  </w:r>
                  <w:r>
                    <w:rPr>
                      <w:color w:val="auto"/>
                      <w:kern w:val="0"/>
                      <w:sz w:val="21"/>
                      <w:szCs w:val="21"/>
                      <w:highlight w:val="none"/>
                    </w:rPr>
                    <w:t>符合性</w:t>
                  </w:r>
                </w:p>
              </w:tc>
            </w:tr>
            <w:tr w14:paraId="49D75F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29" w:hRule="atLeast"/>
                <w:jc w:val="center"/>
              </w:trPr>
              <w:tc>
                <w:tcPr>
                  <w:tcW w:w="761" w:type="dxa"/>
                  <w:vMerge w:val="restart"/>
                  <w:tcBorders>
                    <w:tl2br w:val="nil"/>
                    <w:tr2bl w:val="nil"/>
                  </w:tcBorders>
                  <w:noWrap w:val="0"/>
                  <w:vAlign w:val="center"/>
                </w:tcPr>
                <w:p w14:paraId="095428E2">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地表水环境</w:t>
                  </w:r>
                </w:p>
              </w:tc>
              <w:tc>
                <w:tcPr>
                  <w:tcW w:w="754" w:type="dxa"/>
                  <w:tcBorders>
                    <w:tl2br w:val="nil"/>
                    <w:tr2bl w:val="nil"/>
                  </w:tcBorders>
                  <w:noWrap w:val="0"/>
                  <w:vAlign w:val="center"/>
                </w:tcPr>
                <w:p w14:paraId="452115D0">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污染防控目标</w:t>
                  </w:r>
                </w:p>
              </w:tc>
              <w:tc>
                <w:tcPr>
                  <w:tcW w:w="8717" w:type="dxa"/>
                  <w:tcBorders>
                    <w:tl2br w:val="nil"/>
                    <w:tr2bl w:val="nil"/>
                  </w:tcBorders>
                  <w:noWrap w:val="0"/>
                  <w:vAlign w:val="center"/>
                </w:tcPr>
                <w:p w14:paraId="5A591E7B">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default" w:ascii="Times New Roman" w:hAnsi="Times New Roman" w:cs="Times New Roman"/>
                      <w:color w:val="auto"/>
                      <w:kern w:val="0"/>
                      <w:sz w:val="21"/>
                      <w:szCs w:val="21"/>
                      <w:highlight w:val="none"/>
                      <w:lang w:val="zh-CN"/>
                    </w:rPr>
                    <w:t>到2025年全市水生态环境质量持续改善，地表水国家和河北省考核断面，达到或优于Ⅲ类水体断面比例达到85.71%，劣Ⅴ类水体比例全部消除；城市集中式饮用水水源水质达到或优于Ⅲ类比例为100%。</w:t>
                  </w:r>
                </w:p>
              </w:tc>
              <w:tc>
                <w:tcPr>
                  <w:tcW w:w="2140" w:type="dxa"/>
                  <w:tcBorders>
                    <w:tl2br w:val="nil"/>
                    <w:tr2bl w:val="nil"/>
                  </w:tcBorders>
                  <w:noWrap w:val="0"/>
                  <w:vAlign w:val="center"/>
                </w:tcPr>
                <w:p w14:paraId="59F4D3C4">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洗车废水沉淀后循环使用，生活污水泼洒抑尘，堆填（砌）区淋溶水沉淀处理后用于场区抑尘，无废水外排</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3AD5EF57">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1A5159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61" w:type="dxa"/>
                  <w:vMerge w:val="continue"/>
                  <w:tcBorders>
                    <w:tl2br w:val="nil"/>
                    <w:tr2bl w:val="nil"/>
                  </w:tcBorders>
                  <w:noWrap w:val="0"/>
                  <w:vAlign w:val="center"/>
                </w:tcPr>
                <w:p w14:paraId="686A98DD">
                  <w:pPr>
                    <w:spacing w:line="280" w:lineRule="exact"/>
                    <w:ind w:firstLine="0" w:firstLineChars="0"/>
                    <w:jc w:val="center"/>
                    <w:rPr>
                      <w:color w:val="auto"/>
                      <w:sz w:val="21"/>
                      <w:szCs w:val="21"/>
                      <w:highlight w:val="none"/>
                    </w:rPr>
                  </w:pPr>
                </w:p>
              </w:tc>
              <w:tc>
                <w:tcPr>
                  <w:tcW w:w="754" w:type="dxa"/>
                  <w:vMerge w:val="restart"/>
                  <w:tcBorders>
                    <w:tl2br w:val="nil"/>
                    <w:tr2bl w:val="nil"/>
                  </w:tcBorders>
                  <w:noWrap w:val="0"/>
                  <w:vAlign w:val="center"/>
                </w:tcPr>
                <w:p w14:paraId="039395D8">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空间布局约束</w:t>
                  </w:r>
                </w:p>
              </w:tc>
              <w:tc>
                <w:tcPr>
                  <w:tcW w:w="8717" w:type="dxa"/>
                  <w:tcBorders>
                    <w:tl2br w:val="nil"/>
                    <w:tr2bl w:val="nil"/>
                  </w:tcBorders>
                  <w:noWrap w:val="0"/>
                  <w:vAlign w:val="center"/>
                </w:tcPr>
                <w:p w14:paraId="149F99BF">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1、涉地表水自然保护区、湿地公园、饮用水水源保护区管控参照生态环境空间总体管控要求中各类保护地总体管控要求。</w:t>
                  </w:r>
                </w:p>
              </w:tc>
              <w:tc>
                <w:tcPr>
                  <w:tcW w:w="2140" w:type="dxa"/>
                  <w:tcBorders>
                    <w:tl2br w:val="nil"/>
                    <w:tr2bl w:val="nil"/>
                  </w:tcBorders>
                  <w:noWrap w:val="0"/>
                  <w:vAlign w:val="center"/>
                </w:tcPr>
                <w:p w14:paraId="2BB1E656">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7264513D">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56CB9C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24" w:hRule="atLeast"/>
                <w:jc w:val="center"/>
              </w:trPr>
              <w:tc>
                <w:tcPr>
                  <w:tcW w:w="761" w:type="dxa"/>
                  <w:vMerge w:val="continue"/>
                  <w:tcBorders>
                    <w:tl2br w:val="nil"/>
                    <w:tr2bl w:val="nil"/>
                  </w:tcBorders>
                  <w:noWrap w:val="0"/>
                  <w:vAlign w:val="center"/>
                </w:tcPr>
                <w:p w14:paraId="3D21C846">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47C90E9D">
                  <w:pPr>
                    <w:spacing w:line="280" w:lineRule="exact"/>
                    <w:ind w:firstLine="0" w:firstLineChars="0"/>
                    <w:jc w:val="center"/>
                    <w:rPr>
                      <w:rFonts w:hint="eastAsia"/>
                      <w:color w:val="auto"/>
                      <w:sz w:val="21"/>
                      <w:szCs w:val="21"/>
                      <w:highlight w:val="none"/>
                      <w:lang w:val="en-US" w:eastAsia="zh-CN"/>
                    </w:rPr>
                  </w:pPr>
                </w:p>
              </w:tc>
              <w:tc>
                <w:tcPr>
                  <w:tcW w:w="8717" w:type="dxa"/>
                  <w:tcBorders>
                    <w:tl2br w:val="nil"/>
                    <w:tr2bl w:val="nil"/>
                  </w:tcBorders>
                  <w:noWrap w:val="0"/>
                  <w:vAlign w:val="center"/>
                </w:tcPr>
                <w:p w14:paraId="23690AB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2、鼓励发展节水高效现代农业、低耗水高新技术产业以及生态保护型旅游业，严格控制缺水地区、水污染严重地区和敏感区域高耗水、高污染行业发展。</w:t>
                  </w:r>
                </w:p>
              </w:tc>
              <w:tc>
                <w:tcPr>
                  <w:tcW w:w="2140" w:type="dxa"/>
                  <w:tcBorders>
                    <w:tl2br w:val="nil"/>
                    <w:tr2bl w:val="nil"/>
                  </w:tcBorders>
                  <w:noWrap w:val="0"/>
                  <w:vAlign w:val="center"/>
                </w:tcPr>
                <w:p w14:paraId="7940134E">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F86CC12">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7B6441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40" w:hRule="atLeast"/>
                <w:jc w:val="center"/>
              </w:trPr>
              <w:tc>
                <w:tcPr>
                  <w:tcW w:w="761" w:type="dxa"/>
                  <w:vMerge w:val="continue"/>
                  <w:tcBorders>
                    <w:tl2br w:val="nil"/>
                    <w:tr2bl w:val="nil"/>
                  </w:tcBorders>
                  <w:noWrap w:val="0"/>
                  <w:vAlign w:val="center"/>
                </w:tcPr>
                <w:p w14:paraId="506B4BFE">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4FA78AC3">
                  <w:pPr>
                    <w:spacing w:line="280" w:lineRule="exact"/>
                    <w:ind w:firstLine="0" w:firstLineChars="0"/>
                    <w:jc w:val="center"/>
                    <w:rPr>
                      <w:rFonts w:hint="eastAsia"/>
                      <w:color w:val="auto"/>
                      <w:sz w:val="21"/>
                      <w:szCs w:val="21"/>
                      <w:highlight w:val="none"/>
                      <w:lang w:val="en-US" w:eastAsia="zh-CN"/>
                    </w:rPr>
                  </w:pPr>
                </w:p>
              </w:tc>
              <w:tc>
                <w:tcPr>
                  <w:tcW w:w="8717" w:type="dxa"/>
                  <w:tcBorders>
                    <w:tl2br w:val="nil"/>
                    <w:tr2bl w:val="nil"/>
                  </w:tcBorders>
                  <w:noWrap w:val="0"/>
                  <w:vAlign w:val="center"/>
                </w:tcPr>
                <w:p w14:paraId="7F839DAE">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eastAsia="宋体"/>
                      <w:color w:val="auto"/>
                      <w:kern w:val="0"/>
                      <w:sz w:val="21"/>
                      <w:szCs w:val="21"/>
                      <w:highlight w:val="none"/>
                      <w:lang w:eastAsia="zh-CN"/>
                    </w:rPr>
                  </w:pPr>
                  <w:r>
                    <w:rPr>
                      <w:rFonts w:hint="eastAsia" w:eastAsia="宋体"/>
                      <w:color w:val="auto"/>
                      <w:kern w:val="0"/>
                      <w:sz w:val="21"/>
                      <w:szCs w:val="21"/>
                      <w:highlight w:val="none"/>
                      <w:lang w:eastAsia="zh-CN"/>
                    </w:rPr>
                    <w:t>3、全市重点河流沿岸、重要饮用水水源地补给区，严格控制化学原料和化学制品制造、医药制造、制革、造纸、焦化、化学纤维制造、石油加工、纺织印染等项目环境风险，合理布局生产装置及危险化学品仓储等设施。重大项目原则上布局在优化开发区和重点开发区，并符合城乡规划和土地利用总体规划。</w:t>
                  </w:r>
                </w:p>
              </w:tc>
              <w:tc>
                <w:tcPr>
                  <w:tcW w:w="2140" w:type="dxa"/>
                  <w:tcBorders>
                    <w:tl2br w:val="nil"/>
                    <w:tr2bl w:val="nil"/>
                  </w:tcBorders>
                  <w:noWrap w:val="0"/>
                  <w:vAlign w:val="center"/>
                </w:tcPr>
                <w:p w14:paraId="402D0532">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75D02805">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4E85BB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88" w:hRule="atLeast"/>
                <w:jc w:val="center"/>
              </w:trPr>
              <w:tc>
                <w:tcPr>
                  <w:tcW w:w="761" w:type="dxa"/>
                  <w:vMerge w:val="continue"/>
                  <w:tcBorders>
                    <w:tl2br w:val="nil"/>
                    <w:tr2bl w:val="nil"/>
                  </w:tcBorders>
                  <w:noWrap w:val="0"/>
                  <w:vAlign w:val="center"/>
                </w:tcPr>
                <w:p w14:paraId="348CCAAA">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22F437AE">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5D415D4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4、未按照规定完成污水集中处理设施以及管网建设的工业园区（工业集聚区），暂停审批和核准其增加水污染物排放的建设项目。向污水集中处理设施排放工业废水的，应当按照国家有关规定进行预处理，达到集中处理设施处理工艺要求后方可排放。</w:t>
                  </w:r>
                </w:p>
              </w:tc>
              <w:tc>
                <w:tcPr>
                  <w:tcW w:w="2140" w:type="dxa"/>
                  <w:tcBorders>
                    <w:tl2br w:val="nil"/>
                    <w:tr2bl w:val="nil"/>
                  </w:tcBorders>
                  <w:noWrap w:val="0"/>
                  <w:vAlign w:val="center"/>
                </w:tcPr>
                <w:p w14:paraId="62F06D53">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洗车废水沉淀后循环使用，生活污水泼洒抑尘，堆填（砌）区淋溶水沉淀处理后用于场区抑尘，无废水外排</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4E7254D9">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14FF33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94" w:hRule="atLeast"/>
                <w:jc w:val="center"/>
              </w:trPr>
              <w:tc>
                <w:tcPr>
                  <w:tcW w:w="761" w:type="dxa"/>
                  <w:vMerge w:val="continue"/>
                  <w:tcBorders>
                    <w:tl2br w:val="nil"/>
                    <w:tr2bl w:val="nil"/>
                  </w:tcBorders>
                  <w:noWrap w:val="0"/>
                  <w:vAlign w:val="center"/>
                </w:tcPr>
                <w:p w14:paraId="686898E2">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660757D8">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552B32B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5、推进现有企业向依法合规设立、环保设施齐全、符合规划环评要求、满足水法律法规规定的工业集聚区集中，明确涉水工业企业入园时间表；确因不具备入园条件需原地保留的涉水工业企业，明确保留条件，其中直排环境企业应达到排入水体功能区标准。</w:t>
                  </w:r>
                </w:p>
              </w:tc>
              <w:tc>
                <w:tcPr>
                  <w:tcW w:w="2140" w:type="dxa"/>
                  <w:tcBorders>
                    <w:tl2br w:val="nil"/>
                    <w:tr2bl w:val="nil"/>
                  </w:tcBorders>
                  <w:noWrap w:val="0"/>
                  <w:vAlign w:val="center"/>
                </w:tcPr>
                <w:p w14:paraId="1407E1FC">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54D0DB2">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0ACE64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42" w:hRule="atLeast"/>
                <w:jc w:val="center"/>
              </w:trPr>
              <w:tc>
                <w:tcPr>
                  <w:tcW w:w="761" w:type="dxa"/>
                  <w:vMerge w:val="continue"/>
                  <w:tcBorders>
                    <w:tl2br w:val="nil"/>
                    <w:tr2bl w:val="nil"/>
                  </w:tcBorders>
                  <w:noWrap w:val="0"/>
                  <w:vAlign w:val="center"/>
                </w:tcPr>
                <w:p w14:paraId="56CF35EF">
                  <w:pPr>
                    <w:spacing w:line="280" w:lineRule="exact"/>
                    <w:ind w:firstLine="0" w:firstLineChars="0"/>
                    <w:jc w:val="center"/>
                    <w:rPr>
                      <w:color w:val="auto"/>
                      <w:sz w:val="21"/>
                      <w:szCs w:val="21"/>
                      <w:highlight w:val="none"/>
                    </w:rPr>
                  </w:pPr>
                </w:p>
              </w:tc>
              <w:tc>
                <w:tcPr>
                  <w:tcW w:w="754" w:type="dxa"/>
                  <w:vMerge w:val="restart"/>
                  <w:tcBorders>
                    <w:tl2br w:val="nil"/>
                    <w:tr2bl w:val="nil"/>
                  </w:tcBorders>
                  <w:noWrap w:val="0"/>
                  <w:vAlign w:val="center"/>
                </w:tcPr>
                <w:p w14:paraId="0F0FD3B0">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污染物排放管控</w:t>
                  </w:r>
                </w:p>
              </w:tc>
              <w:tc>
                <w:tcPr>
                  <w:tcW w:w="8717" w:type="dxa"/>
                  <w:tcBorders>
                    <w:tl2br w:val="nil"/>
                    <w:tr2bl w:val="nil"/>
                  </w:tcBorders>
                  <w:noWrap w:val="0"/>
                  <w:vAlign w:val="center"/>
                </w:tcPr>
                <w:p w14:paraId="3886C8B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1、严格控制高污染、高耗水行业新增产能。产能过剩产业实行新增产能等量替代、涉水主要污染物排放同行业倍量替代。对造纸、焦化、氮肥、石油化工、印染、农副食品加工、原料药制造、制革、农药、电镀等</w:t>
                  </w:r>
                  <w:r>
                    <w:rPr>
                      <w:rFonts w:hint="eastAsia" w:ascii="宋体" w:hAnsi="宋体" w:eastAsia="宋体" w:cs="宋体"/>
                      <w:color w:val="auto"/>
                      <w:kern w:val="0"/>
                      <w:sz w:val="21"/>
                      <w:szCs w:val="21"/>
                      <w:highlight w:val="none"/>
                    </w:rPr>
                    <w:t>“十大”</w:t>
                  </w:r>
                  <w:r>
                    <w:rPr>
                      <w:rFonts w:hint="eastAsia"/>
                      <w:color w:val="auto"/>
                      <w:kern w:val="0"/>
                      <w:sz w:val="21"/>
                      <w:szCs w:val="21"/>
                      <w:highlight w:val="none"/>
                    </w:rPr>
                    <w:t>重点行业，新建、改建、扩建项目实行新增主要污染物排放倍量替代。</w:t>
                  </w:r>
                </w:p>
              </w:tc>
              <w:tc>
                <w:tcPr>
                  <w:tcW w:w="2140" w:type="dxa"/>
                  <w:tcBorders>
                    <w:tl2br w:val="nil"/>
                    <w:tr2bl w:val="nil"/>
                  </w:tcBorders>
                  <w:noWrap w:val="0"/>
                  <w:vAlign w:val="center"/>
                </w:tcPr>
                <w:p w14:paraId="71B1B6A3">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4C1CD977">
                  <w:pPr>
                    <w:spacing w:line="280" w:lineRule="exact"/>
                    <w:ind w:firstLine="0" w:firstLineChars="0"/>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36ABCB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65" w:hRule="atLeast"/>
                <w:jc w:val="center"/>
              </w:trPr>
              <w:tc>
                <w:tcPr>
                  <w:tcW w:w="761" w:type="dxa"/>
                  <w:vMerge w:val="continue"/>
                  <w:tcBorders>
                    <w:tl2br w:val="nil"/>
                    <w:tr2bl w:val="nil"/>
                  </w:tcBorders>
                  <w:noWrap w:val="0"/>
                  <w:vAlign w:val="center"/>
                </w:tcPr>
                <w:p w14:paraId="13E676A3">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6AEE7965">
                  <w:pPr>
                    <w:spacing w:line="280" w:lineRule="exact"/>
                    <w:ind w:firstLine="0" w:firstLineChars="0"/>
                    <w:jc w:val="center"/>
                    <w:rPr>
                      <w:rFonts w:hint="default" w:eastAsia="宋体"/>
                      <w:color w:val="auto"/>
                      <w:sz w:val="21"/>
                      <w:szCs w:val="21"/>
                      <w:highlight w:val="none"/>
                      <w:lang w:val="en-US" w:eastAsia="zh-CN"/>
                    </w:rPr>
                  </w:pPr>
                </w:p>
              </w:tc>
              <w:tc>
                <w:tcPr>
                  <w:tcW w:w="8717" w:type="dxa"/>
                  <w:tcBorders>
                    <w:tl2br w:val="nil"/>
                    <w:tr2bl w:val="nil"/>
                  </w:tcBorders>
                  <w:noWrap w:val="0"/>
                  <w:vAlign w:val="center"/>
                </w:tcPr>
                <w:p w14:paraId="7AFFC47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全面加强城镇污水管网建设，提升污水收集能力。扩大城镇污水管网覆盖范围，推进新建城区、扩建新区以及城乡结合部等污水截留、收集纳管；进一步加强城区支管、毛细管等管网建设，提高污水收集率。推进城镇排水系统雨污分流建设，新建城区、扩建新区、新开发区建设排水管网一律实行雨污分流；强化各县（市、区）城区和重点城镇污水管网建设，新建污水处理设施应与配套管网同步设计、同步建设、同步投运。推进初期雨水收集、处理与资源化利用。</w:t>
                  </w:r>
                </w:p>
              </w:tc>
              <w:tc>
                <w:tcPr>
                  <w:tcW w:w="2140" w:type="dxa"/>
                  <w:tcBorders>
                    <w:tl2br w:val="nil"/>
                    <w:tr2bl w:val="nil"/>
                  </w:tcBorders>
                  <w:noWrap w:val="0"/>
                  <w:vAlign w:val="center"/>
                </w:tcPr>
                <w:p w14:paraId="4F067845">
                  <w:pPr>
                    <w:spacing w:line="280" w:lineRule="exact"/>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02F06D5E">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1F5B3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78" w:hRule="atLeast"/>
                <w:jc w:val="center"/>
              </w:trPr>
              <w:tc>
                <w:tcPr>
                  <w:tcW w:w="761" w:type="dxa"/>
                  <w:vMerge w:val="continue"/>
                  <w:tcBorders>
                    <w:tl2br w:val="nil"/>
                    <w:tr2bl w:val="nil"/>
                  </w:tcBorders>
                  <w:noWrap w:val="0"/>
                  <w:vAlign w:val="center"/>
                </w:tcPr>
                <w:p w14:paraId="1FE54D88">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222A5E1C">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16B288AB">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强化工业污水限期达标整治。推进废水直排外环境的工业企业全面达标排放。强化入河排污口监督管理，推动入河排污口规范化建设，取缔非法入河排污口。加大超标排放整治力度，对超标和超总量的企业依法查处，对企业超标现象普遍、超标企业集中地区政府采取挂牌督办、公开约谈等措施。对整治仍不能达到要求且情节严重的企业，由所在地政府依法责令限期关闭。</w:t>
                  </w:r>
                </w:p>
              </w:tc>
              <w:tc>
                <w:tcPr>
                  <w:tcW w:w="2140" w:type="dxa"/>
                  <w:tcBorders>
                    <w:tl2br w:val="nil"/>
                    <w:tr2bl w:val="nil"/>
                  </w:tcBorders>
                  <w:noWrap w:val="0"/>
                  <w:vAlign w:val="center"/>
                </w:tcPr>
                <w:p w14:paraId="69438741">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洗车废水沉淀后循环使用，生活污水泼洒抑尘，堆填（砌）区淋溶水沉淀处理后用于场区抑尘，无废水外排</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67C95A4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8DDD5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0" w:hRule="atLeast"/>
                <w:jc w:val="center"/>
              </w:trPr>
              <w:tc>
                <w:tcPr>
                  <w:tcW w:w="761" w:type="dxa"/>
                  <w:vMerge w:val="continue"/>
                  <w:tcBorders>
                    <w:tl2br w:val="nil"/>
                    <w:tr2bl w:val="nil"/>
                  </w:tcBorders>
                  <w:noWrap w:val="0"/>
                  <w:vAlign w:val="center"/>
                </w:tcPr>
                <w:p w14:paraId="2556CF99">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5AD72875">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24D368A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4、推进农业面源污染治理。减少化肥农药使用量，严格控制高毒高风险农药使用，推进有机肥替代化肥、病虫害绿色防控替代化学防治，积极推进废旧农膜回收，完善废旧地膜和包装废弃物等回收处理制度。</w:t>
                  </w:r>
                </w:p>
              </w:tc>
              <w:tc>
                <w:tcPr>
                  <w:tcW w:w="2140" w:type="dxa"/>
                  <w:tcBorders>
                    <w:tl2br w:val="nil"/>
                    <w:tr2bl w:val="nil"/>
                  </w:tcBorders>
                  <w:noWrap w:val="0"/>
                  <w:vAlign w:val="center"/>
                </w:tcPr>
                <w:p w14:paraId="7B9FF72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15DFEE9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16D04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761" w:type="dxa"/>
                  <w:vMerge w:val="continue"/>
                  <w:tcBorders>
                    <w:tl2br w:val="nil"/>
                    <w:tr2bl w:val="nil"/>
                  </w:tcBorders>
                  <w:noWrap w:val="0"/>
                  <w:vAlign w:val="center"/>
                </w:tcPr>
                <w:p w14:paraId="44A5FD73">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24EB21A9">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4617C4F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5、推进养殖废弃物资源化利用。坚持种植和养殖相结合，就地就近消纳利用畜禽养殖废弃物。合理布局水产养殖空间，深入推进生态健康养殖，开展重点河流湖库及近岸海域破坏生态环境的养殖方式综合整治。</w:t>
                  </w:r>
                </w:p>
              </w:tc>
              <w:tc>
                <w:tcPr>
                  <w:tcW w:w="2140" w:type="dxa"/>
                  <w:tcBorders>
                    <w:tl2br w:val="nil"/>
                    <w:tr2bl w:val="nil"/>
                  </w:tcBorders>
                  <w:noWrap w:val="0"/>
                  <w:vAlign w:val="center"/>
                </w:tcPr>
                <w:p w14:paraId="7227ACBA">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79C079B">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39B53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33" w:hRule="atLeast"/>
                <w:jc w:val="center"/>
              </w:trPr>
              <w:tc>
                <w:tcPr>
                  <w:tcW w:w="761" w:type="dxa"/>
                  <w:vMerge w:val="continue"/>
                  <w:tcBorders>
                    <w:tl2br w:val="nil"/>
                    <w:tr2bl w:val="nil"/>
                  </w:tcBorders>
                  <w:noWrap w:val="0"/>
                  <w:vAlign w:val="center"/>
                </w:tcPr>
                <w:p w14:paraId="79F09F7D">
                  <w:pPr>
                    <w:spacing w:line="280" w:lineRule="exact"/>
                    <w:ind w:firstLine="0" w:firstLineChars="0"/>
                    <w:jc w:val="center"/>
                    <w:rPr>
                      <w:color w:val="auto"/>
                      <w:sz w:val="21"/>
                      <w:szCs w:val="21"/>
                      <w:highlight w:val="none"/>
                    </w:rPr>
                  </w:pPr>
                </w:p>
              </w:tc>
              <w:tc>
                <w:tcPr>
                  <w:tcW w:w="754" w:type="dxa"/>
                  <w:vMerge w:val="continue"/>
                  <w:tcBorders>
                    <w:tl2br w:val="nil"/>
                    <w:tr2bl w:val="nil"/>
                  </w:tcBorders>
                  <w:noWrap w:val="0"/>
                  <w:vAlign w:val="center"/>
                </w:tcPr>
                <w:p w14:paraId="17ED8F1D">
                  <w:pPr>
                    <w:spacing w:line="280" w:lineRule="exact"/>
                    <w:ind w:firstLine="0" w:firstLineChars="0"/>
                    <w:jc w:val="center"/>
                    <w:rPr>
                      <w:color w:val="auto"/>
                      <w:sz w:val="21"/>
                      <w:szCs w:val="21"/>
                      <w:highlight w:val="none"/>
                    </w:rPr>
                  </w:pPr>
                </w:p>
              </w:tc>
              <w:tc>
                <w:tcPr>
                  <w:tcW w:w="8717" w:type="dxa"/>
                  <w:tcBorders>
                    <w:tl2br w:val="nil"/>
                    <w:tr2bl w:val="nil"/>
                  </w:tcBorders>
                  <w:noWrap w:val="0"/>
                  <w:vAlign w:val="center"/>
                </w:tcPr>
                <w:p w14:paraId="7B9A04D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6、实施总氮排放总量控制，新建、改建、扩建涉及总氮排放的建设项目，实施总氮排放总量指标减量替代，并在相关单位排污许可证中予以明确、严格落实，严控新增总氮排放量。</w:t>
                  </w:r>
                </w:p>
              </w:tc>
              <w:tc>
                <w:tcPr>
                  <w:tcW w:w="2140" w:type="dxa"/>
                  <w:tcBorders>
                    <w:tl2br w:val="nil"/>
                    <w:tr2bl w:val="nil"/>
                  </w:tcBorders>
                  <w:noWrap w:val="0"/>
                  <w:vAlign w:val="center"/>
                </w:tcPr>
                <w:p w14:paraId="5AE08091">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洗车废水沉淀后循环使用，生活污水泼洒抑尘，堆填（砌）区淋溶水沉淀处理后用于场区抑尘，无废水外排</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72EF0E04">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BE799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85" w:hRule="atLeast"/>
                <w:jc w:val="center"/>
              </w:trPr>
              <w:tc>
                <w:tcPr>
                  <w:tcW w:w="761" w:type="dxa"/>
                  <w:vMerge w:val="continue"/>
                  <w:tcBorders>
                    <w:tl2br w:val="nil"/>
                    <w:tr2bl w:val="nil"/>
                  </w:tcBorders>
                  <w:noWrap w:val="0"/>
                  <w:vAlign w:val="center"/>
                </w:tcPr>
                <w:p w14:paraId="745CBFA0">
                  <w:pPr>
                    <w:spacing w:line="280" w:lineRule="exact"/>
                    <w:ind w:firstLine="0" w:firstLineChars="0"/>
                    <w:jc w:val="center"/>
                    <w:rPr>
                      <w:color w:val="auto"/>
                      <w:sz w:val="21"/>
                      <w:szCs w:val="21"/>
                      <w:highlight w:val="none"/>
                    </w:rPr>
                  </w:pPr>
                </w:p>
              </w:tc>
              <w:tc>
                <w:tcPr>
                  <w:tcW w:w="754" w:type="dxa"/>
                  <w:tcBorders>
                    <w:tl2br w:val="nil"/>
                    <w:tr2bl w:val="nil"/>
                  </w:tcBorders>
                  <w:noWrap w:val="0"/>
                  <w:vAlign w:val="center"/>
                </w:tcPr>
                <w:p w14:paraId="15DF4665">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环境风险防控</w:t>
                  </w:r>
                </w:p>
              </w:tc>
              <w:tc>
                <w:tcPr>
                  <w:tcW w:w="8717" w:type="dxa"/>
                  <w:tcBorders>
                    <w:tl2br w:val="nil"/>
                    <w:tr2bl w:val="nil"/>
                  </w:tcBorders>
                  <w:noWrap w:val="0"/>
                  <w:vAlign w:val="center"/>
                </w:tcPr>
                <w:p w14:paraId="7B4B634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有效防控水源地环境风险。每年对集中式饮用水水源保护区开展基础调查与评估，将可能影响水源水质安全的风险源全部列入档案，加强风险应急防控，建立联防联控应急机制。推广供水水厂应急净化技术，储备应急供水专项物资，配置移动式应急净水设备，加强应急抢险专业队伍建设，及时有效处置饮用水水源突发环境事件。</w:t>
                  </w:r>
                </w:p>
              </w:tc>
              <w:tc>
                <w:tcPr>
                  <w:tcW w:w="2140" w:type="dxa"/>
                  <w:tcBorders>
                    <w:tl2br w:val="nil"/>
                    <w:tr2bl w:val="nil"/>
                  </w:tcBorders>
                  <w:noWrap w:val="0"/>
                  <w:vAlign w:val="center"/>
                </w:tcPr>
                <w:p w14:paraId="4882BB50">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1BCB127D">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D4CE2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7" w:hRule="atLeast"/>
                <w:jc w:val="center"/>
              </w:trPr>
              <w:tc>
                <w:tcPr>
                  <w:tcW w:w="761" w:type="dxa"/>
                  <w:vMerge w:val="continue"/>
                  <w:tcBorders>
                    <w:tl2br w:val="nil"/>
                    <w:tr2bl w:val="nil"/>
                  </w:tcBorders>
                  <w:noWrap w:val="0"/>
                  <w:vAlign w:val="center"/>
                </w:tcPr>
                <w:p w14:paraId="52E3A894">
                  <w:pPr>
                    <w:spacing w:line="280" w:lineRule="exact"/>
                    <w:ind w:firstLine="0" w:firstLineChars="0"/>
                    <w:jc w:val="center"/>
                    <w:rPr>
                      <w:color w:val="auto"/>
                      <w:kern w:val="0"/>
                      <w:sz w:val="21"/>
                      <w:szCs w:val="21"/>
                      <w:highlight w:val="none"/>
                      <w:lang w:val="zh-CN"/>
                    </w:rPr>
                  </w:pPr>
                </w:p>
              </w:tc>
              <w:tc>
                <w:tcPr>
                  <w:tcW w:w="754" w:type="dxa"/>
                  <w:vMerge w:val="restart"/>
                  <w:tcBorders>
                    <w:tl2br w:val="nil"/>
                    <w:tr2bl w:val="nil"/>
                  </w:tcBorders>
                  <w:noWrap w:val="0"/>
                  <w:vAlign w:val="center"/>
                </w:tcPr>
                <w:p w14:paraId="17861E1F">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资源开发利用</w:t>
                  </w:r>
                </w:p>
              </w:tc>
              <w:tc>
                <w:tcPr>
                  <w:tcW w:w="8717" w:type="dxa"/>
                  <w:tcBorders>
                    <w:tl2br w:val="nil"/>
                    <w:tr2bl w:val="nil"/>
                  </w:tcBorders>
                  <w:noWrap w:val="0"/>
                  <w:vAlign w:val="center"/>
                </w:tcPr>
                <w:p w14:paraId="440A8EE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1、开展用水效率评估，建立万元工业增加值水耗指标等用水效率评估体系，把节水目标任务完成情况纳入地方政府政绩考核。将再生水、雨水和微咸水等非常规水源纳入水资源统一配置。</w:t>
                  </w:r>
                </w:p>
              </w:tc>
              <w:tc>
                <w:tcPr>
                  <w:tcW w:w="2140" w:type="dxa"/>
                  <w:tcBorders>
                    <w:tl2br w:val="nil"/>
                    <w:tr2bl w:val="nil"/>
                  </w:tcBorders>
                  <w:noWrap w:val="0"/>
                  <w:vAlign w:val="center"/>
                </w:tcPr>
                <w:p w14:paraId="7C546881">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21487F9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324838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56" w:hRule="atLeast"/>
                <w:jc w:val="center"/>
              </w:trPr>
              <w:tc>
                <w:tcPr>
                  <w:tcW w:w="761" w:type="dxa"/>
                  <w:vMerge w:val="continue"/>
                  <w:tcBorders>
                    <w:tl2br w:val="nil"/>
                    <w:tr2bl w:val="nil"/>
                  </w:tcBorders>
                  <w:noWrap w:val="0"/>
                  <w:vAlign w:val="center"/>
                </w:tcPr>
                <w:p w14:paraId="47B52D8D">
                  <w:pPr>
                    <w:spacing w:line="280" w:lineRule="exact"/>
                    <w:ind w:firstLine="0" w:firstLineChars="0"/>
                    <w:jc w:val="center"/>
                    <w:rPr>
                      <w:color w:val="auto"/>
                      <w:kern w:val="0"/>
                      <w:sz w:val="21"/>
                      <w:szCs w:val="21"/>
                      <w:highlight w:val="none"/>
                      <w:lang w:val="zh-CN"/>
                    </w:rPr>
                  </w:pPr>
                </w:p>
              </w:tc>
              <w:tc>
                <w:tcPr>
                  <w:tcW w:w="754" w:type="dxa"/>
                  <w:vMerge w:val="continue"/>
                  <w:tcBorders>
                    <w:tl2br w:val="nil"/>
                    <w:tr2bl w:val="nil"/>
                  </w:tcBorders>
                  <w:noWrap w:val="0"/>
                  <w:vAlign w:val="center"/>
                </w:tcPr>
                <w:p w14:paraId="0FB107B9">
                  <w:pPr>
                    <w:spacing w:line="280" w:lineRule="exact"/>
                    <w:ind w:firstLine="0" w:firstLineChars="0"/>
                    <w:jc w:val="center"/>
                    <w:rPr>
                      <w:color w:val="auto"/>
                      <w:kern w:val="0"/>
                      <w:sz w:val="21"/>
                      <w:szCs w:val="21"/>
                      <w:highlight w:val="none"/>
                      <w:lang w:val="zh-CN"/>
                    </w:rPr>
                  </w:pPr>
                </w:p>
              </w:tc>
              <w:tc>
                <w:tcPr>
                  <w:tcW w:w="8717" w:type="dxa"/>
                  <w:tcBorders>
                    <w:tl2br w:val="nil"/>
                    <w:tr2bl w:val="nil"/>
                  </w:tcBorders>
                  <w:noWrap w:val="0"/>
                  <w:vAlign w:val="center"/>
                </w:tcPr>
                <w:p w14:paraId="1FD0CBD1">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2、发展农业节水。调整农业种植结构，发展旱作节水农业，推进田间节水设施建设，大力推广耐旱节水品种、耕作保墒、地膜覆盖、秸秆还田、水肥一体化等农业综合节水技术。推广渠道防渗、管道输水、喷灌、微灌、农作物节水抗旱等技术，完善灌溉用水计量设施，推进规模化高效节水灌溉。加快高效节水灌溉示范项目建设，粮食主产区大力推广以高标准管灌为主的节水灌溉工程，蔬菜、果品和经济种植区大力推广微滴灌技术，规模化农场、承包大户积极推广喷灌技术。地上水灌区实施续建配套与节水改造。</w:t>
                  </w:r>
                </w:p>
              </w:tc>
              <w:tc>
                <w:tcPr>
                  <w:tcW w:w="2140" w:type="dxa"/>
                  <w:tcBorders>
                    <w:tl2br w:val="nil"/>
                    <w:tr2bl w:val="nil"/>
                  </w:tcBorders>
                  <w:noWrap w:val="0"/>
                  <w:vAlign w:val="center"/>
                </w:tcPr>
                <w:p w14:paraId="3392B6A5">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170913B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bl>
          <w:p w14:paraId="411B51B8">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唐山市生态环境准入清单</w:t>
            </w:r>
            <w:r>
              <w:rPr>
                <w:rFonts w:hint="eastAsia" w:cs="Times New Roman"/>
                <w:b/>
                <w:bCs/>
                <w:color w:val="auto"/>
                <w:sz w:val="21"/>
                <w:szCs w:val="21"/>
                <w:highlight w:val="none"/>
                <w:lang w:val="en-US" w:eastAsia="zh-CN"/>
              </w:rPr>
              <w:t>（全市土壤及地下水环境总体管控要求）符合性分析一览表</w:t>
            </w:r>
          </w:p>
          <w:tbl>
            <w:tblPr>
              <w:tblStyle w:val="29"/>
              <w:tblW w:w="131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03"/>
              <w:gridCol w:w="780"/>
              <w:gridCol w:w="8944"/>
              <w:gridCol w:w="1945"/>
              <w:gridCol w:w="781"/>
            </w:tblGrid>
            <w:tr w14:paraId="10F761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05" w:hRule="atLeast"/>
                <w:jc w:val="center"/>
              </w:trPr>
              <w:tc>
                <w:tcPr>
                  <w:tcW w:w="703" w:type="dxa"/>
                  <w:tcBorders>
                    <w:tl2br w:val="nil"/>
                    <w:tr2bl w:val="nil"/>
                  </w:tcBorders>
                  <w:noWrap w:val="0"/>
                  <w:vAlign w:val="center"/>
                </w:tcPr>
                <w:p w14:paraId="048C6BC7">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要素属性</w:t>
                  </w:r>
                </w:p>
              </w:tc>
              <w:tc>
                <w:tcPr>
                  <w:tcW w:w="780" w:type="dxa"/>
                  <w:tcBorders>
                    <w:tl2br w:val="nil"/>
                    <w:tr2bl w:val="nil"/>
                  </w:tcBorders>
                  <w:noWrap w:val="0"/>
                  <w:vAlign w:val="center"/>
                </w:tcPr>
                <w:p w14:paraId="4B498F87">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管控类别</w:t>
                  </w:r>
                </w:p>
              </w:tc>
              <w:tc>
                <w:tcPr>
                  <w:tcW w:w="8944" w:type="dxa"/>
                  <w:tcBorders>
                    <w:tl2br w:val="nil"/>
                    <w:tr2bl w:val="nil"/>
                  </w:tcBorders>
                  <w:noWrap w:val="0"/>
                  <w:vAlign w:val="center"/>
                </w:tcPr>
                <w:p w14:paraId="1600AE46">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管控要求</w:t>
                  </w:r>
                </w:p>
              </w:tc>
              <w:tc>
                <w:tcPr>
                  <w:tcW w:w="1945" w:type="dxa"/>
                  <w:tcBorders>
                    <w:tl2br w:val="nil"/>
                    <w:tr2bl w:val="nil"/>
                  </w:tcBorders>
                  <w:noWrap w:val="0"/>
                  <w:vAlign w:val="center"/>
                </w:tcPr>
                <w:p w14:paraId="6371FE1C">
                  <w:pPr>
                    <w:spacing w:line="280" w:lineRule="exact"/>
                    <w:ind w:firstLine="0" w:firstLineChars="0"/>
                    <w:jc w:val="center"/>
                    <w:rPr>
                      <w:color w:val="auto"/>
                      <w:kern w:val="0"/>
                      <w:sz w:val="21"/>
                      <w:szCs w:val="21"/>
                      <w:highlight w:val="none"/>
                    </w:rPr>
                  </w:pPr>
                  <w:r>
                    <w:rPr>
                      <w:color w:val="auto"/>
                      <w:kern w:val="0"/>
                      <w:sz w:val="21"/>
                      <w:szCs w:val="21"/>
                      <w:highlight w:val="none"/>
                    </w:rPr>
                    <w:t>项目情况</w:t>
                  </w:r>
                </w:p>
              </w:tc>
              <w:tc>
                <w:tcPr>
                  <w:tcW w:w="781" w:type="dxa"/>
                  <w:tcBorders>
                    <w:tl2br w:val="nil"/>
                    <w:tr2bl w:val="nil"/>
                  </w:tcBorders>
                  <w:noWrap w:val="0"/>
                  <w:vAlign w:val="center"/>
                </w:tcPr>
                <w:p w14:paraId="3C612DD4">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本项目</w:t>
                  </w:r>
                  <w:r>
                    <w:rPr>
                      <w:color w:val="auto"/>
                      <w:kern w:val="0"/>
                      <w:sz w:val="21"/>
                      <w:szCs w:val="21"/>
                      <w:highlight w:val="none"/>
                    </w:rPr>
                    <w:t>符合性</w:t>
                  </w:r>
                </w:p>
              </w:tc>
            </w:tr>
            <w:tr w14:paraId="2B7C6A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65" w:hRule="atLeast"/>
                <w:jc w:val="center"/>
              </w:trPr>
              <w:tc>
                <w:tcPr>
                  <w:tcW w:w="703" w:type="dxa"/>
                  <w:vMerge w:val="restart"/>
                  <w:tcBorders>
                    <w:tl2br w:val="nil"/>
                    <w:tr2bl w:val="nil"/>
                  </w:tcBorders>
                  <w:noWrap w:val="0"/>
                  <w:vAlign w:val="center"/>
                </w:tcPr>
                <w:p w14:paraId="2AE5D221">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土壤及地下水环境</w:t>
                  </w:r>
                </w:p>
              </w:tc>
              <w:tc>
                <w:tcPr>
                  <w:tcW w:w="780" w:type="dxa"/>
                  <w:tcBorders>
                    <w:tl2br w:val="nil"/>
                    <w:tr2bl w:val="nil"/>
                  </w:tcBorders>
                  <w:noWrap w:val="0"/>
                  <w:vAlign w:val="center"/>
                </w:tcPr>
                <w:p w14:paraId="060FBAA3">
                  <w:pPr>
                    <w:widowControl/>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污染防控目标</w:t>
                  </w:r>
                </w:p>
              </w:tc>
              <w:tc>
                <w:tcPr>
                  <w:tcW w:w="8944" w:type="dxa"/>
                  <w:tcBorders>
                    <w:tl2br w:val="nil"/>
                    <w:tr2bl w:val="nil"/>
                  </w:tcBorders>
                  <w:noWrap w:val="0"/>
                  <w:vAlign w:val="center"/>
                </w:tcPr>
                <w:p w14:paraId="57F67F7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2025年底前，受污染耕地安全利用率完成河北省下达任务，受污染耕地管控措施覆盖率100%；重点建设用地安全利用得到有效保障，拟开发利用污染地块治理修复或风险管控目标达标率100%，暂不开发利用污染地块管控措施覆盖率100%；国家地下水环境质量区域考核点位</w:t>
                  </w:r>
                  <w:r>
                    <w:rPr>
                      <w:rFonts w:hint="default" w:ascii="Times New Roman" w:hAnsi="Times New Roman" w:cs="Times New Roman"/>
                      <w:color w:val="auto"/>
                      <w:kern w:val="0"/>
                      <w:sz w:val="21"/>
                      <w:szCs w:val="21"/>
                      <w:highlight w:val="none"/>
                      <w:lang w:val="zh-CN"/>
                    </w:rPr>
                    <w:t>Ⅴ</w:t>
                  </w:r>
                  <w:r>
                    <w:rPr>
                      <w:rFonts w:hint="eastAsia"/>
                      <w:color w:val="auto"/>
                      <w:kern w:val="0"/>
                      <w:sz w:val="21"/>
                      <w:szCs w:val="21"/>
                      <w:highlight w:val="none"/>
                      <w:lang w:val="zh-CN"/>
                    </w:rPr>
                    <w:t>类水比例控制在20%以下，“双源”考核点位水质总体保持稳定。</w:t>
                  </w:r>
                </w:p>
              </w:tc>
              <w:tc>
                <w:tcPr>
                  <w:tcW w:w="1945" w:type="dxa"/>
                  <w:tcBorders>
                    <w:tl2br w:val="nil"/>
                    <w:tr2bl w:val="nil"/>
                  </w:tcBorders>
                  <w:noWrap w:val="0"/>
                  <w:vAlign w:val="center"/>
                </w:tcPr>
                <w:p w14:paraId="57E01DF5">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本项目采取防止土壤、地下水污染措施。</w:t>
                  </w:r>
                </w:p>
              </w:tc>
              <w:tc>
                <w:tcPr>
                  <w:tcW w:w="781" w:type="dxa"/>
                  <w:tcBorders>
                    <w:tl2br w:val="nil"/>
                    <w:tr2bl w:val="nil"/>
                  </w:tcBorders>
                  <w:noWrap w:val="0"/>
                  <w:vAlign w:val="center"/>
                </w:tcPr>
                <w:p w14:paraId="315ADAA6">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72B4A5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9" w:hRule="atLeast"/>
                <w:jc w:val="center"/>
              </w:trPr>
              <w:tc>
                <w:tcPr>
                  <w:tcW w:w="703" w:type="dxa"/>
                  <w:vMerge w:val="continue"/>
                  <w:tcBorders>
                    <w:tl2br w:val="nil"/>
                    <w:tr2bl w:val="nil"/>
                  </w:tcBorders>
                  <w:noWrap w:val="0"/>
                  <w:vAlign w:val="center"/>
                </w:tcPr>
                <w:p w14:paraId="61B541E5">
                  <w:pPr>
                    <w:spacing w:line="280" w:lineRule="exact"/>
                    <w:ind w:firstLine="0" w:firstLineChars="0"/>
                    <w:jc w:val="center"/>
                    <w:rPr>
                      <w:color w:val="auto"/>
                      <w:sz w:val="21"/>
                      <w:szCs w:val="21"/>
                      <w:highlight w:val="none"/>
                    </w:rPr>
                  </w:pPr>
                </w:p>
              </w:tc>
              <w:tc>
                <w:tcPr>
                  <w:tcW w:w="780" w:type="dxa"/>
                  <w:vMerge w:val="restart"/>
                  <w:tcBorders>
                    <w:tl2br w:val="nil"/>
                    <w:tr2bl w:val="nil"/>
                  </w:tcBorders>
                  <w:noWrap w:val="0"/>
                  <w:vAlign w:val="center"/>
                </w:tcPr>
                <w:p w14:paraId="177C8007">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空间布局约束</w:t>
                  </w:r>
                </w:p>
              </w:tc>
              <w:tc>
                <w:tcPr>
                  <w:tcW w:w="8944" w:type="dxa"/>
                  <w:tcBorders>
                    <w:tl2br w:val="nil"/>
                    <w:tr2bl w:val="nil"/>
                  </w:tcBorders>
                  <w:noWrap w:val="0"/>
                  <w:vAlign w:val="center"/>
                </w:tcPr>
                <w:p w14:paraId="68A88952">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eastAsia="宋体"/>
                      <w:color w:val="auto"/>
                      <w:kern w:val="0"/>
                      <w:sz w:val="21"/>
                      <w:szCs w:val="21"/>
                      <w:highlight w:val="none"/>
                      <w:lang w:eastAsia="zh-CN"/>
                    </w:rPr>
                  </w:pPr>
                  <w:r>
                    <w:rPr>
                      <w:rFonts w:hint="eastAsia"/>
                      <w:color w:val="auto"/>
                      <w:kern w:val="0"/>
                      <w:sz w:val="21"/>
                      <w:szCs w:val="21"/>
                      <w:highlight w:val="none"/>
                    </w:rPr>
                    <w:t>1、严格执行相关行业企业布局选址要求，禁止在居民区和学校、医院、疗养院、养老院等单位周边新建、改建、扩建可能造成土壤污染的建设项目</w:t>
                  </w:r>
                  <w:r>
                    <w:rPr>
                      <w:rFonts w:hint="eastAsia"/>
                      <w:color w:val="auto"/>
                      <w:kern w:val="0"/>
                      <w:sz w:val="21"/>
                      <w:szCs w:val="21"/>
                      <w:highlight w:val="none"/>
                      <w:lang w:eastAsia="zh-CN"/>
                    </w:rPr>
                    <w:t>。</w:t>
                  </w:r>
                </w:p>
              </w:tc>
              <w:tc>
                <w:tcPr>
                  <w:tcW w:w="1945" w:type="dxa"/>
                  <w:tcBorders>
                    <w:tl2br w:val="nil"/>
                    <w:tr2bl w:val="nil"/>
                  </w:tcBorders>
                  <w:noWrap w:val="0"/>
                  <w:vAlign w:val="center"/>
                </w:tcPr>
                <w:p w14:paraId="7CFD2BF8">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本项目采取防止</w:t>
                  </w:r>
                  <w:r>
                    <w:rPr>
                      <w:rFonts w:hint="eastAsia"/>
                      <w:color w:val="auto"/>
                      <w:kern w:val="0"/>
                      <w:sz w:val="21"/>
                      <w:szCs w:val="21"/>
                      <w:highlight w:val="none"/>
                      <w:lang w:val="en-US" w:eastAsia="zh-CN"/>
                    </w:rPr>
                    <w:t>土壤</w:t>
                  </w:r>
                  <w:r>
                    <w:rPr>
                      <w:rFonts w:hint="eastAsia" w:eastAsia="宋体"/>
                      <w:color w:val="auto"/>
                      <w:kern w:val="0"/>
                      <w:sz w:val="21"/>
                      <w:szCs w:val="21"/>
                      <w:highlight w:val="none"/>
                      <w:lang w:val="en-US" w:eastAsia="zh-CN"/>
                    </w:rPr>
                    <w:t>污染措施，不会对土壤造成污染。</w:t>
                  </w:r>
                </w:p>
              </w:tc>
              <w:tc>
                <w:tcPr>
                  <w:tcW w:w="781" w:type="dxa"/>
                  <w:tcBorders>
                    <w:tl2br w:val="nil"/>
                    <w:tr2bl w:val="nil"/>
                  </w:tcBorders>
                  <w:noWrap w:val="0"/>
                  <w:vAlign w:val="center"/>
                </w:tcPr>
                <w:p w14:paraId="5B05D3E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0EF90C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703" w:type="dxa"/>
                  <w:vMerge w:val="continue"/>
                  <w:tcBorders>
                    <w:tl2br w:val="nil"/>
                    <w:tr2bl w:val="nil"/>
                  </w:tcBorders>
                  <w:noWrap w:val="0"/>
                  <w:vAlign w:val="center"/>
                </w:tcPr>
                <w:p w14:paraId="1023A424">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57D1F27A">
                  <w:pPr>
                    <w:spacing w:line="280" w:lineRule="exact"/>
                    <w:ind w:firstLine="0" w:firstLineChars="0"/>
                    <w:jc w:val="center"/>
                    <w:rPr>
                      <w:rFonts w:hint="eastAsia"/>
                      <w:color w:val="auto"/>
                      <w:sz w:val="21"/>
                      <w:szCs w:val="21"/>
                      <w:highlight w:val="none"/>
                      <w:lang w:val="en-US" w:eastAsia="zh-CN"/>
                    </w:rPr>
                  </w:pPr>
                </w:p>
              </w:tc>
              <w:tc>
                <w:tcPr>
                  <w:tcW w:w="8944" w:type="dxa"/>
                  <w:tcBorders>
                    <w:tl2br w:val="nil"/>
                    <w:tr2bl w:val="nil"/>
                  </w:tcBorders>
                  <w:noWrap w:val="0"/>
                  <w:vAlign w:val="center"/>
                </w:tcPr>
                <w:p w14:paraId="36B8DFE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2、禁止在集中式地下水饮用水水源地建设需要取水的地热能开发利用项目。禁止抽取难以更新的地下水用于需要取水的地热能开发利用项目。</w:t>
                  </w:r>
                </w:p>
              </w:tc>
              <w:tc>
                <w:tcPr>
                  <w:tcW w:w="1945" w:type="dxa"/>
                  <w:tcBorders>
                    <w:tl2br w:val="nil"/>
                    <w:tr2bl w:val="nil"/>
                  </w:tcBorders>
                  <w:noWrap w:val="0"/>
                  <w:vAlign w:val="center"/>
                </w:tcPr>
                <w:p w14:paraId="7543BA2F">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5AF1FD7A">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25EA3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31" w:hRule="atLeast"/>
                <w:jc w:val="center"/>
              </w:trPr>
              <w:tc>
                <w:tcPr>
                  <w:tcW w:w="703" w:type="dxa"/>
                  <w:vMerge w:val="continue"/>
                  <w:tcBorders>
                    <w:tl2br w:val="nil"/>
                    <w:tr2bl w:val="nil"/>
                  </w:tcBorders>
                  <w:noWrap w:val="0"/>
                  <w:vAlign w:val="center"/>
                </w:tcPr>
                <w:p w14:paraId="6610B963">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2204CE73">
                  <w:pPr>
                    <w:spacing w:line="280" w:lineRule="exact"/>
                    <w:ind w:firstLine="0" w:firstLineChars="0"/>
                    <w:jc w:val="center"/>
                    <w:rPr>
                      <w:rFonts w:hint="eastAsia"/>
                      <w:color w:val="auto"/>
                      <w:sz w:val="21"/>
                      <w:szCs w:val="21"/>
                      <w:highlight w:val="none"/>
                      <w:lang w:val="en-US" w:eastAsia="zh-CN"/>
                    </w:rPr>
                  </w:pPr>
                </w:p>
              </w:tc>
              <w:tc>
                <w:tcPr>
                  <w:tcW w:w="8944" w:type="dxa"/>
                  <w:tcBorders>
                    <w:tl2br w:val="nil"/>
                    <w:tr2bl w:val="nil"/>
                  </w:tcBorders>
                  <w:noWrap w:val="0"/>
                  <w:vAlign w:val="center"/>
                </w:tcPr>
                <w:p w14:paraId="3304C38E">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eastAsia="宋体"/>
                      <w:color w:val="auto"/>
                      <w:kern w:val="0"/>
                      <w:sz w:val="21"/>
                      <w:szCs w:val="21"/>
                      <w:highlight w:val="none"/>
                      <w:lang w:eastAsia="zh-CN"/>
                    </w:rPr>
                  </w:pPr>
                  <w:r>
                    <w:rPr>
                      <w:rFonts w:hint="eastAsia" w:eastAsia="宋体"/>
                      <w:color w:val="auto"/>
                      <w:kern w:val="0"/>
                      <w:sz w:val="21"/>
                      <w:szCs w:val="21"/>
                      <w:highlight w:val="none"/>
                      <w:lang w:eastAsia="zh-CN"/>
                    </w:rPr>
                    <w:t>3、地下水饮用水水源地优先保护区管控参照生态环境空间总体管控要求中地下水饮用水水源地保护区总体管控要求。</w:t>
                  </w:r>
                </w:p>
              </w:tc>
              <w:tc>
                <w:tcPr>
                  <w:tcW w:w="1945" w:type="dxa"/>
                  <w:tcBorders>
                    <w:tl2br w:val="nil"/>
                    <w:tr2bl w:val="nil"/>
                  </w:tcBorders>
                  <w:noWrap w:val="0"/>
                  <w:vAlign w:val="center"/>
                </w:tcPr>
                <w:p w14:paraId="35B07DC5">
                  <w:pPr>
                    <w:spacing w:line="280" w:lineRule="exact"/>
                    <w:ind w:firstLine="0" w:firstLineChars="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5617D5BB">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符合</w:t>
                  </w:r>
                </w:p>
              </w:tc>
            </w:tr>
            <w:tr w14:paraId="64F11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64" w:hRule="atLeast"/>
                <w:jc w:val="center"/>
              </w:trPr>
              <w:tc>
                <w:tcPr>
                  <w:tcW w:w="703" w:type="dxa"/>
                  <w:vMerge w:val="continue"/>
                  <w:tcBorders>
                    <w:tl2br w:val="nil"/>
                    <w:tr2bl w:val="nil"/>
                  </w:tcBorders>
                  <w:noWrap w:val="0"/>
                  <w:vAlign w:val="center"/>
                </w:tcPr>
                <w:p w14:paraId="278842A2">
                  <w:pPr>
                    <w:spacing w:line="280" w:lineRule="exact"/>
                    <w:ind w:firstLine="0" w:firstLineChars="0"/>
                    <w:jc w:val="center"/>
                    <w:rPr>
                      <w:color w:val="auto"/>
                      <w:sz w:val="21"/>
                      <w:szCs w:val="21"/>
                      <w:highlight w:val="none"/>
                    </w:rPr>
                  </w:pPr>
                </w:p>
              </w:tc>
              <w:tc>
                <w:tcPr>
                  <w:tcW w:w="780" w:type="dxa"/>
                  <w:vMerge w:val="restart"/>
                  <w:tcBorders>
                    <w:tl2br w:val="nil"/>
                    <w:tr2bl w:val="nil"/>
                  </w:tcBorders>
                  <w:noWrap w:val="0"/>
                  <w:vAlign w:val="center"/>
                </w:tcPr>
                <w:p w14:paraId="3A9E3F2D">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污染排放管控</w:t>
                  </w:r>
                </w:p>
              </w:tc>
              <w:tc>
                <w:tcPr>
                  <w:tcW w:w="8944" w:type="dxa"/>
                  <w:tcBorders>
                    <w:tl2br w:val="nil"/>
                    <w:tr2bl w:val="nil"/>
                  </w:tcBorders>
                  <w:noWrap w:val="0"/>
                  <w:vAlign w:val="center"/>
                </w:tcPr>
                <w:p w14:paraId="16EFC357">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eastAsia="宋体"/>
                      <w:color w:val="auto"/>
                      <w:kern w:val="0"/>
                      <w:sz w:val="21"/>
                      <w:szCs w:val="21"/>
                      <w:highlight w:val="none"/>
                      <w:lang w:eastAsia="zh-CN"/>
                    </w:rPr>
                  </w:pPr>
                  <w:r>
                    <w:rPr>
                      <w:rFonts w:hint="eastAsia"/>
                      <w:color w:val="auto"/>
                      <w:kern w:val="0"/>
                      <w:sz w:val="21"/>
                      <w:szCs w:val="21"/>
                      <w:highlight w:val="none"/>
                    </w:rPr>
                    <w:t>1、严禁将污泥直接用作肥料，禁止不达标污泥就地堆放，结合污泥处理设施升级改造，逐步取消原生污泥简易填埋等不符合环保要求的处置方式。鼓励利用水泥厂等工业窑炉，开展污泥协同焚烧处置</w:t>
                  </w:r>
                  <w:r>
                    <w:rPr>
                      <w:rFonts w:hint="eastAsia"/>
                      <w:color w:val="auto"/>
                      <w:kern w:val="0"/>
                      <w:sz w:val="21"/>
                      <w:szCs w:val="21"/>
                      <w:highlight w:val="none"/>
                      <w:lang w:eastAsia="zh-CN"/>
                    </w:rPr>
                    <w:t>。</w:t>
                  </w:r>
                </w:p>
              </w:tc>
              <w:tc>
                <w:tcPr>
                  <w:tcW w:w="1945" w:type="dxa"/>
                  <w:tcBorders>
                    <w:tl2br w:val="nil"/>
                    <w:tr2bl w:val="nil"/>
                  </w:tcBorders>
                  <w:noWrap w:val="0"/>
                  <w:vAlign w:val="center"/>
                </w:tcPr>
                <w:p w14:paraId="261FD56E">
                  <w:pPr>
                    <w:spacing w:line="280" w:lineRule="exact"/>
                    <w:ind w:firstLine="0" w:firstLineChars="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292199CD">
                  <w:pPr>
                    <w:spacing w:line="280" w:lineRule="exact"/>
                    <w:ind w:firstLine="0" w:firstLineChars="0"/>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符合</w:t>
                  </w:r>
                </w:p>
              </w:tc>
            </w:tr>
            <w:tr w14:paraId="471A31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703" w:type="dxa"/>
                  <w:vMerge w:val="continue"/>
                  <w:tcBorders>
                    <w:tl2br w:val="nil"/>
                    <w:tr2bl w:val="nil"/>
                  </w:tcBorders>
                  <w:noWrap w:val="0"/>
                  <w:vAlign w:val="center"/>
                </w:tcPr>
                <w:p w14:paraId="30B34A67">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0D7C938A">
                  <w:pPr>
                    <w:spacing w:line="280" w:lineRule="exact"/>
                    <w:ind w:firstLine="0" w:firstLineChars="0"/>
                    <w:jc w:val="center"/>
                    <w:rPr>
                      <w:rFonts w:hint="default" w:eastAsia="宋体"/>
                      <w:color w:val="auto"/>
                      <w:sz w:val="21"/>
                      <w:szCs w:val="21"/>
                      <w:highlight w:val="none"/>
                      <w:lang w:val="en-US" w:eastAsia="zh-CN"/>
                    </w:rPr>
                  </w:pPr>
                </w:p>
              </w:tc>
              <w:tc>
                <w:tcPr>
                  <w:tcW w:w="8944" w:type="dxa"/>
                  <w:tcBorders>
                    <w:tl2br w:val="nil"/>
                    <w:tr2bl w:val="nil"/>
                  </w:tcBorders>
                  <w:noWrap w:val="0"/>
                  <w:vAlign w:val="center"/>
                </w:tcPr>
                <w:p w14:paraId="34B2F0F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严格落实总量控制制度，减少重金属污染物排放。新、改、扩建涉重金属重点行业建设项目，污染物排放实施等量或倍量替换，对重金属排放量继续上升的地区，暂停审批新增重金属污染物排放的建设项目。加大减排项目督导力度，确保项目按期实施。</w:t>
                  </w:r>
                </w:p>
              </w:tc>
              <w:tc>
                <w:tcPr>
                  <w:tcW w:w="1945" w:type="dxa"/>
                  <w:tcBorders>
                    <w:tl2br w:val="nil"/>
                    <w:tr2bl w:val="nil"/>
                  </w:tcBorders>
                  <w:noWrap w:val="0"/>
                  <w:vAlign w:val="center"/>
                </w:tcPr>
                <w:p w14:paraId="2396B7ED">
                  <w:pPr>
                    <w:spacing w:line="280" w:lineRule="exact"/>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4F9E8AC6">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593D0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703" w:type="dxa"/>
                  <w:vMerge w:val="continue"/>
                  <w:tcBorders>
                    <w:tl2br w:val="nil"/>
                    <w:tr2bl w:val="nil"/>
                  </w:tcBorders>
                  <w:noWrap w:val="0"/>
                  <w:vAlign w:val="center"/>
                </w:tcPr>
                <w:p w14:paraId="30DB23A9">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21D812AE">
                  <w:pPr>
                    <w:spacing w:line="280" w:lineRule="exact"/>
                    <w:ind w:firstLine="0" w:firstLineChars="0"/>
                    <w:jc w:val="center"/>
                    <w:rPr>
                      <w:color w:val="auto"/>
                      <w:sz w:val="21"/>
                      <w:szCs w:val="21"/>
                      <w:highlight w:val="none"/>
                    </w:rPr>
                  </w:pPr>
                </w:p>
              </w:tc>
              <w:tc>
                <w:tcPr>
                  <w:tcW w:w="8944" w:type="dxa"/>
                  <w:tcBorders>
                    <w:tl2br w:val="nil"/>
                    <w:tr2bl w:val="nil"/>
                  </w:tcBorders>
                  <w:noWrap w:val="0"/>
                  <w:vAlign w:val="center"/>
                </w:tcPr>
                <w:p w14:paraId="63049D3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严格危险废物经营许可审批，加强危险废物处置单位规范化管理核查。统筹推进危险废物利用处置能力建设，加快补齐利用处置设施短板。积极推进重点监管源智能监控体系建设，加大危险废物产生、贮存、转运、利用、处置全流程监管力度。规范和完善医疗废物分类收集处置体系。</w:t>
                  </w:r>
                </w:p>
              </w:tc>
              <w:tc>
                <w:tcPr>
                  <w:tcW w:w="1945" w:type="dxa"/>
                  <w:tcBorders>
                    <w:tl2br w:val="nil"/>
                    <w:tr2bl w:val="nil"/>
                  </w:tcBorders>
                  <w:noWrap w:val="0"/>
                  <w:vAlign w:val="center"/>
                </w:tcPr>
                <w:p w14:paraId="64535A60">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578AC9D2">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11DCBE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65" w:hRule="atLeast"/>
                <w:jc w:val="center"/>
              </w:trPr>
              <w:tc>
                <w:tcPr>
                  <w:tcW w:w="703" w:type="dxa"/>
                  <w:vMerge w:val="continue"/>
                  <w:tcBorders>
                    <w:tl2br w:val="nil"/>
                    <w:tr2bl w:val="nil"/>
                  </w:tcBorders>
                  <w:noWrap w:val="0"/>
                  <w:vAlign w:val="center"/>
                </w:tcPr>
                <w:p w14:paraId="79B8483D">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1E85C633">
                  <w:pPr>
                    <w:spacing w:line="280" w:lineRule="exact"/>
                    <w:ind w:firstLine="0" w:firstLineChars="0"/>
                    <w:jc w:val="center"/>
                    <w:rPr>
                      <w:color w:val="auto"/>
                      <w:sz w:val="21"/>
                      <w:szCs w:val="21"/>
                      <w:highlight w:val="none"/>
                    </w:rPr>
                  </w:pPr>
                </w:p>
              </w:tc>
              <w:tc>
                <w:tcPr>
                  <w:tcW w:w="8944" w:type="dxa"/>
                  <w:tcBorders>
                    <w:tl2br w:val="nil"/>
                    <w:tr2bl w:val="nil"/>
                  </w:tcBorders>
                  <w:noWrap w:val="0"/>
                  <w:vAlign w:val="center"/>
                </w:tcPr>
                <w:p w14:paraId="0A65CCB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建设和运行固体废物处置设施，应当采取防扬散、防流失、防渗漏等措施，依法贮存、利用、处置固体废物。处置生活垃圾，应当优先采用焚烧处理技术，有计划地实现垃圾零填埋，已有的垃圾填埋处置设施应当建设渗滤液收集和处理、处置设施，并采取相应措施防止土壤污染。</w:t>
                  </w:r>
                </w:p>
              </w:tc>
              <w:tc>
                <w:tcPr>
                  <w:tcW w:w="1945" w:type="dxa"/>
                  <w:tcBorders>
                    <w:tl2br w:val="nil"/>
                    <w:tr2bl w:val="nil"/>
                  </w:tcBorders>
                  <w:noWrap w:val="0"/>
                  <w:vAlign w:val="center"/>
                </w:tcPr>
                <w:p w14:paraId="435F83C5">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w:t>
                  </w:r>
                  <w:r>
                    <w:rPr>
                      <w:rFonts w:hint="eastAsia"/>
                      <w:color w:val="auto"/>
                      <w:kern w:val="0"/>
                      <w:sz w:val="21"/>
                      <w:szCs w:val="21"/>
                      <w:highlight w:val="none"/>
                      <w:lang w:val="en-US" w:eastAsia="zh-CN"/>
                    </w:rPr>
                    <w:t>采取</w:t>
                  </w:r>
                  <w:r>
                    <w:rPr>
                      <w:rFonts w:hint="eastAsia" w:ascii="Times New Roman" w:hAnsi="Times New Roman" w:eastAsia="宋体" w:cs="Times New Roman"/>
                      <w:color w:val="auto"/>
                      <w:kern w:val="0"/>
                      <w:sz w:val="21"/>
                      <w:szCs w:val="21"/>
                      <w:highlight w:val="none"/>
                      <w:lang w:val="en-US" w:eastAsia="zh-CN" w:bidi="ar-SA"/>
                    </w:rPr>
                    <w:t>防扬散、防流失、防渗漏等措施</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0C983EC9">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4DB3FF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2" w:hRule="atLeast"/>
                <w:jc w:val="center"/>
              </w:trPr>
              <w:tc>
                <w:tcPr>
                  <w:tcW w:w="703" w:type="dxa"/>
                  <w:vMerge w:val="continue"/>
                  <w:tcBorders>
                    <w:tl2br w:val="nil"/>
                    <w:tr2bl w:val="nil"/>
                  </w:tcBorders>
                  <w:noWrap w:val="0"/>
                  <w:vAlign w:val="center"/>
                </w:tcPr>
                <w:p w14:paraId="5962E7F6">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5EBE3A9E">
                  <w:pPr>
                    <w:spacing w:line="280" w:lineRule="exact"/>
                    <w:ind w:firstLine="0" w:firstLineChars="0"/>
                    <w:jc w:val="center"/>
                    <w:rPr>
                      <w:color w:val="auto"/>
                      <w:sz w:val="21"/>
                      <w:szCs w:val="21"/>
                      <w:highlight w:val="none"/>
                    </w:rPr>
                  </w:pPr>
                </w:p>
              </w:tc>
              <w:tc>
                <w:tcPr>
                  <w:tcW w:w="8944" w:type="dxa"/>
                  <w:tcBorders>
                    <w:tl2br w:val="nil"/>
                    <w:tr2bl w:val="nil"/>
                  </w:tcBorders>
                  <w:noWrap w:val="0"/>
                  <w:vAlign w:val="center"/>
                </w:tcPr>
                <w:p w14:paraId="3308524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5、严格危险废物源头管控，优化利用处置结构布局，提高应急保障能力。发展生态循环农业，提升农业废弃物综合利用率。健全完善制度、技术、市场、监管四大政策体系，实现固体废物和危险废物全链条监管。</w:t>
                  </w:r>
                </w:p>
              </w:tc>
              <w:tc>
                <w:tcPr>
                  <w:tcW w:w="1945" w:type="dxa"/>
                  <w:tcBorders>
                    <w:tl2br w:val="nil"/>
                    <w:tr2bl w:val="nil"/>
                  </w:tcBorders>
                  <w:noWrap w:val="0"/>
                  <w:vAlign w:val="center"/>
                </w:tcPr>
                <w:p w14:paraId="3D384C89">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0C49FF9F">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725945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5" w:hRule="atLeast"/>
                <w:jc w:val="center"/>
              </w:trPr>
              <w:tc>
                <w:tcPr>
                  <w:tcW w:w="703" w:type="dxa"/>
                  <w:vMerge w:val="continue"/>
                  <w:tcBorders>
                    <w:tl2br w:val="nil"/>
                    <w:tr2bl w:val="nil"/>
                  </w:tcBorders>
                  <w:noWrap w:val="0"/>
                  <w:vAlign w:val="center"/>
                </w:tcPr>
                <w:p w14:paraId="1B00A5C5">
                  <w:pPr>
                    <w:spacing w:line="280" w:lineRule="exact"/>
                    <w:ind w:firstLine="0" w:firstLineChars="0"/>
                    <w:jc w:val="center"/>
                    <w:rPr>
                      <w:color w:val="auto"/>
                      <w:sz w:val="21"/>
                      <w:szCs w:val="21"/>
                      <w:highlight w:val="none"/>
                    </w:rPr>
                  </w:pPr>
                </w:p>
              </w:tc>
              <w:tc>
                <w:tcPr>
                  <w:tcW w:w="780" w:type="dxa"/>
                  <w:vMerge w:val="restart"/>
                  <w:tcBorders>
                    <w:tl2br w:val="nil"/>
                    <w:tr2bl w:val="nil"/>
                  </w:tcBorders>
                  <w:noWrap w:val="0"/>
                  <w:vAlign w:val="center"/>
                </w:tcPr>
                <w:p w14:paraId="0C8AAFFC">
                  <w:pPr>
                    <w:spacing w:line="280" w:lineRule="exact"/>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环境风险防控</w:t>
                  </w:r>
                </w:p>
              </w:tc>
              <w:tc>
                <w:tcPr>
                  <w:tcW w:w="8944" w:type="dxa"/>
                  <w:tcBorders>
                    <w:tl2br w:val="nil"/>
                    <w:tr2bl w:val="nil"/>
                  </w:tcBorders>
                  <w:noWrap w:val="0"/>
                  <w:vAlign w:val="center"/>
                </w:tcPr>
                <w:p w14:paraId="382DA03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lang w:val="zh-CN"/>
                    </w:rPr>
                    <w:t>1、每年对集中式饮用水水源保护区开展基础调查与评估，将可能影响水源水质安全的风险源全部列入档案，实行“一源一案”，对每个风险源开展隐患排查、整改，编制风险应急方案，建立联防联控应急机制。</w:t>
                  </w:r>
                </w:p>
              </w:tc>
              <w:tc>
                <w:tcPr>
                  <w:tcW w:w="1945" w:type="dxa"/>
                  <w:tcBorders>
                    <w:tl2br w:val="nil"/>
                    <w:tr2bl w:val="nil"/>
                  </w:tcBorders>
                  <w:noWrap w:val="0"/>
                  <w:vAlign w:val="center"/>
                </w:tcPr>
                <w:p w14:paraId="1256A0D1">
                  <w:pPr>
                    <w:spacing w:line="280" w:lineRule="exact"/>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46871374">
                  <w:pPr>
                    <w:spacing w:line="280" w:lineRule="exact"/>
                    <w:ind w:firstLine="0" w:firstLineChars="0"/>
                    <w:jc w:val="center"/>
                    <w:rPr>
                      <w:rFonts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506AD7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87" w:hRule="atLeast"/>
                <w:jc w:val="center"/>
              </w:trPr>
              <w:tc>
                <w:tcPr>
                  <w:tcW w:w="703" w:type="dxa"/>
                  <w:vMerge w:val="continue"/>
                  <w:tcBorders>
                    <w:tl2br w:val="nil"/>
                    <w:tr2bl w:val="nil"/>
                  </w:tcBorders>
                  <w:noWrap w:val="0"/>
                  <w:vAlign w:val="center"/>
                </w:tcPr>
                <w:p w14:paraId="1378FAA6">
                  <w:pPr>
                    <w:spacing w:line="280" w:lineRule="exact"/>
                    <w:ind w:firstLine="0" w:firstLineChars="0"/>
                    <w:jc w:val="center"/>
                    <w:rPr>
                      <w:color w:val="auto"/>
                      <w:highlight w:val="none"/>
                    </w:rPr>
                  </w:pPr>
                </w:p>
              </w:tc>
              <w:tc>
                <w:tcPr>
                  <w:tcW w:w="780" w:type="dxa"/>
                  <w:vMerge w:val="continue"/>
                  <w:tcBorders>
                    <w:tl2br w:val="nil"/>
                    <w:tr2bl w:val="nil"/>
                  </w:tcBorders>
                  <w:noWrap w:val="0"/>
                  <w:vAlign w:val="center"/>
                </w:tcPr>
                <w:p w14:paraId="5B7D92EF">
                  <w:pPr>
                    <w:spacing w:line="280" w:lineRule="exact"/>
                    <w:ind w:firstLine="0" w:firstLineChars="0"/>
                    <w:jc w:val="center"/>
                    <w:rPr>
                      <w:color w:val="auto"/>
                      <w:highlight w:val="none"/>
                    </w:rPr>
                  </w:pPr>
                </w:p>
              </w:tc>
              <w:tc>
                <w:tcPr>
                  <w:tcW w:w="8944" w:type="dxa"/>
                  <w:tcBorders>
                    <w:tl2br w:val="nil"/>
                    <w:tr2bl w:val="nil"/>
                  </w:tcBorders>
                  <w:noWrap w:val="0"/>
                  <w:vAlign w:val="center"/>
                </w:tcPr>
                <w:p w14:paraId="3930977F">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both"/>
                    <w:textAlignment w:val="auto"/>
                    <w:rPr>
                      <w:rFonts w:hint="eastAsia"/>
                      <w:color w:val="auto"/>
                      <w:kern w:val="0"/>
                      <w:sz w:val="21"/>
                      <w:szCs w:val="21"/>
                      <w:highlight w:val="none"/>
                      <w:lang w:val="zh-CN"/>
                    </w:rPr>
                  </w:pPr>
                  <w:r>
                    <w:rPr>
                      <w:rFonts w:hint="eastAsia"/>
                      <w:color w:val="auto"/>
                      <w:kern w:val="0"/>
                      <w:sz w:val="21"/>
                      <w:szCs w:val="21"/>
                      <w:highlight w:val="none"/>
                      <w:lang w:val="zh-CN"/>
                    </w:rPr>
                    <w:t>2、尾矿库运营、管理单位应当按照规定加强尾矿库的安全管理，采取措施防止土壤污染。危库、险库、病库以及其他需要重点监管的尾矿库运营、管理单位应当按照规定进行土壤污染状况监测和定期评估。</w:t>
                  </w:r>
                </w:p>
              </w:tc>
              <w:tc>
                <w:tcPr>
                  <w:tcW w:w="1945" w:type="dxa"/>
                  <w:tcBorders>
                    <w:tl2br w:val="nil"/>
                    <w:tr2bl w:val="nil"/>
                  </w:tcBorders>
                  <w:noWrap w:val="0"/>
                  <w:vAlign w:val="center"/>
                </w:tcPr>
                <w:p w14:paraId="2A78184C">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62FAE1C7">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40E1D2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703" w:type="dxa"/>
                  <w:vMerge w:val="continue"/>
                  <w:tcBorders>
                    <w:tl2br w:val="nil"/>
                    <w:tr2bl w:val="nil"/>
                  </w:tcBorders>
                  <w:noWrap w:val="0"/>
                  <w:vAlign w:val="center"/>
                </w:tcPr>
                <w:p w14:paraId="54280FCC">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40AAE028">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0747FAAA">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3、产生、收集、贮存、运输、利用、处置危险废物的单位，应当依法制定意外事故的防范措施和应急预案，并向所在地生态环境主管部门和其他负有固体废物污染环境防治监督管理职责的部门备案。</w:t>
                  </w:r>
                </w:p>
              </w:tc>
              <w:tc>
                <w:tcPr>
                  <w:tcW w:w="1945" w:type="dxa"/>
                  <w:tcBorders>
                    <w:tl2br w:val="nil"/>
                    <w:tr2bl w:val="nil"/>
                  </w:tcBorders>
                  <w:noWrap w:val="0"/>
                  <w:vAlign w:val="center"/>
                </w:tcPr>
                <w:p w14:paraId="651F00F3">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本项目建成后编制突发环境事件应急预案并备案</w:t>
                  </w:r>
                  <w:r>
                    <w:rPr>
                      <w:rFonts w:hint="eastAsia" w:eastAsia="宋体"/>
                      <w:color w:val="auto"/>
                      <w:kern w:val="0"/>
                      <w:sz w:val="21"/>
                      <w:szCs w:val="21"/>
                      <w:highlight w:val="none"/>
                      <w:lang w:val="en-US" w:eastAsia="zh-CN"/>
                    </w:rPr>
                    <w:t>。</w:t>
                  </w:r>
                </w:p>
              </w:tc>
              <w:tc>
                <w:tcPr>
                  <w:tcW w:w="781" w:type="dxa"/>
                  <w:tcBorders>
                    <w:tl2br w:val="nil"/>
                    <w:tr2bl w:val="nil"/>
                  </w:tcBorders>
                  <w:noWrap w:val="0"/>
                  <w:vAlign w:val="center"/>
                </w:tcPr>
                <w:p w14:paraId="67D0F1C4">
                  <w:pPr>
                    <w:spacing w:line="280" w:lineRule="exact"/>
                    <w:ind w:firstLine="0" w:firstLineChars="0"/>
                    <w:jc w:val="center"/>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rPr>
                    <w:t>符合</w:t>
                  </w:r>
                </w:p>
              </w:tc>
            </w:tr>
            <w:tr w14:paraId="687CD8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61" w:hRule="atLeast"/>
                <w:jc w:val="center"/>
              </w:trPr>
              <w:tc>
                <w:tcPr>
                  <w:tcW w:w="703" w:type="dxa"/>
                  <w:vMerge w:val="continue"/>
                  <w:tcBorders>
                    <w:tl2br w:val="nil"/>
                    <w:tr2bl w:val="nil"/>
                  </w:tcBorders>
                  <w:noWrap w:val="0"/>
                  <w:vAlign w:val="center"/>
                </w:tcPr>
                <w:p w14:paraId="03105144">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5BE9809C">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55F9BA7C">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4、严格落实耕地风险防范措施。对安全利用类耕地，应结合当地主要作物品种和种植习惯，采取农艺调控、低积累品种替代、轮作间作等措施，降低农产品超标风险；对严格管控类耕地，依法划定特定农产品禁止生产区域，鼓励采取调整种植结构、退耕还林还草、退耕还湿、轮作休耕等风险管控措施。</w:t>
                  </w:r>
                </w:p>
              </w:tc>
              <w:tc>
                <w:tcPr>
                  <w:tcW w:w="1945" w:type="dxa"/>
                  <w:tcBorders>
                    <w:tl2br w:val="nil"/>
                    <w:tr2bl w:val="nil"/>
                  </w:tcBorders>
                  <w:noWrap w:val="0"/>
                  <w:vAlign w:val="center"/>
                </w:tcPr>
                <w:p w14:paraId="5B0C2A82">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223FDFFE">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126DC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6" w:hRule="atLeast"/>
                <w:jc w:val="center"/>
              </w:trPr>
              <w:tc>
                <w:tcPr>
                  <w:tcW w:w="703" w:type="dxa"/>
                  <w:vMerge w:val="continue"/>
                  <w:tcBorders>
                    <w:tl2br w:val="nil"/>
                    <w:tr2bl w:val="nil"/>
                  </w:tcBorders>
                  <w:noWrap w:val="0"/>
                  <w:vAlign w:val="center"/>
                </w:tcPr>
                <w:p w14:paraId="1928C160">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35CF2AE0">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5EB2E79D">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5、强化污染地块土壤环境联动监管。抓好退城搬迁工业企业工矿用地土壤环境监督管理，土壤污染重点监管单位拆除设施、设备或者建筑物、构筑物，要制定土壤污染防治工作方案并按要求备案，防范拆除活动造成土壤和地下水污染，切实保障生态环境安全。</w:t>
                  </w:r>
                </w:p>
              </w:tc>
              <w:tc>
                <w:tcPr>
                  <w:tcW w:w="1945" w:type="dxa"/>
                  <w:tcBorders>
                    <w:tl2br w:val="nil"/>
                    <w:tr2bl w:val="nil"/>
                  </w:tcBorders>
                  <w:noWrap w:val="0"/>
                  <w:vAlign w:val="center"/>
                </w:tcPr>
                <w:p w14:paraId="5349C5B9">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3A036B9">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7B209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703" w:type="dxa"/>
                  <w:vMerge w:val="continue"/>
                  <w:tcBorders>
                    <w:tl2br w:val="nil"/>
                    <w:tr2bl w:val="nil"/>
                  </w:tcBorders>
                  <w:noWrap w:val="0"/>
                  <w:vAlign w:val="center"/>
                </w:tcPr>
                <w:p w14:paraId="3E2E2B30">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41E20309">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5CFEFEFD">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en-US" w:eastAsia="zh-CN"/>
                    </w:rPr>
                    <w:t>6</w:t>
                  </w:r>
                  <w:r>
                    <w:rPr>
                      <w:rFonts w:hint="eastAsia"/>
                      <w:color w:val="auto"/>
                      <w:kern w:val="0"/>
                      <w:sz w:val="21"/>
                      <w:szCs w:val="21"/>
                      <w:highlight w:val="none"/>
                      <w:lang w:val="zh-CN"/>
                    </w:rPr>
                    <w:t>、严格建设用地准入管理。加强对土地征收、收回、收购的监督管理，对应当开展土壤污染状况调查而未进行调查的地块，以及列入疑似污染地块名单、污染地块名录、建设用地土壤污染风险管控和修复名录且未达到规划用途土壤环境质量要求的地块，不得进入供地程序进行再开发利用，未达到土壤污染风险管控、修复目标的地块，禁止开工建设任何与风险管控、修复无关的项目，不得批准环境影响评价技术文件、建设工程规划许可证等事项。涉及成片污染地块分期分批开发或周边土地开发的，要科学设定开发时序，防止受污染土壤及其后续风险管控和修复措施对周边人群产生影响。</w:t>
                  </w:r>
                </w:p>
              </w:tc>
              <w:tc>
                <w:tcPr>
                  <w:tcW w:w="1945" w:type="dxa"/>
                  <w:tcBorders>
                    <w:tl2br w:val="nil"/>
                    <w:tr2bl w:val="nil"/>
                  </w:tcBorders>
                  <w:noWrap w:val="0"/>
                  <w:vAlign w:val="center"/>
                </w:tcPr>
                <w:p w14:paraId="656B401F">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0922B683">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142CB5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85" w:hRule="atLeast"/>
                <w:jc w:val="center"/>
              </w:trPr>
              <w:tc>
                <w:tcPr>
                  <w:tcW w:w="703" w:type="dxa"/>
                  <w:vMerge w:val="continue"/>
                  <w:tcBorders>
                    <w:tl2br w:val="nil"/>
                    <w:tr2bl w:val="nil"/>
                  </w:tcBorders>
                  <w:noWrap w:val="0"/>
                  <w:vAlign w:val="center"/>
                </w:tcPr>
                <w:p w14:paraId="1947B8F7">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408D1F62">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29F9E900">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7、加强污染地块风险管控及修复。对暂不开发利用的污染地块，实施以防止污染扩散为目的的风险管控，设立标识、发布公告，并组织开展土壤、地表水、地下水、空气环境监测。对需要实施治理与修复的污染地块，应结合土地利用总体规划和城乡规划编制修复方案并组织实施。加强治理与修复施工的环境监理，并严防治理与修复过程中产生废水、废气和固体废物二次污染。</w:t>
                  </w:r>
                </w:p>
              </w:tc>
              <w:tc>
                <w:tcPr>
                  <w:tcW w:w="1945" w:type="dxa"/>
                  <w:tcBorders>
                    <w:tl2br w:val="nil"/>
                    <w:tr2bl w:val="nil"/>
                  </w:tcBorders>
                  <w:noWrap w:val="0"/>
                  <w:vAlign w:val="center"/>
                </w:tcPr>
                <w:p w14:paraId="74827D82">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177A11EC">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269BFF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703" w:type="dxa"/>
                  <w:vMerge w:val="continue"/>
                  <w:tcBorders>
                    <w:tl2br w:val="nil"/>
                    <w:tr2bl w:val="nil"/>
                  </w:tcBorders>
                  <w:noWrap w:val="0"/>
                  <w:vAlign w:val="center"/>
                </w:tcPr>
                <w:p w14:paraId="2A712E34">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7A666EED">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64290800">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8、县级以上地方人民政府应当根据地下水水源条件和需要，建设应急备用饮用水水源，制定应急预案，确保需要时正常使用。应急备用地下水水源结束应急使用后，应当立即停止取水。</w:t>
                  </w:r>
                </w:p>
              </w:tc>
              <w:tc>
                <w:tcPr>
                  <w:tcW w:w="1945" w:type="dxa"/>
                  <w:tcBorders>
                    <w:tl2br w:val="nil"/>
                    <w:tr2bl w:val="nil"/>
                  </w:tcBorders>
                  <w:noWrap w:val="0"/>
                  <w:vAlign w:val="center"/>
                </w:tcPr>
                <w:p w14:paraId="636AADB5">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695C0868">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48B4B5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5" w:hRule="atLeast"/>
                <w:jc w:val="center"/>
              </w:trPr>
              <w:tc>
                <w:tcPr>
                  <w:tcW w:w="703" w:type="dxa"/>
                  <w:vMerge w:val="continue"/>
                  <w:tcBorders>
                    <w:tl2br w:val="nil"/>
                    <w:tr2bl w:val="nil"/>
                  </w:tcBorders>
                  <w:noWrap w:val="0"/>
                  <w:vAlign w:val="center"/>
                </w:tcPr>
                <w:p w14:paraId="33324840">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2044C763">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51CCB4A9">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9、针对存在地下水污染的化工园区、危险废物处置场和生活垃圾填埋场等，实施地下水污染风险管控，因地制宜选择阻隔、制度控制、渗透反应格栅等技术，阻止污染扩散，加强风险管控后期地下水环境监管。</w:t>
                  </w:r>
                </w:p>
              </w:tc>
              <w:tc>
                <w:tcPr>
                  <w:tcW w:w="1945" w:type="dxa"/>
                  <w:tcBorders>
                    <w:tl2br w:val="nil"/>
                    <w:tr2bl w:val="nil"/>
                  </w:tcBorders>
                  <w:noWrap w:val="0"/>
                  <w:vAlign w:val="center"/>
                </w:tcPr>
                <w:p w14:paraId="05EAC128">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32E43987">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r w14:paraId="4C5A0A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703" w:type="dxa"/>
                  <w:vMerge w:val="continue"/>
                  <w:tcBorders>
                    <w:tl2br w:val="nil"/>
                    <w:tr2bl w:val="nil"/>
                  </w:tcBorders>
                  <w:noWrap w:val="0"/>
                  <w:vAlign w:val="center"/>
                </w:tcPr>
                <w:p w14:paraId="783E746C">
                  <w:pPr>
                    <w:spacing w:line="280" w:lineRule="exact"/>
                    <w:ind w:firstLine="0" w:firstLineChars="0"/>
                    <w:jc w:val="center"/>
                    <w:rPr>
                      <w:rFonts w:hint="eastAsia"/>
                      <w:color w:val="auto"/>
                      <w:kern w:val="0"/>
                      <w:sz w:val="21"/>
                      <w:szCs w:val="21"/>
                      <w:highlight w:val="none"/>
                      <w:lang w:val="zh-CN"/>
                    </w:rPr>
                  </w:pPr>
                </w:p>
              </w:tc>
              <w:tc>
                <w:tcPr>
                  <w:tcW w:w="780" w:type="dxa"/>
                  <w:vMerge w:val="continue"/>
                  <w:tcBorders>
                    <w:tl2br w:val="nil"/>
                    <w:tr2bl w:val="nil"/>
                  </w:tcBorders>
                  <w:noWrap w:val="0"/>
                  <w:vAlign w:val="center"/>
                </w:tcPr>
                <w:p w14:paraId="60082956">
                  <w:pPr>
                    <w:spacing w:line="280" w:lineRule="exact"/>
                    <w:ind w:firstLine="0" w:firstLineChars="0"/>
                    <w:jc w:val="center"/>
                    <w:rPr>
                      <w:rFonts w:hint="eastAsia"/>
                      <w:color w:val="auto"/>
                      <w:kern w:val="0"/>
                      <w:sz w:val="21"/>
                      <w:szCs w:val="21"/>
                      <w:highlight w:val="none"/>
                      <w:lang w:val="zh-CN"/>
                    </w:rPr>
                  </w:pPr>
                </w:p>
              </w:tc>
              <w:tc>
                <w:tcPr>
                  <w:tcW w:w="8944" w:type="dxa"/>
                  <w:tcBorders>
                    <w:tl2br w:val="nil"/>
                    <w:tr2bl w:val="nil"/>
                  </w:tcBorders>
                  <w:noWrap w:val="0"/>
                  <w:vAlign w:val="center"/>
                </w:tcPr>
                <w:p w14:paraId="0C4CBA90">
                  <w:pPr>
                    <w:keepNext w:val="0"/>
                    <w:keepLines w:val="0"/>
                    <w:pageBreakBefore w:val="0"/>
                    <w:widowControl w:val="0"/>
                    <w:kinsoku/>
                    <w:wordWrap/>
                    <w:overflowPunct/>
                    <w:topLinePunct w:val="0"/>
                    <w:autoSpaceDE w:val="0"/>
                    <w:autoSpaceDN w:val="0"/>
                    <w:bidi w:val="0"/>
                    <w:adjustRightInd/>
                    <w:snapToGrid/>
                    <w:spacing w:line="280" w:lineRule="exact"/>
                    <w:ind w:firstLine="420" w:firstLineChars="200"/>
                    <w:jc w:val="left"/>
                    <w:textAlignment w:val="auto"/>
                    <w:rPr>
                      <w:rFonts w:hint="eastAsia"/>
                      <w:color w:val="auto"/>
                      <w:kern w:val="0"/>
                      <w:sz w:val="21"/>
                      <w:szCs w:val="21"/>
                      <w:highlight w:val="none"/>
                      <w:lang w:val="zh-CN"/>
                    </w:rPr>
                  </w:pPr>
                  <w:r>
                    <w:rPr>
                      <w:rFonts w:hint="eastAsia"/>
                      <w:color w:val="auto"/>
                      <w:kern w:val="0"/>
                      <w:sz w:val="21"/>
                      <w:szCs w:val="21"/>
                      <w:highlight w:val="none"/>
                      <w:lang w:val="zh-CN"/>
                    </w:rPr>
                    <w:t>10、地下水污染风险重点管控区执行《唐山市地下水污染防治重点区划定方案（试行）》中管控类区域管理要求。</w:t>
                  </w:r>
                </w:p>
              </w:tc>
              <w:tc>
                <w:tcPr>
                  <w:tcW w:w="1945" w:type="dxa"/>
                  <w:tcBorders>
                    <w:tl2br w:val="nil"/>
                    <w:tr2bl w:val="nil"/>
                  </w:tcBorders>
                  <w:noWrap w:val="0"/>
                  <w:vAlign w:val="center"/>
                </w:tcPr>
                <w:p w14:paraId="0BC8FD17">
                  <w:pPr>
                    <w:spacing w:line="280" w:lineRule="exact"/>
                    <w:ind w:firstLine="0" w:firstLineChars="0"/>
                    <w:jc w:val="center"/>
                    <w:rPr>
                      <w:rFonts w:hint="eastAsia"/>
                      <w:color w:val="auto"/>
                      <w:kern w:val="0"/>
                      <w:sz w:val="21"/>
                      <w:szCs w:val="21"/>
                      <w:highlight w:val="none"/>
                      <w:lang w:val="zh-CN"/>
                    </w:rPr>
                  </w:pPr>
                  <w:r>
                    <w:rPr>
                      <w:rFonts w:hint="eastAsia" w:eastAsia="宋体"/>
                      <w:color w:val="auto"/>
                      <w:kern w:val="0"/>
                      <w:sz w:val="21"/>
                      <w:szCs w:val="21"/>
                      <w:highlight w:val="none"/>
                      <w:lang w:val="en-US" w:eastAsia="zh-CN"/>
                    </w:rPr>
                    <w:t>本项目不涉及。</w:t>
                  </w:r>
                </w:p>
              </w:tc>
              <w:tc>
                <w:tcPr>
                  <w:tcW w:w="781" w:type="dxa"/>
                  <w:tcBorders>
                    <w:tl2br w:val="nil"/>
                    <w:tr2bl w:val="nil"/>
                  </w:tcBorders>
                  <w:noWrap w:val="0"/>
                  <w:vAlign w:val="center"/>
                </w:tcPr>
                <w:p w14:paraId="54D1E719">
                  <w:pPr>
                    <w:spacing w:line="280" w:lineRule="exact"/>
                    <w:ind w:firstLine="0" w:firstLineChars="0"/>
                    <w:jc w:val="center"/>
                    <w:rPr>
                      <w:rFonts w:hint="eastAsia"/>
                      <w:color w:val="auto"/>
                      <w:kern w:val="0"/>
                      <w:sz w:val="21"/>
                      <w:szCs w:val="21"/>
                      <w:highlight w:val="none"/>
                      <w:lang w:val="zh-CN"/>
                    </w:rPr>
                  </w:pPr>
                  <w:r>
                    <w:rPr>
                      <w:rFonts w:hint="eastAsia"/>
                      <w:color w:val="auto"/>
                      <w:kern w:val="0"/>
                      <w:sz w:val="21"/>
                      <w:szCs w:val="21"/>
                      <w:highlight w:val="none"/>
                      <w:lang w:val="en-US" w:eastAsia="zh-CN"/>
                    </w:rPr>
                    <w:t>符合</w:t>
                  </w:r>
                </w:p>
              </w:tc>
            </w:tr>
          </w:tbl>
          <w:p w14:paraId="3C06DFE8">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唐山市生态环境准入清单</w:t>
            </w:r>
            <w:r>
              <w:rPr>
                <w:rFonts w:hint="eastAsia" w:cs="Times New Roman"/>
                <w:b/>
                <w:bCs/>
                <w:color w:val="auto"/>
                <w:sz w:val="21"/>
                <w:szCs w:val="21"/>
                <w:highlight w:val="none"/>
                <w:lang w:val="en-US" w:eastAsia="zh-CN"/>
              </w:rPr>
              <w:t>（全市产业总体管控要求）符合性分析一览表</w:t>
            </w:r>
          </w:p>
          <w:tbl>
            <w:tblPr>
              <w:tblStyle w:val="29"/>
              <w:tblW w:w="1315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02"/>
              <w:gridCol w:w="780"/>
              <w:gridCol w:w="8226"/>
              <w:gridCol w:w="2667"/>
              <w:gridCol w:w="778"/>
            </w:tblGrid>
            <w:tr w14:paraId="71960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52" w:hRule="atLeast"/>
                <w:jc w:val="center"/>
              </w:trPr>
              <w:tc>
                <w:tcPr>
                  <w:tcW w:w="702" w:type="dxa"/>
                  <w:tcBorders>
                    <w:tl2br w:val="nil"/>
                    <w:tr2bl w:val="nil"/>
                  </w:tcBorders>
                  <w:noWrap w:val="0"/>
                  <w:vAlign w:val="center"/>
                </w:tcPr>
                <w:p w14:paraId="0C98B224">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要素属性</w:t>
                  </w:r>
                </w:p>
              </w:tc>
              <w:tc>
                <w:tcPr>
                  <w:tcW w:w="780" w:type="dxa"/>
                  <w:tcBorders>
                    <w:tl2br w:val="nil"/>
                    <w:tr2bl w:val="nil"/>
                  </w:tcBorders>
                  <w:noWrap w:val="0"/>
                  <w:vAlign w:val="center"/>
                </w:tcPr>
                <w:p w14:paraId="24681C49">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管控类别</w:t>
                  </w:r>
                </w:p>
              </w:tc>
              <w:tc>
                <w:tcPr>
                  <w:tcW w:w="8226" w:type="dxa"/>
                  <w:tcBorders>
                    <w:tl2br w:val="nil"/>
                    <w:tr2bl w:val="nil"/>
                  </w:tcBorders>
                  <w:noWrap w:val="0"/>
                  <w:vAlign w:val="center"/>
                </w:tcPr>
                <w:p w14:paraId="40FAD077">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管控要求</w:t>
                  </w:r>
                </w:p>
              </w:tc>
              <w:tc>
                <w:tcPr>
                  <w:tcW w:w="2667" w:type="dxa"/>
                  <w:tcBorders>
                    <w:tl2br w:val="nil"/>
                    <w:tr2bl w:val="nil"/>
                  </w:tcBorders>
                  <w:noWrap w:val="0"/>
                  <w:vAlign w:val="center"/>
                </w:tcPr>
                <w:p w14:paraId="5A5D09D3">
                  <w:pPr>
                    <w:spacing w:line="280" w:lineRule="exact"/>
                    <w:ind w:firstLine="0" w:firstLineChars="0"/>
                    <w:jc w:val="center"/>
                    <w:rPr>
                      <w:color w:val="auto"/>
                      <w:kern w:val="0"/>
                      <w:sz w:val="21"/>
                      <w:szCs w:val="21"/>
                      <w:highlight w:val="none"/>
                    </w:rPr>
                  </w:pPr>
                  <w:r>
                    <w:rPr>
                      <w:color w:val="auto"/>
                      <w:kern w:val="0"/>
                      <w:sz w:val="21"/>
                      <w:szCs w:val="21"/>
                      <w:highlight w:val="none"/>
                    </w:rPr>
                    <w:t>项目情况</w:t>
                  </w:r>
                </w:p>
              </w:tc>
              <w:tc>
                <w:tcPr>
                  <w:tcW w:w="778" w:type="dxa"/>
                  <w:tcBorders>
                    <w:tl2br w:val="nil"/>
                    <w:tr2bl w:val="nil"/>
                  </w:tcBorders>
                  <w:noWrap w:val="0"/>
                  <w:vAlign w:val="center"/>
                </w:tcPr>
                <w:p w14:paraId="2D5DE2F1">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本项目</w:t>
                  </w:r>
                  <w:r>
                    <w:rPr>
                      <w:color w:val="auto"/>
                      <w:kern w:val="0"/>
                      <w:sz w:val="21"/>
                      <w:szCs w:val="21"/>
                      <w:highlight w:val="none"/>
                    </w:rPr>
                    <w:t>符合性</w:t>
                  </w:r>
                </w:p>
              </w:tc>
            </w:tr>
            <w:tr w14:paraId="79E02E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19" w:hRule="atLeast"/>
                <w:jc w:val="center"/>
              </w:trPr>
              <w:tc>
                <w:tcPr>
                  <w:tcW w:w="702" w:type="dxa"/>
                  <w:vMerge w:val="restart"/>
                  <w:tcBorders>
                    <w:tl2br w:val="nil"/>
                    <w:tr2bl w:val="nil"/>
                  </w:tcBorders>
                  <w:noWrap w:val="0"/>
                  <w:vAlign w:val="center"/>
                </w:tcPr>
                <w:p w14:paraId="76963F69">
                  <w:pPr>
                    <w:widowControl/>
                    <w:spacing w:line="280" w:lineRule="exact"/>
                    <w:ind w:firstLine="0" w:firstLineChars="0"/>
                    <w:jc w:val="center"/>
                    <w:rPr>
                      <w:color w:val="auto"/>
                      <w:kern w:val="0"/>
                      <w:sz w:val="21"/>
                      <w:szCs w:val="21"/>
                      <w:highlight w:val="none"/>
                    </w:rPr>
                  </w:pPr>
                  <w:r>
                    <w:rPr>
                      <w:rFonts w:hint="eastAsia"/>
                      <w:color w:val="auto"/>
                      <w:kern w:val="0"/>
                      <w:sz w:val="21"/>
                      <w:szCs w:val="21"/>
                      <w:highlight w:val="none"/>
                    </w:rPr>
                    <w:t>产业总体布局要求</w:t>
                  </w:r>
                </w:p>
              </w:tc>
              <w:tc>
                <w:tcPr>
                  <w:tcW w:w="780" w:type="dxa"/>
                  <w:vMerge w:val="restart"/>
                  <w:tcBorders>
                    <w:tl2br w:val="nil"/>
                    <w:tr2bl w:val="nil"/>
                  </w:tcBorders>
                  <w:noWrap w:val="0"/>
                  <w:vAlign w:val="center"/>
                </w:tcPr>
                <w:p w14:paraId="2AB2C08E">
                  <w:pPr>
                    <w:widowControl/>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空间布局约束</w:t>
                  </w:r>
                </w:p>
              </w:tc>
              <w:tc>
                <w:tcPr>
                  <w:tcW w:w="8226" w:type="dxa"/>
                  <w:tcBorders>
                    <w:tl2br w:val="nil"/>
                    <w:tr2bl w:val="nil"/>
                  </w:tcBorders>
                  <w:noWrap w:val="0"/>
                  <w:vAlign w:val="center"/>
                </w:tcPr>
                <w:p w14:paraId="5850368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rPr>
                    <w:t>1、</w:t>
                  </w:r>
                  <w:r>
                    <w:rPr>
                      <w:rFonts w:hint="eastAsia"/>
                      <w:color w:val="auto"/>
                      <w:kern w:val="0"/>
                      <w:sz w:val="21"/>
                      <w:szCs w:val="21"/>
                      <w:highlight w:val="none"/>
                      <w:lang w:val="zh-CN"/>
                    </w:rPr>
                    <w:t>严格执行《产业结构调整指导目录》、《市场准入负面清单》、《河北省禁止投资的产业目录》相关要求。</w:t>
                  </w:r>
                </w:p>
              </w:tc>
              <w:tc>
                <w:tcPr>
                  <w:tcW w:w="2667" w:type="dxa"/>
                  <w:tcBorders>
                    <w:tl2br w:val="nil"/>
                    <w:tr2bl w:val="nil"/>
                  </w:tcBorders>
                  <w:noWrap w:val="0"/>
                  <w:vAlign w:val="center"/>
                </w:tcPr>
                <w:p w14:paraId="7E46A620">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本项目不属于《市场准入负面清单（2025年版）》中禁止类项目；属于《产业结构调整指导目录（2024年本）》中鼓励类项目。</w:t>
                  </w:r>
                </w:p>
              </w:tc>
              <w:tc>
                <w:tcPr>
                  <w:tcW w:w="778" w:type="dxa"/>
                  <w:tcBorders>
                    <w:tl2br w:val="nil"/>
                    <w:tr2bl w:val="nil"/>
                  </w:tcBorders>
                  <w:noWrap w:val="0"/>
                  <w:vAlign w:val="center"/>
                </w:tcPr>
                <w:p w14:paraId="7DD60D4F">
                  <w:pPr>
                    <w:spacing w:line="280" w:lineRule="exact"/>
                    <w:ind w:firstLine="0" w:firstLineChars="0"/>
                    <w:jc w:val="center"/>
                    <w:rPr>
                      <w:color w:val="auto"/>
                      <w:kern w:val="0"/>
                      <w:sz w:val="21"/>
                      <w:szCs w:val="21"/>
                      <w:highlight w:val="none"/>
                    </w:rPr>
                  </w:pPr>
                  <w:r>
                    <w:rPr>
                      <w:rFonts w:hint="eastAsia"/>
                      <w:color w:val="auto"/>
                      <w:kern w:val="0"/>
                      <w:sz w:val="21"/>
                      <w:szCs w:val="21"/>
                      <w:highlight w:val="none"/>
                    </w:rPr>
                    <w:t>符合</w:t>
                  </w:r>
                </w:p>
              </w:tc>
            </w:tr>
            <w:tr w14:paraId="73C0DB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20" w:hRule="atLeast"/>
                <w:jc w:val="center"/>
              </w:trPr>
              <w:tc>
                <w:tcPr>
                  <w:tcW w:w="702" w:type="dxa"/>
                  <w:vMerge w:val="continue"/>
                  <w:tcBorders>
                    <w:tl2br w:val="nil"/>
                    <w:tr2bl w:val="nil"/>
                  </w:tcBorders>
                  <w:noWrap w:val="0"/>
                  <w:vAlign w:val="center"/>
                </w:tcPr>
                <w:p w14:paraId="54F28B9F">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03521DF5">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24640FA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2、</w:t>
                  </w:r>
                  <w:r>
                    <w:rPr>
                      <w:rFonts w:hint="eastAsia"/>
                      <w:color w:val="auto"/>
                      <w:kern w:val="0"/>
                      <w:sz w:val="21"/>
                      <w:szCs w:val="21"/>
                      <w:highlight w:val="none"/>
                      <w:lang w:val="zh-CN"/>
                    </w:rPr>
                    <w:t>严格执行国家产业政策和准入标准，实行生态环境准入清单制度，禁止新建、扩建高污染项目，严格控制高耗能、高排放项目准入。新建、改建和扩建项目按照相关规定实行减量置换或者等量置换</w:t>
                  </w:r>
                  <w:r>
                    <w:rPr>
                      <w:color w:val="auto"/>
                      <w:kern w:val="0"/>
                      <w:sz w:val="21"/>
                      <w:szCs w:val="21"/>
                      <w:highlight w:val="none"/>
                      <w:lang w:val="zh-CN"/>
                    </w:rPr>
                    <w:t>。</w:t>
                  </w:r>
                </w:p>
              </w:tc>
              <w:tc>
                <w:tcPr>
                  <w:tcW w:w="2667" w:type="dxa"/>
                  <w:tcBorders>
                    <w:tl2br w:val="nil"/>
                    <w:tr2bl w:val="nil"/>
                  </w:tcBorders>
                  <w:noWrap w:val="0"/>
                  <w:vAlign w:val="center"/>
                </w:tcPr>
                <w:p w14:paraId="72EF1C09">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本项目符合</w:t>
                  </w:r>
                  <w:r>
                    <w:rPr>
                      <w:rFonts w:hint="eastAsia"/>
                      <w:color w:val="auto"/>
                      <w:kern w:val="0"/>
                      <w:sz w:val="21"/>
                      <w:szCs w:val="21"/>
                      <w:highlight w:val="none"/>
                      <w:lang w:val="zh-CN"/>
                    </w:rPr>
                    <w:t>国家产业政策和准入标准，</w:t>
                  </w:r>
                  <w:r>
                    <w:rPr>
                      <w:rFonts w:hint="eastAsia"/>
                      <w:color w:val="auto"/>
                      <w:kern w:val="0"/>
                      <w:sz w:val="21"/>
                      <w:szCs w:val="21"/>
                      <w:highlight w:val="none"/>
                      <w:lang w:val="en-US" w:eastAsia="zh-CN"/>
                    </w:rPr>
                    <w:t>不属于高污染项目。</w:t>
                  </w:r>
                </w:p>
              </w:tc>
              <w:tc>
                <w:tcPr>
                  <w:tcW w:w="778" w:type="dxa"/>
                  <w:tcBorders>
                    <w:tl2br w:val="nil"/>
                    <w:tr2bl w:val="nil"/>
                  </w:tcBorders>
                  <w:noWrap w:val="0"/>
                  <w:vAlign w:val="center"/>
                </w:tcPr>
                <w:p w14:paraId="1A27DBEB">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6CA043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40" w:hRule="atLeast"/>
                <w:jc w:val="center"/>
              </w:trPr>
              <w:tc>
                <w:tcPr>
                  <w:tcW w:w="702" w:type="dxa"/>
                  <w:vMerge w:val="continue"/>
                  <w:tcBorders>
                    <w:tl2br w:val="nil"/>
                    <w:tr2bl w:val="nil"/>
                  </w:tcBorders>
                  <w:noWrap w:val="0"/>
                  <w:vAlign w:val="center"/>
                </w:tcPr>
                <w:p w14:paraId="3CFFBFC2">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4511A1C7">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11B64B69">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lang w:val="en-US" w:eastAsia="zh-CN"/>
                    </w:rPr>
                    <w:t>3</w:t>
                  </w:r>
                  <w:r>
                    <w:rPr>
                      <w:rFonts w:hint="eastAsia"/>
                      <w:color w:val="auto"/>
                      <w:kern w:val="0"/>
                      <w:sz w:val="21"/>
                      <w:szCs w:val="21"/>
                      <w:highlight w:val="none"/>
                    </w:rPr>
                    <w:t>、</w:t>
                  </w:r>
                  <w:r>
                    <w:rPr>
                      <w:color w:val="auto"/>
                      <w:kern w:val="0"/>
                      <w:sz w:val="21"/>
                      <w:szCs w:val="21"/>
                      <w:highlight w:val="none"/>
                      <w:lang w:val="zh-CN"/>
                    </w:rPr>
                    <w:t>禁止投资钢铁冶炼、水泥、电解铝、平板玻璃等产能严重过剩行业和炼焦、有色、电石、铁合金等新增产能项目。</w:t>
                  </w:r>
                </w:p>
              </w:tc>
              <w:tc>
                <w:tcPr>
                  <w:tcW w:w="2667" w:type="dxa"/>
                  <w:tcBorders>
                    <w:tl2br w:val="nil"/>
                    <w:tr2bl w:val="nil"/>
                  </w:tcBorders>
                  <w:noWrap w:val="0"/>
                  <w:vAlign w:val="center"/>
                </w:tcPr>
                <w:p w14:paraId="6D91338E">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本项目不属于上述行业。</w:t>
                  </w:r>
                </w:p>
              </w:tc>
              <w:tc>
                <w:tcPr>
                  <w:tcW w:w="778" w:type="dxa"/>
                  <w:tcBorders>
                    <w:tl2br w:val="nil"/>
                    <w:tr2bl w:val="nil"/>
                  </w:tcBorders>
                  <w:noWrap w:val="0"/>
                  <w:vAlign w:val="center"/>
                </w:tcPr>
                <w:p w14:paraId="53C47E9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234E3A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702" w:type="dxa"/>
                  <w:vMerge w:val="continue"/>
                  <w:tcBorders>
                    <w:tl2br w:val="nil"/>
                    <w:tr2bl w:val="nil"/>
                  </w:tcBorders>
                  <w:noWrap w:val="0"/>
                  <w:vAlign w:val="center"/>
                </w:tcPr>
                <w:p w14:paraId="138355D7">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690063C9">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1C30D22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5、</w:t>
                  </w:r>
                  <w:r>
                    <w:rPr>
                      <w:rFonts w:hint="eastAsia"/>
                      <w:color w:val="auto"/>
                      <w:kern w:val="0"/>
                      <w:sz w:val="21"/>
                      <w:szCs w:val="21"/>
                      <w:highlight w:val="none"/>
                      <w:lang w:val="zh-CN"/>
                    </w:rPr>
                    <w:t>以水泥、平板玻璃、焦化、化工、制药等行业为重点，加快城市建成区重污染企业搬迁改造或关闭退出，县城和主要城镇建成区的重污染企业逐步实施退城搬迁。对不符合国家产业政策、不符合当地产业布局规划的分散燃煤（燃重油等）炉窑，鼓励搬迁入园并进行集中治理，推进治理装备升级改造，建设规模化和集约化工业企业</w:t>
                  </w:r>
                  <w:r>
                    <w:rPr>
                      <w:color w:val="auto"/>
                      <w:kern w:val="0"/>
                      <w:sz w:val="21"/>
                      <w:szCs w:val="21"/>
                      <w:highlight w:val="none"/>
                      <w:lang w:val="zh-CN"/>
                    </w:rPr>
                    <w:t>。</w:t>
                  </w:r>
                </w:p>
              </w:tc>
              <w:tc>
                <w:tcPr>
                  <w:tcW w:w="2667" w:type="dxa"/>
                  <w:vMerge w:val="restart"/>
                  <w:tcBorders>
                    <w:tl2br w:val="nil"/>
                    <w:tr2bl w:val="nil"/>
                  </w:tcBorders>
                  <w:noWrap w:val="0"/>
                  <w:vAlign w:val="center"/>
                </w:tcPr>
                <w:p w14:paraId="3F3A521B">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rFonts w:hint="eastAsia"/>
                      <w:color w:val="auto"/>
                      <w:kern w:val="0"/>
                      <w:sz w:val="21"/>
                      <w:szCs w:val="21"/>
                      <w:highlight w:val="none"/>
                      <w:lang w:val="zh-CN"/>
                    </w:rPr>
                    <w:t>水泥、平板玻璃、焦化、化工、制药</w:t>
                  </w:r>
                  <w:r>
                    <w:rPr>
                      <w:rFonts w:hint="eastAsia"/>
                      <w:color w:val="auto"/>
                      <w:kern w:val="0"/>
                      <w:sz w:val="21"/>
                      <w:szCs w:val="21"/>
                      <w:highlight w:val="none"/>
                      <w:lang w:val="en-US" w:eastAsia="zh-CN"/>
                    </w:rPr>
                    <w:t>项目，不在</w:t>
                  </w:r>
                  <w:r>
                    <w:rPr>
                      <w:color w:val="auto"/>
                      <w:kern w:val="0"/>
                      <w:sz w:val="21"/>
                      <w:szCs w:val="21"/>
                      <w:highlight w:val="none"/>
                      <w:lang w:val="zh-CN"/>
                    </w:rPr>
                    <w:t>城市建成区</w:t>
                  </w:r>
                  <w:r>
                    <w:rPr>
                      <w:rFonts w:hint="eastAsia"/>
                      <w:color w:val="auto"/>
                      <w:kern w:val="0"/>
                      <w:sz w:val="21"/>
                      <w:szCs w:val="21"/>
                      <w:highlight w:val="none"/>
                      <w:lang w:val="zh-CN"/>
                    </w:rPr>
                    <w:t>、</w:t>
                  </w:r>
                  <w:r>
                    <w:rPr>
                      <w:color w:val="auto"/>
                      <w:kern w:val="0"/>
                      <w:sz w:val="21"/>
                      <w:szCs w:val="21"/>
                      <w:highlight w:val="none"/>
                      <w:lang w:val="zh-CN"/>
                    </w:rPr>
                    <w:t>县城和主要城镇建成区</w:t>
                  </w:r>
                  <w:r>
                    <w:rPr>
                      <w:rFonts w:hint="eastAsia"/>
                      <w:color w:val="auto"/>
                      <w:kern w:val="0"/>
                      <w:sz w:val="21"/>
                      <w:szCs w:val="21"/>
                      <w:highlight w:val="none"/>
                      <w:lang w:val="zh-CN"/>
                    </w:rPr>
                    <w:t>，</w:t>
                  </w:r>
                  <w:r>
                    <w:rPr>
                      <w:rFonts w:hint="eastAsia"/>
                      <w:color w:val="auto"/>
                      <w:kern w:val="0"/>
                      <w:sz w:val="21"/>
                      <w:szCs w:val="21"/>
                      <w:highlight w:val="none"/>
                      <w:lang w:val="en-US" w:eastAsia="zh-CN"/>
                    </w:rPr>
                    <w:t>不在</w:t>
                  </w:r>
                  <w:r>
                    <w:rPr>
                      <w:color w:val="auto"/>
                      <w:kern w:val="0"/>
                      <w:sz w:val="21"/>
                      <w:szCs w:val="21"/>
                      <w:highlight w:val="none"/>
                      <w:lang w:val="zh-CN"/>
                    </w:rPr>
                    <w:t>优先保护类耕地集中区域</w:t>
                  </w:r>
                  <w:r>
                    <w:rPr>
                      <w:rFonts w:hint="eastAsia"/>
                      <w:color w:val="auto"/>
                      <w:kern w:val="0"/>
                      <w:sz w:val="21"/>
                      <w:szCs w:val="21"/>
                      <w:highlight w:val="none"/>
                      <w:lang w:val="zh-CN"/>
                    </w:rPr>
                    <w:t>；</w:t>
                  </w:r>
                  <w:r>
                    <w:rPr>
                      <w:rFonts w:hint="eastAsia"/>
                      <w:color w:val="auto"/>
                      <w:kern w:val="0"/>
                      <w:sz w:val="21"/>
                      <w:szCs w:val="21"/>
                      <w:highlight w:val="none"/>
                      <w:lang w:val="en-US" w:eastAsia="zh-CN"/>
                    </w:rPr>
                    <w:t>本项目不涉及</w:t>
                  </w:r>
                  <w:r>
                    <w:rPr>
                      <w:rFonts w:hint="eastAsia"/>
                      <w:color w:val="auto"/>
                      <w:kern w:val="0"/>
                      <w:sz w:val="21"/>
                      <w:szCs w:val="21"/>
                      <w:highlight w:val="none"/>
                      <w:lang w:val="zh-CN"/>
                    </w:rPr>
                    <w:t>燃煤（燃重油等）炉窑。</w:t>
                  </w:r>
                </w:p>
              </w:tc>
              <w:tc>
                <w:tcPr>
                  <w:tcW w:w="778" w:type="dxa"/>
                  <w:tcBorders>
                    <w:tl2br w:val="nil"/>
                    <w:tr2bl w:val="nil"/>
                  </w:tcBorders>
                  <w:noWrap w:val="0"/>
                  <w:vAlign w:val="center"/>
                </w:tcPr>
                <w:p w14:paraId="71E61EAE">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4D2E5D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702" w:type="dxa"/>
                  <w:vMerge w:val="continue"/>
                  <w:tcBorders>
                    <w:tl2br w:val="nil"/>
                    <w:tr2bl w:val="nil"/>
                  </w:tcBorders>
                  <w:noWrap w:val="0"/>
                  <w:vAlign w:val="center"/>
                </w:tcPr>
                <w:p w14:paraId="2768A467">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0D3624B4">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4A37637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lang w:val="en-US" w:eastAsia="zh-CN"/>
                    </w:rPr>
                    <w:t>6、</w:t>
                  </w:r>
                  <w:r>
                    <w:rPr>
                      <w:rFonts w:hint="eastAsia"/>
                      <w:color w:val="auto"/>
                      <w:kern w:val="0"/>
                      <w:sz w:val="21"/>
                      <w:szCs w:val="21"/>
                      <w:highlight w:val="none"/>
                      <w:lang w:val="zh-CN"/>
                    </w:rPr>
                    <w:t>在优先保护类耕地集中区域严格控制新建有色金属冶炼、石油加工、化工、焦化、电镀、制革、铅蓄电池等行业企业，防止对耕地造成污染</w:t>
                  </w:r>
                  <w:r>
                    <w:rPr>
                      <w:color w:val="auto"/>
                      <w:kern w:val="0"/>
                      <w:sz w:val="21"/>
                      <w:szCs w:val="21"/>
                      <w:highlight w:val="none"/>
                      <w:lang w:val="zh-CN"/>
                    </w:rPr>
                    <w:t>。</w:t>
                  </w:r>
                </w:p>
              </w:tc>
              <w:tc>
                <w:tcPr>
                  <w:tcW w:w="2667" w:type="dxa"/>
                  <w:vMerge w:val="continue"/>
                  <w:tcBorders>
                    <w:tl2br w:val="nil"/>
                    <w:tr2bl w:val="nil"/>
                  </w:tcBorders>
                  <w:noWrap w:val="0"/>
                  <w:vAlign w:val="center"/>
                </w:tcPr>
                <w:p w14:paraId="7E9119B9">
                  <w:pPr>
                    <w:spacing w:line="280" w:lineRule="exact"/>
                    <w:ind w:firstLine="0" w:firstLineChars="0"/>
                    <w:jc w:val="center"/>
                    <w:rPr>
                      <w:rFonts w:hint="default" w:eastAsia="宋体"/>
                      <w:color w:val="auto"/>
                      <w:kern w:val="0"/>
                      <w:sz w:val="21"/>
                      <w:szCs w:val="21"/>
                      <w:highlight w:val="none"/>
                      <w:lang w:val="en-US" w:eastAsia="zh-CN"/>
                    </w:rPr>
                  </w:pPr>
                </w:p>
              </w:tc>
              <w:tc>
                <w:tcPr>
                  <w:tcW w:w="778" w:type="dxa"/>
                  <w:tcBorders>
                    <w:tl2br w:val="nil"/>
                    <w:tr2bl w:val="nil"/>
                  </w:tcBorders>
                  <w:noWrap w:val="0"/>
                  <w:vAlign w:val="center"/>
                </w:tcPr>
                <w:p w14:paraId="07AD61B2">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0C5CDD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12" w:hRule="atLeast"/>
                <w:jc w:val="center"/>
              </w:trPr>
              <w:tc>
                <w:tcPr>
                  <w:tcW w:w="702" w:type="dxa"/>
                  <w:vMerge w:val="continue"/>
                  <w:tcBorders>
                    <w:tl2br w:val="nil"/>
                    <w:tr2bl w:val="nil"/>
                  </w:tcBorders>
                  <w:noWrap w:val="0"/>
                  <w:vAlign w:val="center"/>
                </w:tcPr>
                <w:p w14:paraId="6D857329">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1E91A3C4">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25ABEAE5">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7、</w:t>
                  </w:r>
                  <w:r>
                    <w:rPr>
                      <w:rFonts w:hint="eastAsia"/>
                      <w:color w:val="auto"/>
                      <w:kern w:val="0"/>
                      <w:sz w:val="21"/>
                      <w:szCs w:val="21"/>
                      <w:highlight w:val="none"/>
                      <w:lang w:val="zh-CN"/>
                    </w:rPr>
                    <w:t>新建、改建、扩建“两高”项目须符合生态环境保护法律法规和相关法定规划，满足重点污染物排放总量控制、碳排放达峰目标、生态环境准入清单、相关规划环评和相应行业建设项目环境准入条件、环评文件审批原则要求</w:t>
                  </w:r>
                  <w:r>
                    <w:rPr>
                      <w:color w:val="auto"/>
                      <w:kern w:val="0"/>
                      <w:sz w:val="21"/>
                      <w:szCs w:val="21"/>
                      <w:highlight w:val="none"/>
                      <w:lang w:val="zh-CN"/>
                    </w:rPr>
                    <w:t>。</w:t>
                  </w:r>
                </w:p>
              </w:tc>
              <w:tc>
                <w:tcPr>
                  <w:tcW w:w="2667" w:type="dxa"/>
                  <w:tcBorders>
                    <w:tl2br w:val="nil"/>
                    <w:tr2bl w:val="nil"/>
                  </w:tcBorders>
                  <w:noWrap w:val="0"/>
                  <w:vAlign w:val="center"/>
                </w:tcPr>
                <w:p w14:paraId="29FB1AFD">
                  <w:pPr>
                    <w:spacing w:line="280" w:lineRule="exact"/>
                    <w:ind w:firstLine="0" w:firstLineChars="0"/>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本项目不属于“两高”项目。</w:t>
                  </w:r>
                </w:p>
              </w:tc>
              <w:tc>
                <w:tcPr>
                  <w:tcW w:w="778" w:type="dxa"/>
                  <w:tcBorders>
                    <w:tl2br w:val="nil"/>
                    <w:tr2bl w:val="nil"/>
                  </w:tcBorders>
                  <w:noWrap w:val="0"/>
                  <w:vAlign w:val="center"/>
                </w:tcPr>
                <w:p w14:paraId="2797400E">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6A88C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95" w:hRule="atLeast"/>
                <w:jc w:val="center"/>
              </w:trPr>
              <w:tc>
                <w:tcPr>
                  <w:tcW w:w="702" w:type="dxa"/>
                  <w:vMerge w:val="continue"/>
                  <w:tcBorders>
                    <w:tl2br w:val="nil"/>
                    <w:tr2bl w:val="nil"/>
                  </w:tcBorders>
                  <w:noWrap w:val="0"/>
                  <w:vAlign w:val="center"/>
                </w:tcPr>
                <w:p w14:paraId="0BF18EB7">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46DC2C41">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5BC39D87">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8、</w:t>
                  </w:r>
                  <w:r>
                    <w:rPr>
                      <w:rFonts w:hint="eastAsia"/>
                      <w:color w:val="auto"/>
                      <w:kern w:val="0"/>
                      <w:sz w:val="21"/>
                      <w:szCs w:val="21"/>
                      <w:highlight w:val="none"/>
                      <w:lang w:val="zh-CN"/>
                    </w:rPr>
                    <w:t>鼓励钢铁冶炼项目建设依托具备条件的现有钢铁冶炼生产厂区集聚发展，在现有厂区建设钢铁冶炼项目没有粗钢产能建设规模限制要求。对确有必要新选址（指不能与现有生产厂区共用公辅设施，下同）建设的钢铁冶炼项目粗钢产能规模要求如下：沿海地区（指拥有海岸线的设区市）不低于2000万吨/年（允许分两期建设，5年内全部建成，一期不低于1000万吨/年）</w:t>
                  </w:r>
                  <w:r>
                    <w:rPr>
                      <w:color w:val="auto"/>
                      <w:kern w:val="0"/>
                      <w:sz w:val="21"/>
                      <w:szCs w:val="21"/>
                      <w:highlight w:val="none"/>
                      <w:lang w:val="zh-CN"/>
                    </w:rPr>
                    <w:t>。</w:t>
                  </w:r>
                </w:p>
              </w:tc>
              <w:tc>
                <w:tcPr>
                  <w:tcW w:w="2667" w:type="dxa"/>
                  <w:tcBorders>
                    <w:tl2br w:val="nil"/>
                    <w:tr2bl w:val="nil"/>
                  </w:tcBorders>
                  <w:noWrap w:val="0"/>
                  <w:vAlign w:val="center"/>
                </w:tcPr>
                <w:p w14:paraId="63368E64">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lang w:val="en-US" w:eastAsia="zh-CN"/>
                    </w:rPr>
                    <w:t>本项目不属于</w:t>
                  </w:r>
                  <w:r>
                    <w:rPr>
                      <w:rFonts w:hint="eastAsia"/>
                      <w:color w:val="auto"/>
                      <w:kern w:val="0"/>
                      <w:sz w:val="21"/>
                      <w:szCs w:val="21"/>
                      <w:highlight w:val="none"/>
                      <w:lang w:val="zh-CN"/>
                    </w:rPr>
                    <w:t>钢铁冶炼</w:t>
                  </w:r>
                  <w:r>
                    <w:rPr>
                      <w:rFonts w:hint="eastAsia"/>
                      <w:color w:val="auto"/>
                      <w:kern w:val="0"/>
                      <w:sz w:val="21"/>
                      <w:szCs w:val="21"/>
                      <w:highlight w:val="none"/>
                      <w:lang w:val="en-US" w:eastAsia="zh-CN"/>
                    </w:rPr>
                    <w:t>项目。</w:t>
                  </w:r>
                </w:p>
              </w:tc>
              <w:tc>
                <w:tcPr>
                  <w:tcW w:w="778" w:type="dxa"/>
                  <w:tcBorders>
                    <w:tl2br w:val="nil"/>
                    <w:tr2bl w:val="nil"/>
                  </w:tcBorders>
                  <w:noWrap w:val="0"/>
                  <w:vAlign w:val="center"/>
                </w:tcPr>
                <w:p w14:paraId="0DD69D10">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56DD3B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23" w:hRule="atLeast"/>
                <w:jc w:val="center"/>
              </w:trPr>
              <w:tc>
                <w:tcPr>
                  <w:tcW w:w="702" w:type="dxa"/>
                  <w:vMerge w:val="continue"/>
                  <w:tcBorders>
                    <w:tl2br w:val="nil"/>
                    <w:tr2bl w:val="nil"/>
                  </w:tcBorders>
                  <w:noWrap w:val="0"/>
                  <w:vAlign w:val="center"/>
                </w:tcPr>
                <w:p w14:paraId="2220816A">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70B86073">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7209E98F">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eastAsia"/>
                      <w:color w:val="auto"/>
                      <w:kern w:val="0"/>
                      <w:sz w:val="21"/>
                      <w:szCs w:val="21"/>
                      <w:highlight w:val="none"/>
                    </w:rPr>
                  </w:pPr>
                  <w:r>
                    <w:rPr>
                      <w:rFonts w:hint="eastAsia"/>
                      <w:color w:val="auto"/>
                      <w:kern w:val="0"/>
                      <w:sz w:val="21"/>
                      <w:szCs w:val="21"/>
                      <w:highlight w:val="none"/>
                    </w:rPr>
                    <w:t>9、</w:t>
                  </w:r>
                  <w:r>
                    <w:rPr>
                      <w:rFonts w:hint="eastAsia"/>
                      <w:color w:val="auto"/>
                      <w:kern w:val="0"/>
                      <w:sz w:val="21"/>
                      <w:szCs w:val="21"/>
                      <w:highlight w:val="none"/>
                      <w:lang w:val="zh-CN"/>
                    </w:rPr>
                    <w:t>严格规范危化品管理，逐步退出人口聚集区内危化品的生产、储存、加工机构，加快实施重污染企业搬迁；加强居住区生态环境防护，建设封闭式石化园区，严格控制危化品仓储基地、运输路径等，减少对居民生活影响</w:t>
                  </w:r>
                  <w:r>
                    <w:rPr>
                      <w:color w:val="auto"/>
                      <w:kern w:val="0"/>
                      <w:sz w:val="21"/>
                      <w:szCs w:val="21"/>
                      <w:highlight w:val="none"/>
                      <w:lang w:val="zh-CN"/>
                    </w:rPr>
                    <w:t>。</w:t>
                  </w:r>
                </w:p>
              </w:tc>
              <w:tc>
                <w:tcPr>
                  <w:tcW w:w="2667" w:type="dxa"/>
                  <w:tcBorders>
                    <w:tl2br w:val="nil"/>
                    <w:tr2bl w:val="nil"/>
                  </w:tcBorders>
                  <w:noWrap w:val="0"/>
                  <w:vAlign w:val="center"/>
                </w:tcPr>
                <w:p w14:paraId="47F1D51D">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rFonts w:hint="eastAsia"/>
                      <w:color w:val="auto"/>
                      <w:kern w:val="0"/>
                      <w:sz w:val="21"/>
                      <w:szCs w:val="21"/>
                      <w:highlight w:val="none"/>
                      <w:lang w:val="zh-CN"/>
                    </w:rPr>
                    <w:t>危化品的生产、储存、加工机构。</w:t>
                  </w:r>
                </w:p>
              </w:tc>
              <w:tc>
                <w:tcPr>
                  <w:tcW w:w="778" w:type="dxa"/>
                  <w:tcBorders>
                    <w:tl2br w:val="nil"/>
                    <w:tr2bl w:val="nil"/>
                  </w:tcBorders>
                  <w:noWrap w:val="0"/>
                  <w:vAlign w:val="center"/>
                </w:tcPr>
                <w:p w14:paraId="24000AEA">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4B2BA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774" w:hRule="atLeast"/>
                <w:jc w:val="center"/>
              </w:trPr>
              <w:tc>
                <w:tcPr>
                  <w:tcW w:w="702" w:type="dxa"/>
                  <w:vMerge w:val="continue"/>
                  <w:tcBorders>
                    <w:tl2br w:val="nil"/>
                    <w:tr2bl w:val="nil"/>
                  </w:tcBorders>
                  <w:noWrap w:val="0"/>
                  <w:vAlign w:val="center"/>
                </w:tcPr>
                <w:p w14:paraId="4D8B7D4B">
                  <w:pPr>
                    <w:spacing w:line="280" w:lineRule="exact"/>
                    <w:ind w:firstLine="0" w:firstLineChars="0"/>
                    <w:jc w:val="center"/>
                    <w:rPr>
                      <w:color w:val="auto"/>
                      <w:sz w:val="21"/>
                      <w:szCs w:val="21"/>
                      <w:highlight w:val="none"/>
                    </w:rPr>
                  </w:pPr>
                </w:p>
              </w:tc>
              <w:tc>
                <w:tcPr>
                  <w:tcW w:w="780" w:type="dxa"/>
                  <w:vMerge w:val="continue"/>
                  <w:tcBorders>
                    <w:tl2br w:val="nil"/>
                    <w:tr2bl w:val="nil"/>
                  </w:tcBorders>
                  <w:noWrap w:val="0"/>
                  <w:vAlign w:val="center"/>
                </w:tcPr>
                <w:p w14:paraId="19F3F616">
                  <w:pPr>
                    <w:spacing w:line="280" w:lineRule="exact"/>
                    <w:ind w:firstLine="0" w:firstLineChars="0"/>
                    <w:jc w:val="center"/>
                    <w:rPr>
                      <w:color w:val="auto"/>
                      <w:sz w:val="21"/>
                      <w:szCs w:val="21"/>
                      <w:highlight w:val="none"/>
                    </w:rPr>
                  </w:pPr>
                </w:p>
              </w:tc>
              <w:tc>
                <w:tcPr>
                  <w:tcW w:w="8226" w:type="dxa"/>
                  <w:tcBorders>
                    <w:tl2br w:val="nil"/>
                    <w:tr2bl w:val="nil"/>
                  </w:tcBorders>
                  <w:noWrap w:val="0"/>
                  <w:vAlign w:val="center"/>
                </w:tcPr>
                <w:p w14:paraId="359FC47E">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rFonts w:hint="eastAsia"/>
                      <w:color w:val="auto"/>
                      <w:kern w:val="0"/>
                      <w:sz w:val="21"/>
                      <w:szCs w:val="21"/>
                      <w:highlight w:val="none"/>
                    </w:rPr>
                    <w:t>10、</w:t>
                  </w:r>
                  <w:r>
                    <w:rPr>
                      <w:rFonts w:hint="eastAsia"/>
                      <w:color w:val="auto"/>
                      <w:kern w:val="0"/>
                      <w:sz w:val="21"/>
                      <w:szCs w:val="21"/>
                      <w:highlight w:val="none"/>
                      <w:lang w:val="zh-CN"/>
                    </w:rPr>
                    <w:t>严格控制尿素、磷铵、电石、烧碱、聚氯乙烯、纯碱、黄磷等过剩行业新增产能，相关部门和机构不得违规办理土地（海域）供应、能评、环评和新增授信等业务，对符合政策要求的先进工艺改造提升项目应实行等量或减量置换。有序推进曹妃甸石化产业基地建设。未纳入《石化产业规划布局方案》的新建炼化项目一律不得建设。强化安全卫生防护距离和规划环评约束，不符合要求的化工园区、化工品储存项目要关闭退出，危险化学品生产企业搬迁改造及新建化工项目必须进入规范化工园区。</w:t>
                  </w:r>
                </w:p>
              </w:tc>
              <w:tc>
                <w:tcPr>
                  <w:tcW w:w="2667" w:type="dxa"/>
                  <w:tcBorders>
                    <w:tl2br w:val="nil"/>
                    <w:tr2bl w:val="nil"/>
                  </w:tcBorders>
                  <w:noWrap w:val="0"/>
                  <w:vAlign w:val="center"/>
                </w:tcPr>
                <w:p w14:paraId="2118DF9B">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本项目不属于上述过剩行业，不属于化工项目。</w:t>
                  </w:r>
                </w:p>
              </w:tc>
              <w:tc>
                <w:tcPr>
                  <w:tcW w:w="778" w:type="dxa"/>
                  <w:tcBorders>
                    <w:tl2br w:val="nil"/>
                    <w:tr2bl w:val="nil"/>
                  </w:tcBorders>
                  <w:noWrap w:val="0"/>
                  <w:vAlign w:val="center"/>
                </w:tcPr>
                <w:p w14:paraId="61257466">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5F2C52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74" w:hRule="atLeast"/>
                <w:jc w:val="center"/>
              </w:trPr>
              <w:tc>
                <w:tcPr>
                  <w:tcW w:w="702" w:type="dxa"/>
                  <w:vMerge w:val="continue"/>
                  <w:tcBorders>
                    <w:tl2br w:val="nil"/>
                    <w:tr2bl w:val="nil"/>
                  </w:tcBorders>
                  <w:noWrap w:val="0"/>
                  <w:vAlign w:val="center"/>
                </w:tcPr>
                <w:p w14:paraId="1061BB4A">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1ACF1A0B">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5315B6B7">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11、</w:t>
                  </w:r>
                  <w:r>
                    <w:rPr>
                      <w:rFonts w:hint="eastAsia"/>
                      <w:color w:val="auto"/>
                      <w:kern w:val="0"/>
                      <w:sz w:val="21"/>
                      <w:szCs w:val="21"/>
                      <w:highlight w:val="none"/>
                      <w:lang w:val="zh-CN"/>
                    </w:rPr>
                    <w:t>逐步淘汰180平方米以下烧结机，逐步淘汰平面步进式烧结机，按照有关规定改造升级为大型带式烧结机；禁止新建球团竖炉，现有球团竖炉炉役到期不得大修，加快推动以链篦机-回转窑或带式焙烧机工艺取代球团竖炉工艺，鼓励企业之间通过合资合作方式建设大型链篦机-回转窑、带式焙烧机；加快推动以密闭皮带机取代汽车转运厂内大宗物料</w:t>
                  </w:r>
                  <w:r>
                    <w:rPr>
                      <w:color w:val="auto"/>
                      <w:kern w:val="0"/>
                      <w:sz w:val="21"/>
                      <w:szCs w:val="21"/>
                      <w:highlight w:val="none"/>
                      <w:lang w:val="zh-CN"/>
                    </w:rPr>
                    <w:t>。</w:t>
                  </w:r>
                </w:p>
              </w:tc>
              <w:tc>
                <w:tcPr>
                  <w:tcW w:w="2667" w:type="dxa"/>
                  <w:tcBorders>
                    <w:tl2br w:val="nil"/>
                    <w:tr2bl w:val="nil"/>
                  </w:tcBorders>
                  <w:noWrap w:val="0"/>
                  <w:vAlign w:val="center"/>
                </w:tcPr>
                <w:p w14:paraId="5D5B0191">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本项目不涉及烧结机、竖窑等。</w:t>
                  </w:r>
                </w:p>
              </w:tc>
              <w:tc>
                <w:tcPr>
                  <w:tcW w:w="778" w:type="dxa"/>
                  <w:tcBorders>
                    <w:tl2br w:val="nil"/>
                    <w:tr2bl w:val="nil"/>
                  </w:tcBorders>
                  <w:noWrap w:val="0"/>
                  <w:vAlign w:val="center"/>
                </w:tcPr>
                <w:p w14:paraId="7796E4C7">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5253FD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22" w:hRule="atLeast"/>
                <w:jc w:val="center"/>
              </w:trPr>
              <w:tc>
                <w:tcPr>
                  <w:tcW w:w="702" w:type="dxa"/>
                  <w:vMerge w:val="continue"/>
                  <w:tcBorders>
                    <w:tl2br w:val="nil"/>
                    <w:tr2bl w:val="nil"/>
                  </w:tcBorders>
                  <w:noWrap w:val="0"/>
                  <w:vAlign w:val="center"/>
                </w:tcPr>
                <w:p w14:paraId="41648289">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25D6B9D0">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11B8FF3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12、</w:t>
                  </w:r>
                  <w:r>
                    <w:rPr>
                      <w:rFonts w:hint="eastAsia"/>
                      <w:color w:val="auto"/>
                      <w:kern w:val="0"/>
                      <w:sz w:val="21"/>
                      <w:szCs w:val="21"/>
                      <w:highlight w:val="none"/>
                      <w:lang w:val="zh-CN"/>
                    </w:rPr>
                    <w:t>技术装备全面升级，高炉逐步达到1000立方米及以上、转炉逐步达到100吨及以上、烧结机逐步达到180平方米烧结机及以上。严格按照国家规定的产能减量置换政策实施改造升级，坚决杜绝借改造升级之机变相扩大生产能力；推广“一罐到底”工艺或采用鱼雷罐车运输铁水。</w:t>
                  </w:r>
                </w:p>
              </w:tc>
              <w:tc>
                <w:tcPr>
                  <w:tcW w:w="2667" w:type="dxa"/>
                  <w:tcBorders>
                    <w:tl2br w:val="nil"/>
                    <w:tr2bl w:val="nil"/>
                  </w:tcBorders>
                  <w:noWrap w:val="0"/>
                  <w:vAlign w:val="center"/>
                </w:tcPr>
                <w:p w14:paraId="1F22BF28">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本项目不涉及高炉、转炉、烧结机。</w:t>
                  </w:r>
                </w:p>
              </w:tc>
              <w:tc>
                <w:tcPr>
                  <w:tcW w:w="778" w:type="dxa"/>
                  <w:tcBorders>
                    <w:tl2br w:val="nil"/>
                    <w:tr2bl w:val="nil"/>
                  </w:tcBorders>
                  <w:noWrap w:val="0"/>
                  <w:vAlign w:val="center"/>
                </w:tcPr>
                <w:p w14:paraId="0464711D">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600614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702" w:type="dxa"/>
                  <w:vMerge w:val="continue"/>
                  <w:tcBorders>
                    <w:tl2br w:val="nil"/>
                    <w:tr2bl w:val="nil"/>
                  </w:tcBorders>
                  <w:noWrap w:val="0"/>
                  <w:vAlign w:val="center"/>
                </w:tcPr>
                <w:p w14:paraId="10D8FACD">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6CCBF7D5">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0B34E65C">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13、</w:t>
                  </w:r>
                  <w:r>
                    <w:rPr>
                      <w:rFonts w:hint="eastAsia"/>
                      <w:color w:val="auto"/>
                      <w:kern w:val="0"/>
                      <w:sz w:val="21"/>
                      <w:szCs w:val="21"/>
                      <w:highlight w:val="none"/>
                      <w:lang w:val="zh-CN"/>
                    </w:rPr>
                    <w:t>尚未配备脱硫装置的球团竖炉，立即停产淘汰，不再予以改造；烧结厂房实现全封闭</w:t>
                  </w:r>
                  <w:r>
                    <w:rPr>
                      <w:color w:val="auto"/>
                      <w:kern w:val="0"/>
                      <w:sz w:val="21"/>
                      <w:szCs w:val="21"/>
                      <w:highlight w:val="none"/>
                      <w:lang w:val="zh-CN"/>
                    </w:rPr>
                    <w:t>。</w:t>
                  </w:r>
                </w:p>
              </w:tc>
              <w:tc>
                <w:tcPr>
                  <w:tcW w:w="2667" w:type="dxa"/>
                  <w:tcBorders>
                    <w:tl2br w:val="nil"/>
                    <w:tr2bl w:val="nil"/>
                  </w:tcBorders>
                  <w:noWrap w:val="0"/>
                  <w:vAlign w:val="center"/>
                </w:tcPr>
                <w:p w14:paraId="78A91874">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本项目不涉及</w:t>
                  </w:r>
                  <w:r>
                    <w:rPr>
                      <w:color w:val="auto"/>
                      <w:kern w:val="0"/>
                      <w:sz w:val="21"/>
                      <w:szCs w:val="21"/>
                      <w:highlight w:val="none"/>
                      <w:lang w:val="zh-CN"/>
                    </w:rPr>
                    <w:t>球团竖炉</w:t>
                  </w:r>
                  <w:r>
                    <w:rPr>
                      <w:rFonts w:hint="eastAsia"/>
                      <w:color w:val="auto"/>
                      <w:kern w:val="0"/>
                      <w:sz w:val="21"/>
                      <w:szCs w:val="21"/>
                      <w:highlight w:val="none"/>
                      <w:lang w:val="zh-CN"/>
                    </w:rPr>
                    <w:t>、</w:t>
                  </w:r>
                  <w:r>
                    <w:rPr>
                      <w:rFonts w:hint="eastAsia"/>
                      <w:color w:val="auto"/>
                      <w:kern w:val="0"/>
                      <w:sz w:val="21"/>
                      <w:szCs w:val="21"/>
                      <w:highlight w:val="none"/>
                      <w:lang w:val="en-US" w:eastAsia="zh-CN"/>
                    </w:rPr>
                    <w:t>烧结厂房。</w:t>
                  </w:r>
                </w:p>
              </w:tc>
              <w:tc>
                <w:tcPr>
                  <w:tcW w:w="778" w:type="dxa"/>
                  <w:tcBorders>
                    <w:tl2br w:val="nil"/>
                    <w:tr2bl w:val="nil"/>
                  </w:tcBorders>
                  <w:noWrap w:val="0"/>
                  <w:vAlign w:val="center"/>
                </w:tcPr>
                <w:p w14:paraId="636D523B">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4E6F5F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40" w:hRule="atLeast"/>
                <w:jc w:val="center"/>
              </w:trPr>
              <w:tc>
                <w:tcPr>
                  <w:tcW w:w="702" w:type="dxa"/>
                  <w:vMerge w:val="continue"/>
                  <w:tcBorders>
                    <w:tl2br w:val="nil"/>
                    <w:tr2bl w:val="nil"/>
                  </w:tcBorders>
                  <w:noWrap w:val="0"/>
                  <w:vAlign w:val="center"/>
                </w:tcPr>
                <w:p w14:paraId="11777BCA">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67B7A753">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02876563">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14、</w:t>
                  </w:r>
                  <w:r>
                    <w:rPr>
                      <w:rFonts w:hint="eastAsia"/>
                      <w:color w:val="auto"/>
                      <w:kern w:val="0"/>
                      <w:sz w:val="21"/>
                      <w:szCs w:val="21"/>
                      <w:highlight w:val="none"/>
                      <w:lang w:val="zh-CN"/>
                    </w:rPr>
                    <w:t>严禁备案和新建扩大产能的水泥熟料、平板玻璃项目。确有必要新建的，必须制定产能置换方案，实施产能置换。用于产能置换的生产线，必须在建设项目投产前关停并完成拆除退出</w:t>
                  </w:r>
                  <w:r>
                    <w:rPr>
                      <w:color w:val="auto"/>
                      <w:kern w:val="0"/>
                      <w:sz w:val="21"/>
                      <w:szCs w:val="21"/>
                      <w:highlight w:val="none"/>
                      <w:lang w:val="zh-CN"/>
                    </w:rPr>
                    <w:t>。</w:t>
                  </w:r>
                </w:p>
              </w:tc>
              <w:tc>
                <w:tcPr>
                  <w:tcW w:w="2667" w:type="dxa"/>
                  <w:tcBorders>
                    <w:tl2br w:val="nil"/>
                    <w:tr2bl w:val="nil"/>
                  </w:tcBorders>
                  <w:noWrap w:val="0"/>
                  <w:vAlign w:val="center"/>
                </w:tcPr>
                <w:p w14:paraId="01393DFA">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color w:val="auto"/>
                      <w:kern w:val="0"/>
                      <w:sz w:val="21"/>
                      <w:szCs w:val="21"/>
                      <w:highlight w:val="none"/>
                      <w:lang w:val="zh-CN"/>
                    </w:rPr>
                    <w:t>水泥熟料、平板玻璃项目</w:t>
                  </w:r>
                  <w:r>
                    <w:rPr>
                      <w:rFonts w:hint="eastAsia"/>
                      <w:color w:val="auto"/>
                      <w:kern w:val="0"/>
                      <w:sz w:val="21"/>
                      <w:szCs w:val="21"/>
                      <w:highlight w:val="none"/>
                      <w:lang w:val="zh-CN"/>
                    </w:rPr>
                    <w:t>。</w:t>
                  </w:r>
                </w:p>
              </w:tc>
              <w:tc>
                <w:tcPr>
                  <w:tcW w:w="778" w:type="dxa"/>
                  <w:tcBorders>
                    <w:tl2br w:val="nil"/>
                    <w:tr2bl w:val="nil"/>
                  </w:tcBorders>
                  <w:noWrap w:val="0"/>
                  <w:vAlign w:val="center"/>
                </w:tcPr>
                <w:p w14:paraId="5B499000">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3E630D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3" w:hRule="atLeast"/>
                <w:jc w:val="center"/>
              </w:trPr>
              <w:tc>
                <w:tcPr>
                  <w:tcW w:w="702" w:type="dxa"/>
                  <w:vMerge w:val="continue"/>
                  <w:tcBorders>
                    <w:tl2br w:val="nil"/>
                    <w:tr2bl w:val="nil"/>
                  </w:tcBorders>
                  <w:noWrap w:val="0"/>
                  <w:vAlign w:val="center"/>
                </w:tcPr>
                <w:p w14:paraId="07BFAD44">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6CA01982">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005BC690">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15、</w:t>
                  </w:r>
                  <w:r>
                    <w:rPr>
                      <w:rFonts w:hint="eastAsia"/>
                      <w:color w:val="auto"/>
                      <w:kern w:val="0"/>
                      <w:sz w:val="21"/>
                      <w:szCs w:val="21"/>
                      <w:highlight w:val="none"/>
                      <w:lang w:val="zh-CN"/>
                    </w:rPr>
                    <w:t>引导和支持优势水泥熟料企业开展对单独粉磨企业的整合</w:t>
                  </w:r>
                  <w:r>
                    <w:rPr>
                      <w:color w:val="auto"/>
                      <w:kern w:val="0"/>
                      <w:sz w:val="21"/>
                      <w:szCs w:val="21"/>
                      <w:highlight w:val="none"/>
                      <w:lang w:val="zh-CN"/>
                    </w:rPr>
                    <w:t>。</w:t>
                  </w:r>
                </w:p>
              </w:tc>
              <w:tc>
                <w:tcPr>
                  <w:tcW w:w="2667" w:type="dxa"/>
                  <w:tcBorders>
                    <w:tl2br w:val="nil"/>
                    <w:tr2bl w:val="nil"/>
                  </w:tcBorders>
                  <w:noWrap w:val="0"/>
                  <w:vAlign w:val="center"/>
                </w:tcPr>
                <w:p w14:paraId="76F85D3B">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color w:val="auto"/>
                      <w:kern w:val="0"/>
                      <w:sz w:val="21"/>
                      <w:szCs w:val="21"/>
                      <w:highlight w:val="none"/>
                      <w:lang w:val="zh-CN"/>
                    </w:rPr>
                    <w:t>单独粉磨企业</w:t>
                  </w:r>
                  <w:r>
                    <w:rPr>
                      <w:rFonts w:hint="eastAsia"/>
                      <w:color w:val="auto"/>
                      <w:kern w:val="0"/>
                      <w:sz w:val="21"/>
                      <w:szCs w:val="21"/>
                      <w:highlight w:val="none"/>
                      <w:lang w:val="zh-CN"/>
                    </w:rPr>
                    <w:t>。</w:t>
                  </w:r>
                </w:p>
              </w:tc>
              <w:tc>
                <w:tcPr>
                  <w:tcW w:w="778" w:type="dxa"/>
                  <w:tcBorders>
                    <w:tl2br w:val="nil"/>
                    <w:tr2bl w:val="nil"/>
                  </w:tcBorders>
                  <w:noWrap w:val="0"/>
                  <w:vAlign w:val="center"/>
                </w:tcPr>
                <w:p w14:paraId="5907F370">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7EF28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9" w:hRule="atLeast"/>
                <w:jc w:val="center"/>
              </w:trPr>
              <w:tc>
                <w:tcPr>
                  <w:tcW w:w="702" w:type="dxa"/>
                  <w:vMerge w:val="continue"/>
                  <w:tcBorders>
                    <w:tl2br w:val="nil"/>
                    <w:tr2bl w:val="nil"/>
                  </w:tcBorders>
                  <w:noWrap w:val="0"/>
                  <w:vAlign w:val="center"/>
                </w:tcPr>
                <w:p w14:paraId="0D3A820A">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423725A4">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4FED67BA">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16、</w:t>
                  </w:r>
                  <w:r>
                    <w:rPr>
                      <w:rFonts w:hint="eastAsia"/>
                      <w:color w:val="auto"/>
                      <w:kern w:val="0"/>
                      <w:sz w:val="21"/>
                      <w:szCs w:val="21"/>
                      <w:highlight w:val="none"/>
                      <w:lang w:val="zh-CN"/>
                    </w:rPr>
                    <w:t>平板玻璃行业生产布局应满足《平板玻璃行业规范条件》要求</w:t>
                  </w:r>
                  <w:r>
                    <w:rPr>
                      <w:color w:val="auto"/>
                      <w:kern w:val="0"/>
                      <w:sz w:val="21"/>
                      <w:szCs w:val="21"/>
                      <w:highlight w:val="none"/>
                      <w:lang w:val="zh-CN"/>
                    </w:rPr>
                    <w:t>。</w:t>
                  </w:r>
                </w:p>
              </w:tc>
              <w:tc>
                <w:tcPr>
                  <w:tcW w:w="2667" w:type="dxa"/>
                  <w:tcBorders>
                    <w:tl2br w:val="nil"/>
                    <w:tr2bl w:val="nil"/>
                  </w:tcBorders>
                  <w:noWrap w:val="0"/>
                  <w:vAlign w:val="center"/>
                </w:tcPr>
                <w:p w14:paraId="7E30F5B1">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w:t>
                  </w:r>
                  <w:r>
                    <w:rPr>
                      <w:color w:val="auto"/>
                      <w:kern w:val="0"/>
                      <w:sz w:val="21"/>
                      <w:szCs w:val="21"/>
                      <w:highlight w:val="none"/>
                      <w:lang w:val="zh-CN"/>
                    </w:rPr>
                    <w:t>平板玻璃项目</w:t>
                  </w:r>
                  <w:r>
                    <w:rPr>
                      <w:rFonts w:hint="eastAsia"/>
                      <w:color w:val="auto"/>
                      <w:kern w:val="0"/>
                      <w:sz w:val="21"/>
                      <w:szCs w:val="21"/>
                      <w:highlight w:val="none"/>
                      <w:lang w:val="zh-CN"/>
                    </w:rPr>
                    <w:t>。</w:t>
                  </w:r>
                </w:p>
              </w:tc>
              <w:tc>
                <w:tcPr>
                  <w:tcW w:w="778" w:type="dxa"/>
                  <w:tcBorders>
                    <w:tl2br w:val="nil"/>
                    <w:tr2bl w:val="nil"/>
                  </w:tcBorders>
                  <w:noWrap w:val="0"/>
                  <w:vAlign w:val="center"/>
                </w:tcPr>
                <w:p w14:paraId="48A28C46">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41685F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523" w:hRule="atLeast"/>
                <w:jc w:val="center"/>
              </w:trPr>
              <w:tc>
                <w:tcPr>
                  <w:tcW w:w="702" w:type="dxa"/>
                  <w:vMerge w:val="continue"/>
                  <w:tcBorders>
                    <w:tl2br w:val="nil"/>
                    <w:tr2bl w:val="nil"/>
                  </w:tcBorders>
                  <w:noWrap w:val="0"/>
                  <w:vAlign w:val="center"/>
                </w:tcPr>
                <w:p w14:paraId="3F8472F6">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5D4DA691">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3076D38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17、</w:t>
                  </w:r>
                  <w:r>
                    <w:rPr>
                      <w:rFonts w:hint="eastAsia"/>
                      <w:color w:val="auto"/>
                      <w:kern w:val="0"/>
                      <w:sz w:val="21"/>
                      <w:szCs w:val="21"/>
                      <w:highlight w:val="none"/>
                      <w:lang w:val="zh-CN"/>
                    </w:rPr>
                    <w:t>严格控制矿产资源开采总量，重点压减与煤炭、水泥、玻璃等过剩产能行业配套的矿产资源开采总量。停止新批石膏矿项目、平原区煤炭开发项目。暂停新增生产能力的产能过剩矿产开发项目审批，已有矿山暂停扩大矿区范围审批。暂停新上露天矿产开发项目审批，已有露天矿山暂停扩大矿区范围审批。暂停新上达不到工业品位的铁矿开发项目审批。做好矿区开发生态环境影响评估论证，论证不通过，一律禁止开发</w:t>
                  </w:r>
                  <w:r>
                    <w:rPr>
                      <w:color w:val="auto"/>
                      <w:kern w:val="0"/>
                      <w:sz w:val="21"/>
                      <w:szCs w:val="21"/>
                      <w:highlight w:val="none"/>
                      <w:lang w:val="zh-CN"/>
                    </w:rPr>
                    <w:t>。</w:t>
                  </w:r>
                </w:p>
              </w:tc>
              <w:tc>
                <w:tcPr>
                  <w:tcW w:w="2667" w:type="dxa"/>
                  <w:tcBorders>
                    <w:tl2br w:val="nil"/>
                    <w:tr2bl w:val="nil"/>
                  </w:tcBorders>
                  <w:noWrap w:val="0"/>
                  <w:vAlign w:val="center"/>
                </w:tcPr>
                <w:p w14:paraId="22B98096">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本项目不属于上述项目。</w:t>
                  </w:r>
                </w:p>
              </w:tc>
              <w:tc>
                <w:tcPr>
                  <w:tcW w:w="778" w:type="dxa"/>
                  <w:tcBorders>
                    <w:tl2br w:val="nil"/>
                    <w:tr2bl w:val="nil"/>
                  </w:tcBorders>
                  <w:noWrap w:val="0"/>
                  <w:vAlign w:val="center"/>
                </w:tcPr>
                <w:p w14:paraId="23F93A3F">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r w14:paraId="0AFCD5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702" w:type="dxa"/>
                  <w:vMerge w:val="continue"/>
                  <w:tcBorders>
                    <w:tl2br w:val="nil"/>
                    <w:tr2bl w:val="nil"/>
                  </w:tcBorders>
                  <w:noWrap w:val="0"/>
                  <w:vAlign w:val="center"/>
                </w:tcPr>
                <w:p w14:paraId="05B4728F">
                  <w:pPr>
                    <w:spacing w:line="280" w:lineRule="exact"/>
                    <w:ind w:firstLine="0" w:firstLineChars="0"/>
                    <w:jc w:val="center"/>
                    <w:rPr>
                      <w:color w:val="auto"/>
                      <w:kern w:val="0"/>
                      <w:sz w:val="21"/>
                      <w:szCs w:val="21"/>
                      <w:highlight w:val="none"/>
                      <w:lang w:val="zh-CN"/>
                    </w:rPr>
                  </w:pPr>
                </w:p>
              </w:tc>
              <w:tc>
                <w:tcPr>
                  <w:tcW w:w="780" w:type="dxa"/>
                  <w:vMerge w:val="continue"/>
                  <w:tcBorders>
                    <w:tl2br w:val="nil"/>
                    <w:tr2bl w:val="nil"/>
                  </w:tcBorders>
                  <w:noWrap w:val="0"/>
                  <w:vAlign w:val="center"/>
                </w:tcPr>
                <w:p w14:paraId="700F834A">
                  <w:pPr>
                    <w:spacing w:line="280" w:lineRule="exact"/>
                    <w:ind w:firstLine="0" w:firstLineChars="0"/>
                    <w:jc w:val="center"/>
                    <w:rPr>
                      <w:color w:val="auto"/>
                      <w:kern w:val="0"/>
                      <w:sz w:val="21"/>
                      <w:szCs w:val="21"/>
                      <w:highlight w:val="none"/>
                      <w:lang w:val="zh-CN"/>
                    </w:rPr>
                  </w:pPr>
                </w:p>
              </w:tc>
              <w:tc>
                <w:tcPr>
                  <w:tcW w:w="8226" w:type="dxa"/>
                  <w:tcBorders>
                    <w:tl2br w:val="nil"/>
                    <w:tr2bl w:val="nil"/>
                  </w:tcBorders>
                  <w:noWrap w:val="0"/>
                  <w:vAlign w:val="center"/>
                </w:tcPr>
                <w:p w14:paraId="5CC59716">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color w:val="auto"/>
                      <w:kern w:val="0"/>
                      <w:sz w:val="21"/>
                      <w:szCs w:val="21"/>
                      <w:highlight w:val="none"/>
                      <w:lang w:val="zh-CN"/>
                    </w:rPr>
                  </w:pPr>
                  <w:r>
                    <w:rPr>
                      <w:color w:val="auto"/>
                      <w:kern w:val="0"/>
                      <w:sz w:val="21"/>
                      <w:szCs w:val="21"/>
                      <w:highlight w:val="none"/>
                      <w:lang w:val="zh-CN"/>
                    </w:rPr>
                    <w:t>18、</w:t>
                  </w:r>
                  <w:r>
                    <w:rPr>
                      <w:rFonts w:hint="eastAsia"/>
                      <w:color w:val="auto"/>
                      <w:kern w:val="0"/>
                      <w:sz w:val="21"/>
                      <w:szCs w:val="21"/>
                      <w:highlight w:val="none"/>
                      <w:lang w:val="zh-CN"/>
                    </w:rPr>
                    <w:t>实施矿山关闭和停批。依法关闭严重破坏生态环境和严重浪费水资源的矿山；依法关闭列入煤炭去产能计划的煤矿；依法关闭限期整改仍达不到生态环境保护要求和环保、安全标准的矿山；依法关闭现有石膏矿和严重污染环境的石灰窑、小建材加工点</w:t>
                  </w:r>
                  <w:r>
                    <w:rPr>
                      <w:color w:val="auto"/>
                      <w:kern w:val="0"/>
                      <w:sz w:val="21"/>
                      <w:szCs w:val="21"/>
                      <w:highlight w:val="none"/>
                      <w:lang w:val="zh-CN"/>
                    </w:rPr>
                    <w:t>。</w:t>
                  </w:r>
                </w:p>
              </w:tc>
              <w:tc>
                <w:tcPr>
                  <w:tcW w:w="2667" w:type="dxa"/>
                  <w:tcBorders>
                    <w:tl2br w:val="nil"/>
                    <w:tr2bl w:val="nil"/>
                  </w:tcBorders>
                  <w:noWrap w:val="0"/>
                  <w:vAlign w:val="center"/>
                </w:tcPr>
                <w:p w14:paraId="1E8DC75F">
                  <w:pPr>
                    <w:spacing w:line="280" w:lineRule="exact"/>
                    <w:ind w:firstLine="0" w:firstLineChars="0"/>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本项目不属于上述项目。</w:t>
                  </w:r>
                </w:p>
              </w:tc>
              <w:tc>
                <w:tcPr>
                  <w:tcW w:w="778" w:type="dxa"/>
                  <w:tcBorders>
                    <w:tl2br w:val="nil"/>
                    <w:tr2bl w:val="nil"/>
                  </w:tcBorders>
                  <w:noWrap w:val="0"/>
                  <w:vAlign w:val="center"/>
                </w:tcPr>
                <w:p w14:paraId="318DD5FA">
                  <w:pPr>
                    <w:spacing w:line="280" w:lineRule="exact"/>
                    <w:ind w:firstLine="0" w:firstLineChars="0"/>
                    <w:jc w:val="center"/>
                    <w:rPr>
                      <w:color w:val="auto"/>
                      <w:kern w:val="0"/>
                      <w:sz w:val="21"/>
                      <w:szCs w:val="21"/>
                      <w:highlight w:val="none"/>
                      <w:lang w:val="zh-CN"/>
                    </w:rPr>
                  </w:pPr>
                  <w:r>
                    <w:rPr>
                      <w:rFonts w:hint="eastAsia"/>
                      <w:color w:val="auto"/>
                      <w:kern w:val="0"/>
                      <w:sz w:val="21"/>
                      <w:szCs w:val="21"/>
                      <w:highlight w:val="none"/>
                    </w:rPr>
                    <w:t>符合</w:t>
                  </w:r>
                </w:p>
              </w:tc>
            </w:tr>
          </w:tbl>
          <w:p w14:paraId="7A0AF861">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78542485">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1D7D135E">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0B3D7E47">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556E9F74">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61137EF4">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2BD0FC05">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75C4A3FD">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7E9A6A68">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line="480" w:lineRule="exact"/>
              <w:ind w:leftChars="0" w:right="0" w:rightChars="0"/>
              <w:jc w:val="center"/>
              <w:textAlignment w:val="auto"/>
              <w:outlineLvl w:val="9"/>
              <w:rPr>
                <w:rFonts w:hint="eastAsia" w:ascii="Times New Roman" w:hAnsi="Times New Roman" w:eastAsia="宋体" w:cs="Times New Roman"/>
                <w:b/>
                <w:bCs/>
                <w:color w:val="auto"/>
                <w:sz w:val="21"/>
                <w:szCs w:val="21"/>
                <w:highlight w:val="none"/>
                <w:lang w:val="en-US" w:eastAsia="zh-CN"/>
              </w:rPr>
            </w:pPr>
          </w:p>
          <w:p w14:paraId="5FCFAC6D">
            <w:pPr>
              <w:keepNext w:val="0"/>
              <w:keepLines w:val="0"/>
              <w:pageBreakBefore w:val="0"/>
              <w:widowControl w:val="0"/>
              <w:numPr>
                <w:ilvl w:val="0"/>
                <w:numId w:val="3"/>
              </w:numPr>
              <w:kinsoku/>
              <w:wordWrap/>
              <w:overflowPunct/>
              <w:topLinePunct w:val="0"/>
              <w:autoSpaceDE/>
              <w:autoSpaceDN/>
              <w:bidi w:val="0"/>
              <w:adjustRightInd/>
              <w:snapToGrid w:val="0"/>
              <w:spacing w:line="480" w:lineRule="exact"/>
              <w:ind w:left="0" w:leftChars="0" w:right="0" w:rightChars="0" w:firstLine="0" w:firstLineChars="0"/>
              <w:jc w:val="center"/>
              <w:textAlignment w:val="auto"/>
              <w:outlineLvl w:val="9"/>
              <w:rPr>
                <w:rFonts w:hint="eastAsia"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与</w:t>
            </w:r>
            <w:r>
              <w:rPr>
                <w:rFonts w:hint="default" w:ascii="Times New Roman" w:hAnsi="Times New Roman" w:cs="Times New Roman"/>
                <w:b/>
                <w:bCs/>
                <w:color w:val="auto"/>
                <w:sz w:val="21"/>
                <w:szCs w:val="21"/>
                <w:highlight w:val="none"/>
                <w:lang w:val="en-US" w:eastAsia="zh-CN"/>
              </w:rPr>
              <w:t>唐山市陆域环境管控单元准入清单</w:t>
            </w:r>
            <w:r>
              <w:rPr>
                <w:rFonts w:hint="eastAsia" w:cs="Times New Roman"/>
                <w:b/>
                <w:bCs/>
                <w:color w:val="auto"/>
                <w:sz w:val="21"/>
                <w:szCs w:val="21"/>
                <w:highlight w:val="none"/>
                <w:lang w:val="en-US" w:eastAsia="zh-CN"/>
              </w:rPr>
              <w:t>符合</w:t>
            </w:r>
            <w:r>
              <w:rPr>
                <w:rFonts w:hint="default" w:ascii="Times New Roman" w:hAnsi="Times New Roman" w:cs="Times New Roman"/>
                <w:b/>
                <w:bCs/>
                <w:color w:val="auto"/>
                <w:sz w:val="21"/>
                <w:szCs w:val="21"/>
                <w:highlight w:val="none"/>
              </w:rPr>
              <w:t>性分析</w:t>
            </w:r>
            <w:r>
              <w:rPr>
                <w:rFonts w:hint="eastAsia" w:cs="Times New Roman"/>
                <w:b/>
                <w:bCs/>
                <w:color w:val="auto"/>
                <w:sz w:val="21"/>
                <w:szCs w:val="21"/>
                <w:highlight w:val="none"/>
                <w:lang w:val="en-US" w:eastAsia="zh-CN"/>
              </w:rPr>
              <w:t>一览表</w:t>
            </w:r>
          </w:p>
          <w:tbl>
            <w:tblPr>
              <w:tblStyle w:val="29"/>
              <w:tblW w:w="1320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669"/>
              <w:gridCol w:w="752"/>
              <w:gridCol w:w="1444"/>
              <w:gridCol w:w="870"/>
              <w:gridCol w:w="795"/>
              <w:gridCol w:w="825"/>
              <w:gridCol w:w="4200"/>
              <w:gridCol w:w="2880"/>
              <w:gridCol w:w="774"/>
            </w:tblGrid>
            <w:tr w14:paraId="152FBD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38" w:hRule="atLeast"/>
                <w:jc w:val="center"/>
              </w:trPr>
              <w:tc>
                <w:tcPr>
                  <w:tcW w:w="669" w:type="dxa"/>
                  <w:tcBorders>
                    <w:tl2br w:val="nil"/>
                    <w:tr2bl w:val="nil"/>
                  </w:tcBorders>
                  <w:noWrap w:val="0"/>
                  <w:vAlign w:val="center"/>
                </w:tcPr>
                <w:p w14:paraId="2430199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编号</w:t>
                  </w:r>
                </w:p>
              </w:tc>
              <w:tc>
                <w:tcPr>
                  <w:tcW w:w="752" w:type="dxa"/>
                  <w:tcBorders>
                    <w:tl2br w:val="nil"/>
                    <w:tr2bl w:val="nil"/>
                  </w:tcBorders>
                  <w:noWrap w:val="0"/>
                  <w:vAlign w:val="center"/>
                </w:tcPr>
                <w:p w14:paraId="33789861">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区县</w:t>
                  </w:r>
                </w:p>
              </w:tc>
              <w:tc>
                <w:tcPr>
                  <w:tcW w:w="1444" w:type="dxa"/>
                  <w:tcBorders>
                    <w:tl2br w:val="nil"/>
                    <w:tr2bl w:val="nil"/>
                  </w:tcBorders>
                  <w:noWrap w:val="0"/>
                  <w:vAlign w:val="center"/>
                </w:tcPr>
                <w:p w14:paraId="75F71510">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乡镇</w:t>
                  </w:r>
                </w:p>
              </w:tc>
              <w:tc>
                <w:tcPr>
                  <w:tcW w:w="870" w:type="dxa"/>
                  <w:tcBorders>
                    <w:tl2br w:val="nil"/>
                    <w:tr2bl w:val="nil"/>
                  </w:tcBorders>
                  <w:noWrap w:val="0"/>
                  <w:vAlign w:val="center"/>
                </w:tcPr>
                <w:p w14:paraId="3D3DE6FB">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单元类别</w:t>
                  </w:r>
                </w:p>
              </w:tc>
              <w:tc>
                <w:tcPr>
                  <w:tcW w:w="795" w:type="dxa"/>
                  <w:tcBorders>
                    <w:tl2br w:val="nil"/>
                    <w:tr2bl w:val="nil"/>
                  </w:tcBorders>
                  <w:noWrap w:val="0"/>
                  <w:vAlign w:val="center"/>
                </w:tcPr>
                <w:p w14:paraId="2DD4BF5F">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环境要素类别</w:t>
                  </w:r>
                </w:p>
              </w:tc>
              <w:tc>
                <w:tcPr>
                  <w:tcW w:w="825" w:type="dxa"/>
                  <w:tcBorders>
                    <w:tl2br w:val="nil"/>
                    <w:tr2bl w:val="nil"/>
                  </w:tcBorders>
                  <w:noWrap w:val="0"/>
                  <w:vAlign w:val="center"/>
                </w:tcPr>
                <w:p w14:paraId="14EF4DA1">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维度</w:t>
                  </w:r>
                </w:p>
              </w:tc>
              <w:tc>
                <w:tcPr>
                  <w:tcW w:w="4200" w:type="dxa"/>
                  <w:tcBorders>
                    <w:tl2br w:val="nil"/>
                    <w:tr2bl w:val="nil"/>
                  </w:tcBorders>
                  <w:noWrap w:val="0"/>
                  <w:vAlign w:val="center"/>
                </w:tcPr>
                <w:p w14:paraId="1D25D50F">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管控措施</w:t>
                  </w:r>
                </w:p>
              </w:tc>
              <w:tc>
                <w:tcPr>
                  <w:tcW w:w="2880" w:type="dxa"/>
                  <w:tcBorders>
                    <w:tl2br w:val="nil"/>
                    <w:tr2bl w:val="nil"/>
                  </w:tcBorders>
                  <w:noWrap w:val="0"/>
                  <w:vAlign w:val="center"/>
                </w:tcPr>
                <w:p w14:paraId="269E016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lang w:eastAsia="zh-CN"/>
                    </w:rPr>
                    <w:t>项目情况</w:t>
                  </w:r>
                </w:p>
              </w:tc>
              <w:tc>
                <w:tcPr>
                  <w:tcW w:w="774" w:type="dxa"/>
                  <w:tcBorders>
                    <w:tl2br w:val="nil"/>
                    <w:tr2bl w:val="nil"/>
                  </w:tcBorders>
                  <w:noWrap w:val="0"/>
                  <w:vAlign w:val="center"/>
                </w:tcPr>
                <w:p w14:paraId="06E6BFA1">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eastAsia" w:ascii="Times New Roman" w:hAnsi="Times New Roman" w:eastAsia="宋体" w:cs="Times New Roman"/>
                      <w:color w:val="auto"/>
                      <w:spacing w:val="0"/>
                      <w:kern w:val="0"/>
                      <w:sz w:val="21"/>
                      <w:szCs w:val="21"/>
                      <w:highlight w:val="none"/>
                      <w:lang w:val="en-US" w:eastAsia="zh-CN"/>
                    </w:rPr>
                    <w:t>本项目</w:t>
                  </w:r>
                  <w:r>
                    <w:rPr>
                      <w:rFonts w:hint="default" w:ascii="Times New Roman" w:hAnsi="Times New Roman" w:eastAsia="宋体" w:cs="Times New Roman"/>
                      <w:color w:val="auto"/>
                      <w:spacing w:val="0"/>
                      <w:kern w:val="0"/>
                      <w:sz w:val="21"/>
                      <w:szCs w:val="21"/>
                      <w:highlight w:val="none"/>
                      <w:lang w:eastAsia="zh-CN"/>
                    </w:rPr>
                    <w:t>符合性</w:t>
                  </w:r>
                </w:p>
              </w:tc>
            </w:tr>
            <w:tr w14:paraId="12F005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314" w:hRule="atLeast"/>
                <w:jc w:val="center"/>
              </w:trPr>
              <w:tc>
                <w:tcPr>
                  <w:tcW w:w="669" w:type="dxa"/>
                  <w:vMerge w:val="restart"/>
                  <w:tcBorders>
                    <w:tl2br w:val="nil"/>
                    <w:tr2bl w:val="nil"/>
                  </w:tcBorders>
                  <w:noWrap w:val="0"/>
                  <w:vAlign w:val="center"/>
                </w:tcPr>
                <w:p w14:paraId="60A34575">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ascii="Times New Roman" w:hAnsi="Times New Roman" w:eastAsia="宋体" w:cs="Times New Roman"/>
                      <w:color w:val="auto"/>
                      <w:spacing w:val="0"/>
                      <w:kern w:val="0"/>
                      <w:sz w:val="21"/>
                      <w:szCs w:val="21"/>
                      <w:highlight w:val="none"/>
                      <w:lang w:val="en-US" w:eastAsia="zh-CN"/>
                    </w:rPr>
                    <w:t>ZH130</w:t>
                  </w:r>
                  <w:r>
                    <w:rPr>
                      <w:rFonts w:hint="eastAsia" w:cs="Times New Roman"/>
                      <w:color w:val="auto"/>
                      <w:spacing w:val="0"/>
                      <w:kern w:val="0"/>
                      <w:sz w:val="21"/>
                      <w:szCs w:val="21"/>
                      <w:highlight w:val="none"/>
                      <w:lang w:val="en-US" w:eastAsia="zh-CN"/>
                    </w:rPr>
                    <w:t>28330001</w:t>
                  </w:r>
                </w:p>
              </w:tc>
              <w:tc>
                <w:tcPr>
                  <w:tcW w:w="752" w:type="dxa"/>
                  <w:vMerge w:val="restart"/>
                  <w:tcBorders>
                    <w:tl2br w:val="nil"/>
                    <w:tr2bl w:val="nil"/>
                  </w:tcBorders>
                  <w:noWrap w:val="0"/>
                  <w:vAlign w:val="center"/>
                </w:tcPr>
                <w:p w14:paraId="770BDBB2">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eastAsia" w:cs="Times New Roman"/>
                      <w:color w:val="auto"/>
                      <w:spacing w:val="0"/>
                      <w:kern w:val="0"/>
                      <w:sz w:val="21"/>
                      <w:szCs w:val="21"/>
                      <w:highlight w:val="none"/>
                      <w:lang w:val="en-US" w:eastAsia="zh-CN"/>
                    </w:rPr>
                    <w:t>迁安市</w:t>
                  </w:r>
                </w:p>
              </w:tc>
              <w:tc>
                <w:tcPr>
                  <w:tcW w:w="1444" w:type="dxa"/>
                  <w:vMerge w:val="restart"/>
                  <w:tcBorders>
                    <w:tl2br w:val="nil"/>
                    <w:tr2bl w:val="nil"/>
                  </w:tcBorders>
                  <w:noWrap w:val="0"/>
                  <w:vAlign w:val="center"/>
                </w:tcPr>
                <w:p w14:paraId="269634EC">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滨河街道、蔡园镇、大崔庄镇、大五里镇、建昌营镇、扣庄镇、马兰庄镇、木厂口镇、彭店子镇、沙河驿镇、上射雁庄镇、太平庄镇、五重安镇、夏官营镇、兴安街道、阎家店镇、杨店子街道、杨各庄镇、野鸡坨镇、永顺街道、赵店子镇</w:t>
                  </w:r>
                </w:p>
              </w:tc>
              <w:tc>
                <w:tcPr>
                  <w:tcW w:w="870" w:type="dxa"/>
                  <w:vMerge w:val="restart"/>
                  <w:tcBorders>
                    <w:tl2br w:val="nil"/>
                    <w:tr2bl w:val="nil"/>
                  </w:tcBorders>
                  <w:noWrap w:val="0"/>
                  <w:vAlign w:val="center"/>
                </w:tcPr>
                <w:p w14:paraId="026B51A4">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一般</w:t>
                  </w:r>
                  <w:r>
                    <w:rPr>
                      <w:rFonts w:hint="eastAsia" w:ascii="Times New Roman" w:hAnsi="Times New Roman" w:eastAsia="宋体" w:cs="Times New Roman"/>
                      <w:color w:val="auto"/>
                      <w:spacing w:val="0"/>
                      <w:kern w:val="0"/>
                      <w:sz w:val="21"/>
                      <w:szCs w:val="21"/>
                      <w:highlight w:val="none"/>
                      <w:lang w:val="en-US" w:eastAsia="zh-CN"/>
                    </w:rPr>
                    <w:t>管控单元</w:t>
                  </w:r>
                </w:p>
              </w:tc>
              <w:tc>
                <w:tcPr>
                  <w:tcW w:w="795" w:type="dxa"/>
                  <w:vMerge w:val="restart"/>
                  <w:tcBorders>
                    <w:tl2br w:val="nil"/>
                    <w:tr2bl w:val="nil"/>
                  </w:tcBorders>
                  <w:noWrap w:val="0"/>
                  <w:vAlign w:val="center"/>
                </w:tcPr>
                <w:p w14:paraId="61A01EC8">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pacing w:val="0"/>
                      <w:kern w:val="0"/>
                      <w:sz w:val="21"/>
                      <w:szCs w:val="21"/>
                      <w:highlight w:val="none"/>
                    </w:rPr>
                  </w:pPr>
                  <w:r>
                    <w:rPr>
                      <w:rFonts w:hint="eastAsia" w:cs="Times New Roman"/>
                      <w:color w:val="auto"/>
                      <w:spacing w:val="0"/>
                      <w:kern w:val="0"/>
                      <w:sz w:val="21"/>
                      <w:szCs w:val="21"/>
                      <w:highlight w:val="none"/>
                      <w:lang w:val="en-US" w:eastAsia="zh-CN"/>
                    </w:rPr>
                    <w:t>/</w:t>
                  </w:r>
                </w:p>
              </w:tc>
              <w:tc>
                <w:tcPr>
                  <w:tcW w:w="825" w:type="dxa"/>
                  <w:tcBorders>
                    <w:tl2br w:val="nil"/>
                    <w:tr2bl w:val="nil"/>
                  </w:tcBorders>
                  <w:noWrap w:val="0"/>
                  <w:vAlign w:val="center"/>
                </w:tcPr>
                <w:p w14:paraId="78957A08">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空间布局约束</w:t>
                  </w:r>
                </w:p>
              </w:tc>
              <w:tc>
                <w:tcPr>
                  <w:tcW w:w="4200" w:type="dxa"/>
                  <w:tcBorders>
                    <w:tl2br w:val="nil"/>
                    <w:tr2bl w:val="nil"/>
                  </w:tcBorders>
                  <w:noWrap w:val="0"/>
                  <w:vAlign w:val="center"/>
                </w:tcPr>
                <w:p w14:paraId="624BD006">
                  <w:pPr>
                    <w:keepNext w:val="0"/>
                    <w:keepLines w:val="0"/>
                    <w:pageBreakBefore w:val="0"/>
                    <w:widowControl/>
                    <w:suppressLineNumbers w:val="0"/>
                    <w:kinsoku/>
                    <w:wordWrap/>
                    <w:overflowPunct/>
                    <w:topLinePunct w:val="0"/>
                    <w:autoSpaceDE/>
                    <w:autoSpaceDN/>
                    <w:bidi w:val="0"/>
                    <w:adjustRightInd/>
                    <w:snapToGrid/>
                    <w:spacing w:line="280" w:lineRule="exact"/>
                    <w:ind w:firstLine="420" w:firstLineChars="200"/>
                    <w:jc w:val="both"/>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1、新建企业原则上均应建在工业集聚区，对认定为化工重点监控点的企业控股并与重点监控点生产场地连接成片的独立法人企业除外。</w:t>
                  </w:r>
                </w:p>
                <w:p w14:paraId="4B1D08C8">
                  <w:pPr>
                    <w:keepNext w:val="0"/>
                    <w:keepLines w:val="0"/>
                    <w:pageBreakBefore w:val="0"/>
                    <w:widowControl/>
                    <w:suppressLineNumbers w:val="0"/>
                    <w:kinsoku/>
                    <w:wordWrap/>
                    <w:overflowPunct/>
                    <w:topLinePunct w:val="0"/>
                    <w:autoSpaceDE/>
                    <w:autoSpaceDN/>
                    <w:bidi w:val="0"/>
                    <w:adjustRightInd/>
                    <w:snapToGrid/>
                    <w:spacing w:line="280" w:lineRule="exact"/>
                    <w:ind w:firstLine="420" w:firstLineChars="200"/>
                    <w:jc w:val="both"/>
                    <w:textAlignment w:val="auto"/>
                    <w:rPr>
                      <w:rFonts w:hint="default" w:ascii="Times New Roman" w:hAnsi="Times New Roman" w:eastAsia="宋体" w:cs="Times New Roman"/>
                      <w:color w:val="auto"/>
                      <w:spacing w:val="0"/>
                      <w:kern w:val="0"/>
                      <w:sz w:val="21"/>
                      <w:szCs w:val="21"/>
                      <w:highlight w:val="none"/>
                      <w:lang w:val="zh-CN"/>
                    </w:rPr>
                  </w:pPr>
                  <w:r>
                    <w:rPr>
                      <w:rFonts w:hint="default" w:ascii="Times New Roman" w:hAnsi="Times New Roman" w:eastAsia="宋体" w:cs="Times New Roman"/>
                      <w:color w:val="auto"/>
                      <w:spacing w:val="0"/>
                      <w:kern w:val="0"/>
                      <w:sz w:val="21"/>
                      <w:szCs w:val="21"/>
                      <w:highlight w:val="none"/>
                    </w:rPr>
                    <w:t>2、新建或改扩建以外购钢坯生产螺纹钢（钢筋）和线材的独立热轧生产线，不予办理项目备案手续（经认定的特钢生产线除外）。</w:t>
                  </w:r>
                </w:p>
              </w:tc>
              <w:tc>
                <w:tcPr>
                  <w:tcW w:w="2880" w:type="dxa"/>
                  <w:tcBorders>
                    <w:tl2br w:val="nil"/>
                    <w:tr2bl w:val="nil"/>
                  </w:tcBorders>
                  <w:noWrap w:val="0"/>
                  <w:vAlign w:val="center"/>
                </w:tcPr>
                <w:p w14:paraId="069990ED">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eastAsia"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1、本项目主要利用现有废弃低洼坑塘堆填建筑垃圾，封场覆盖经有关部门鉴定满足相关要求后用于农业开发（养殖、种植、苗圃、园艺等）。</w:t>
                  </w:r>
                </w:p>
                <w:p w14:paraId="331C008B">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textAlignment w:val="auto"/>
                    <w:outlineLvl w:val="9"/>
                    <w:rPr>
                      <w:rFonts w:hint="default"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2、本项目不属于</w:t>
                  </w:r>
                  <w:r>
                    <w:rPr>
                      <w:rFonts w:hint="default" w:ascii="Times New Roman" w:hAnsi="Times New Roman" w:eastAsia="宋体" w:cs="Times New Roman"/>
                      <w:color w:val="auto"/>
                      <w:spacing w:val="0"/>
                      <w:kern w:val="0"/>
                      <w:sz w:val="21"/>
                      <w:szCs w:val="21"/>
                      <w:highlight w:val="none"/>
                    </w:rPr>
                    <w:t>以外购钢坯生产螺纹钢（钢筋）和线材的独立热轧生产线</w:t>
                  </w:r>
                  <w:r>
                    <w:rPr>
                      <w:rFonts w:hint="eastAsia" w:cs="Times New Roman"/>
                      <w:color w:val="auto"/>
                      <w:spacing w:val="0"/>
                      <w:kern w:val="0"/>
                      <w:sz w:val="21"/>
                      <w:szCs w:val="21"/>
                      <w:highlight w:val="none"/>
                      <w:lang w:val="en-US" w:eastAsia="zh-CN"/>
                    </w:rPr>
                    <w:t>项目。</w:t>
                  </w:r>
                </w:p>
              </w:tc>
              <w:tc>
                <w:tcPr>
                  <w:tcW w:w="774" w:type="dxa"/>
                  <w:tcBorders>
                    <w:tl2br w:val="nil"/>
                    <w:tr2bl w:val="nil"/>
                  </w:tcBorders>
                  <w:noWrap w:val="0"/>
                  <w:vAlign w:val="center"/>
                </w:tcPr>
                <w:p w14:paraId="583CFBB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lang w:eastAsia="zh-CN"/>
                    </w:rPr>
                    <w:t>符合</w:t>
                  </w:r>
                </w:p>
              </w:tc>
            </w:tr>
            <w:tr w14:paraId="4EF98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669" w:type="dxa"/>
                  <w:vMerge w:val="continue"/>
                  <w:tcBorders>
                    <w:tl2br w:val="nil"/>
                    <w:tr2bl w:val="nil"/>
                  </w:tcBorders>
                  <w:noWrap w:val="0"/>
                  <w:vAlign w:val="center"/>
                </w:tcPr>
                <w:p w14:paraId="439775F9">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752" w:type="dxa"/>
                  <w:vMerge w:val="continue"/>
                  <w:tcBorders>
                    <w:tl2br w:val="nil"/>
                    <w:tr2bl w:val="nil"/>
                  </w:tcBorders>
                  <w:noWrap w:val="0"/>
                  <w:vAlign w:val="center"/>
                </w:tcPr>
                <w:p w14:paraId="7E634398">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1444" w:type="dxa"/>
                  <w:vMerge w:val="continue"/>
                  <w:tcBorders>
                    <w:tl2br w:val="nil"/>
                    <w:tr2bl w:val="nil"/>
                  </w:tcBorders>
                  <w:noWrap w:val="0"/>
                  <w:vAlign w:val="center"/>
                </w:tcPr>
                <w:p w14:paraId="60495BFA">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870" w:type="dxa"/>
                  <w:vMerge w:val="continue"/>
                  <w:tcBorders>
                    <w:tl2br w:val="nil"/>
                    <w:tr2bl w:val="nil"/>
                  </w:tcBorders>
                  <w:noWrap w:val="0"/>
                  <w:vAlign w:val="center"/>
                </w:tcPr>
                <w:p w14:paraId="757EB6EF">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p>
              </w:tc>
              <w:tc>
                <w:tcPr>
                  <w:tcW w:w="795" w:type="dxa"/>
                  <w:vMerge w:val="continue"/>
                  <w:tcBorders>
                    <w:tl2br w:val="nil"/>
                    <w:tr2bl w:val="nil"/>
                  </w:tcBorders>
                  <w:noWrap w:val="0"/>
                  <w:vAlign w:val="center"/>
                </w:tcPr>
                <w:p w14:paraId="2BE5553B">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p>
              </w:tc>
              <w:tc>
                <w:tcPr>
                  <w:tcW w:w="825" w:type="dxa"/>
                  <w:tcBorders>
                    <w:tl2br w:val="nil"/>
                    <w:tr2bl w:val="nil"/>
                  </w:tcBorders>
                  <w:noWrap w:val="0"/>
                  <w:vAlign w:val="center"/>
                </w:tcPr>
                <w:p w14:paraId="7B1B0FC6">
                  <w:pPr>
                    <w:keepNext w:val="0"/>
                    <w:keepLines w:val="0"/>
                    <w:pageBreakBefore w:val="0"/>
                    <w:widowControl w:val="0"/>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污染物排放管控</w:t>
                  </w:r>
                </w:p>
              </w:tc>
              <w:tc>
                <w:tcPr>
                  <w:tcW w:w="4200" w:type="dxa"/>
                  <w:tcBorders>
                    <w:tl2br w:val="nil"/>
                    <w:tr2bl w:val="nil"/>
                  </w:tcBorders>
                  <w:noWrap w:val="0"/>
                  <w:vAlign w:val="center"/>
                </w:tcPr>
                <w:p w14:paraId="0EAD62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1、加强橡胶等行业VOCs治理力度。重点提高涉VOCs排放主要工序密闭化水平，加强无组织排放收集，加大含VOCs物料储存和装卸治理力度。</w:t>
                  </w:r>
                </w:p>
                <w:p w14:paraId="589AE9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eastAsia="宋体" w:cs="Times New Roman"/>
                      <w:color w:val="auto"/>
                      <w:spacing w:val="0"/>
                      <w:kern w:val="0"/>
                      <w:sz w:val="21"/>
                      <w:szCs w:val="21"/>
                      <w:highlight w:val="none"/>
                      <w:lang w:val="en-US" w:eastAsia="zh-CN"/>
                    </w:rPr>
                  </w:pPr>
                  <w:r>
                    <w:rPr>
                      <w:rFonts w:hint="default" w:ascii="Times New Roman" w:hAnsi="Times New Roman" w:eastAsia="宋体" w:cs="Times New Roman"/>
                      <w:color w:val="auto"/>
                      <w:spacing w:val="0"/>
                      <w:kern w:val="0"/>
                      <w:sz w:val="21"/>
                      <w:szCs w:val="21"/>
                      <w:highlight w:val="none"/>
                    </w:rPr>
                    <w:t>2、加快推进钢铁、水泥重点行业污染深度治理，各工序</w:t>
                  </w:r>
                  <w:r>
                    <w:rPr>
                      <w:rFonts w:hint="eastAsia" w:cs="Times New Roman"/>
                      <w:color w:val="auto"/>
                      <w:spacing w:val="0"/>
                      <w:kern w:val="0"/>
                      <w:sz w:val="21"/>
                      <w:szCs w:val="21"/>
                      <w:highlight w:val="none"/>
                      <w:lang w:eastAsia="zh-CN"/>
                    </w:rPr>
                    <w:t>（</w:t>
                  </w:r>
                  <w:r>
                    <w:rPr>
                      <w:rFonts w:hint="default" w:ascii="Times New Roman" w:hAnsi="Times New Roman" w:eastAsia="宋体" w:cs="Times New Roman"/>
                      <w:color w:val="auto"/>
                      <w:spacing w:val="0"/>
                      <w:kern w:val="0"/>
                      <w:sz w:val="21"/>
                      <w:szCs w:val="21"/>
                      <w:highlight w:val="none"/>
                    </w:rPr>
                    <w:t>环节</w:t>
                  </w:r>
                  <w:r>
                    <w:rPr>
                      <w:rFonts w:hint="eastAsia" w:cs="Times New Roman"/>
                      <w:color w:val="auto"/>
                      <w:spacing w:val="0"/>
                      <w:kern w:val="0"/>
                      <w:sz w:val="21"/>
                      <w:szCs w:val="21"/>
                      <w:highlight w:val="none"/>
                      <w:lang w:eastAsia="zh-CN"/>
                    </w:rPr>
                    <w:t>）</w:t>
                  </w:r>
                  <w:r>
                    <w:rPr>
                      <w:rFonts w:hint="default" w:ascii="Times New Roman" w:hAnsi="Times New Roman" w:eastAsia="宋体" w:cs="Times New Roman"/>
                      <w:color w:val="auto"/>
                      <w:spacing w:val="0"/>
                      <w:kern w:val="0"/>
                      <w:sz w:val="21"/>
                      <w:szCs w:val="21"/>
                      <w:highlight w:val="none"/>
                    </w:rPr>
                    <w:t>排污点源全部完成治理设施升级改造，推进企业环境管理精细化，确保污染物稳定达标排放。</w:t>
                  </w:r>
                </w:p>
              </w:tc>
              <w:tc>
                <w:tcPr>
                  <w:tcW w:w="2880" w:type="dxa"/>
                  <w:tcBorders>
                    <w:tl2br w:val="nil"/>
                    <w:tr2bl w:val="nil"/>
                  </w:tcBorders>
                  <w:noWrap w:val="0"/>
                  <w:vAlign w:val="center"/>
                </w:tcPr>
                <w:p w14:paraId="475239C6">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1、本项目不涉及。</w:t>
                  </w:r>
                </w:p>
                <w:p w14:paraId="4513F068">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2、本项目不涉及。</w:t>
                  </w:r>
                </w:p>
              </w:tc>
              <w:tc>
                <w:tcPr>
                  <w:tcW w:w="774" w:type="dxa"/>
                  <w:tcBorders>
                    <w:tl2br w:val="nil"/>
                    <w:tr2bl w:val="nil"/>
                  </w:tcBorders>
                  <w:noWrap w:val="0"/>
                  <w:vAlign w:val="center"/>
                </w:tcPr>
                <w:p w14:paraId="27BF51F7">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spacing w:val="0"/>
                      <w:kern w:val="0"/>
                      <w:sz w:val="21"/>
                      <w:szCs w:val="21"/>
                      <w:highlight w:val="none"/>
                      <w:lang w:val="en-US" w:eastAsia="zh-CN"/>
                    </w:rPr>
                    <w:t>符合</w:t>
                  </w:r>
                </w:p>
              </w:tc>
            </w:tr>
            <w:tr w14:paraId="4DDA64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512" w:hRule="atLeast"/>
                <w:jc w:val="center"/>
              </w:trPr>
              <w:tc>
                <w:tcPr>
                  <w:tcW w:w="669" w:type="dxa"/>
                  <w:vMerge w:val="continue"/>
                  <w:tcBorders>
                    <w:tl2br w:val="nil"/>
                    <w:tr2bl w:val="nil"/>
                  </w:tcBorders>
                  <w:noWrap w:val="0"/>
                  <w:vAlign w:val="center"/>
                </w:tcPr>
                <w:p w14:paraId="1FEED4AF">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752" w:type="dxa"/>
                  <w:vMerge w:val="continue"/>
                  <w:tcBorders>
                    <w:tl2br w:val="nil"/>
                    <w:tr2bl w:val="nil"/>
                  </w:tcBorders>
                  <w:noWrap w:val="0"/>
                  <w:vAlign w:val="center"/>
                </w:tcPr>
                <w:p w14:paraId="22E2E72D">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1444" w:type="dxa"/>
                  <w:vMerge w:val="continue"/>
                  <w:tcBorders>
                    <w:tl2br w:val="nil"/>
                    <w:tr2bl w:val="nil"/>
                  </w:tcBorders>
                  <w:noWrap w:val="0"/>
                  <w:vAlign w:val="center"/>
                </w:tcPr>
                <w:p w14:paraId="77AEF85B">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870" w:type="dxa"/>
                  <w:vMerge w:val="continue"/>
                  <w:tcBorders>
                    <w:tl2br w:val="nil"/>
                    <w:tr2bl w:val="nil"/>
                  </w:tcBorders>
                  <w:noWrap w:val="0"/>
                  <w:vAlign w:val="center"/>
                </w:tcPr>
                <w:p w14:paraId="0E7E40A6">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p>
              </w:tc>
              <w:tc>
                <w:tcPr>
                  <w:tcW w:w="795" w:type="dxa"/>
                  <w:vMerge w:val="continue"/>
                  <w:tcBorders>
                    <w:tl2br w:val="nil"/>
                    <w:tr2bl w:val="nil"/>
                  </w:tcBorders>
                  <w:noWrap w:val="0"/>
                  <w:vAlign w:val="center"/>
                </w:tcPr>
                <w:p w14:paraId="5C1B0F83">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p>
              </w:tc>
              <w:tc>
                <w:tcPr>
                  <w:tcW w:w="825" w:type="dxa"/>
                  <w:tcBorders>
                    <w:tl2br w:val="nil"/>
                    <w:tr2bl w:val="nil"/>
                  </w:tcBorders>
                  <w:noWrap w:val="0"/>
                  <w:vAlign w:val="center"/>
                </w:tcPr>
                <w:p w14:paraId="58E4024F">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环境风险防控</w:t>
                  </w:r>
                </w:p>
              </w:tc>
              <w:tc>
                <w:tcPr>
                  <w:tcW w:w="4200" w:type="dxa"/>
                  <w:tcBorders>
                    <w:tl2br w:val="nil"/>
                    <w:tr2bl w:val="nil"/>
                  </w:tcBorders>
                  <w:noWrap w:val="0"/>
                  <w:vAlign w:val="center"/>
                </w:tcPr>
                <w:p w14:paraId="5B2EF598">
                  <w:pPr>
                    <w:keepNext w:val="0"/>
                    <w:keepLines w:val="0"/>
                    <w:pageBreakBefore w:val="0"/>
                    <w:widowControl/>
                    <w:suppressLineNumbers w:val="0"/>
                    <w:kinsoku/>
                    <w:wordWrap/>
                    <w:overflowPunct/>
                    <w:topLinePunct w:val="0"/>
                    <w:autoSpaceDE/>
                    <w:autoSpaceDN/>
                    <w:bidi w:val="0"/>
                    <w:adjustRightInd/>
                    <w:snapToGrid/>
                    <w:spacing w:line="280" w:lineRule="exact"/>
                    <w:ind w:firstLine="420" w:firstLineChars="200"/>
                    <w:jc w:val="both"/>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lang w:val="zh-CN"/>
                    </w:rPr>
                    <w:t>加强对公共安全形势和风险的整体研判、动态监测，准确掌握本地区本领域本系统各类风险情况。建立健全重大公共安全隐患公告制度，完善应急救援体系和组织体系，及时消除安全隐患。</w:t>
                  </w:r>
                </w:p>
              </w:tc>
              <w:tc>
                <w:tcPr>
                  <w:tcW w:w="2880" w:type="dxa"/>
                  <w:tcBorders>
                    <w:tl2br w:val="nil"/>
                    <w:tr2bl w:val="nil"/>
                  </w:tcBorders>
                  <w:noWrap w:val="0"/>
                  <w:vAlign w:val="center"/>
                </w:tcPr>
                <w:p w14:paraId="66B66186">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default" w:ascii="Times New Roman" w:hAnsi="Times New Roman" w:eastAsia="宋体" w:cs="Times New Roman"/>
                      <w:color w:val="auto"/>
                      <w:spacing w:val="0"/>
                      <w:kern w:val="0"/>
                      <w:sz w:val="21"/>
                      <w:szCs w:val="21"/>
                      <w:highlight w:val="none"/>
                      <w:lang w:val="en-US" w:eastAsia="zh-CN"/>
                    </w:rPr>
                  </w:pPr>
                  <w:r>
                    <w:rPr>
                      <w:rFonts w:hint="eastAsia" w:cs="Times New Roman"/>
                      <w:color w:val="auto"/>
                      <w:kern w:val="0"/>
                      <w:sz w:val="21"/>
                      <w:szCs w:val="21"/>
                      <w:highlight w:val="none"/>
                      <w:lang w:val="en-US" w:eastAsia="zh-CN" w:bidi="ar"/>
                    </w:rPr>
                    <w:t>本项目不涉及。</w:t>
                  </w:r>
                </w:p>
              </w:tc>
              <w:tc>
                <w:tcPr>
                  <w:tcW w:w="774" w:type="dxa"/>
                  <w:tcBorders>
                    <w:tl2br w:val="nil"/>
                    <w:tr2bl w:val="nil"/>
                  </w:tcBorders>
                  <w:noWrap w:val="0"/>
                  <w:vAlign w:val="center"/>
                </w:tcPr>
                <w:p w14:paraId="46D601CD">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lang w:eastAsia="zh-CN"/>
                    </w:rPr>
                    <w:t>符合</w:t>
                  </w:r>
                </w:p>
              </w:tc>
            </w:tr>
            <w:tr w14:paraId="372DD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669" w:type="dxa"/>
                  <w:vMerge w:val="continue"/>
                  <w:tcBorders>
                    <w:tl2br w:val="nil"/>
                    <w:tr2bl w:val="nil"/>
                  </w:tcBorders>
                  <w:noWrap w:val="0"/>
                  <w:vAlign w:val="center"/>
                </w:tcPr>
                <w:p w14:paraId="6F2D6983">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752" w:type="dxa"/>
                  <w:vMerge w:val="continue"/>
                  <w:tcBorders>
                    <w:tl2br w:val="nil"/>
                    <w:tr2bl w:val="nil"/>
                  </w:tcBorders>
                  <w:noWrap w:val="0"/>
                  <w:vAlign w:val="center"/>
                </w:tcPr>
                <w:p w14:paraId="2BC164EE">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1444" w:type="dxa"/>
                  <w:vMerge w:val="continue"/>
                  <w:tcBorders>
                    <w:tl2br w:val="nil"/>
                    <w:tr2bl w:val="nil"/>
                  </w:tcBorders>
                  <w:noWrap w:val="0"/>
                  <w:vAlign w:val="center"/>
                </w:tcPr>
                <w:p w14:paraId="6F3DFE5B">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eastAsia" w:ascii="Times New Roman" w:hAnsi="Times New Roman" w:eastAsia="宋体" w:cs="Times New Roman"/>
                      <w:color w:val="auto"/>
                      <w:spacing w:val="0"/>
                      <w:kern w:val="0"/>
                      <w:sz w:val="21"/>
                      <w:szCs w:val="21"/>
                      <w:highlight w:val="none"/>
                      <w:lang w:val="en-US" w:eastAsia="zh-CN"/>
                    </w:rPr>
                  </w:pPr>
                </w:p>
              </w:tc>
              <w:tc>
                <w:tcPr>
                  <w:tcW w:w="870" w:type="dxa"/>
                  <w:vMerge w:val="continue"/>
                  <w:tcBorders>
                    <w:tl2br w:val="nil"/>
                    <w:tr2bl w:val="nil"/>
                  </w:tcBorders>
                  <w:noWrap w:val="0"/>
                  <w:vAlign w:val="center"/>
                </w:tcPr>
                <w:p w14:paraId="64895013">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hAnsi="Times New Roman" w:eastAsia="宋体" w:cs="Times New Roman"/>
                      <w:color w:val="auto"/>
                      <w:spacing w:val="0"/>
                      <w:kern w:val="0"/>
                      <w:sz w:val="21"/>
                      <w:szCs w:val="21"/>
                      <w:highlight w:val="none"/>
                      <w:lang w:val="en-US" w:eastAsia="zh-CN"/>
                    </w:rPr>
                  </w:pPr>
                </w:p>
              </w:tc>
              <w:tc>
                <w:tcPr>
                  <w:tcW w:w="795" w:type="dxa"/>
                  <w:vMerge w:val="continue"/>
                  <w:tcBorders>
                    <w:tl2br w:val="nil"/>
                    <w:tr2bl w:val="nil"/>
                  </w:tcBorders>
                  <w:noWrap w:val="0"/>
                  <w:vAlign w:val="center"/>
                </w:tcPr>
                <w:p w14:paraId="553C5907">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p>
              </w:tc>
              <w:tc>
                <w:tcPr>
                  <w:tcW w:w="825" w:type="dxa"/>
                  <w:tcBorders>
                    <w:tl2br w:val="nil"/>
                    <w:tr2bl w:val="nil"/>
                  </w:tcBorders>
                  <w:noWrap w:val="0"/>
                  <w:vAlign w:val="center"/>
                </w:tcPr>
                <w:p w14:paraId="0CF9C376">
                  <w:pPr>
                    <w:keepNext w:val="0"/>
                    <w:keepLines w:val="0"/>
                    <w:pageBreakBefore w:val="0"/>
                    <w:widowControl/>
                    <w:suppressLineNumbers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pacing w:val="0"/>
                      <w:kern w:val="0"/>
                      <w:sz w:val="21"/>
                      <w:szCs w:val="21"/>
                      <w:highlight w:val="none"/>
                    </w:rPr>
                  </w:pPr>
                  <w:r>
                    <w:rPr>
                      <w:rFonts w:hint="default" w:ascii="Times New Roman" w:hAnsi="Times New Roman" w:eastAsia="宋体" w:cs="Times New Roman"/>
                      <w:color w:val="auto"/>
                      <w:spacing w:val="0"/>
                      <w:kern w:val="0"/>
                      <w:sz w:val="21"/>
                      <w:szCs w:val="21"/>
                      <w:highlight w:val="none"/>
                    </w:rPr>
                    <w:t>资源利用效率要求</w:t>
                  </w:r>
                </w:p>
              </w:tc>
              <w:tc>
                <w:tcPr>
                  <w:tcW w:w="4200" w:type="dxa"/>
                  <w:tcBorders>
                    <w:tl2br w:val="nil"/>
                    <w:tr2bl w:val="nil"/>
                  </w:tcBorders>
                  <w:noWrap w:val="0"/>
                  <w:vAlign w:val="center"/>
                </w:tcPr>
                <w:p w14:paraId="06C2077C">
                  <w:pPr>
                    <w:keepNext w:val="0"/>
                    <w:keepLines w:val="0"/>
                    <w:pageBreakBefore w:val="0"/>
                    <w:widowControl/>
                    <w:suppressLineNumbers w:val="0"/>
                    <w:kinsoku/>
                    <w:wordWrap/>
                    <w:overflowPunct/>
                    <w:topLinePunct w:val="0"/>
                    <w:autoSpaceDE/>
                    <w:autoSpaceDN/>
                    <w:bidi w:val="0"/>
                    <w:adjustRightInd/>
                    <w:snapToGrid/>
                    <w:spacing w:line="280" w:lineRule="exact"/>
                    <w:ind w:firstLine="420" w:firstLineChars="200"/>
                    <w:jc w:val="left"/>
                    <w:textAlignment w:val="auto"/>
                    <w:rPr>
                      <w:rFonts w:hint="eastAsia"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rPr>
                    <w:t>围绕钢铁、水泥等传统产业，加大技术改造力度，提高节能减排水平和资源综合利用水平，实现向低投入、低消耗、低污染、高产出的</w:t>
                  </w:r>
                  <w:r>
                    <w:rPr>
                      <w:rFonts w:hint="eastAsia" w:ascii="宋体" w:hAnsi="宋体" w:eastAsia="宋体" w:cs="宋体"/>
                      <w:color w:val="auto"/>
                      <w:spacing w:val="0"/>
                      <w:kern w:val="0"/>
                      <w:sz w:val="21"/>
                      <w:szCs w:val="21"/>
                      <w:highlight w:val="none"/>
                    </w:rPr>
                    <w:t>“三低一高”</w:t>
                  </w:r>
                  <w:r>
                    <w:rPr>
                      <w:rFonts w:hint="default" w:ascii="Times New Roman" w:hAnsi="Times New Roman" w:eastAsia="宋体" w:cs="Times New Roman"/>
                      <w:color w:val="auto"/>
                      <w:spacing w:val="0"/>
                      <w:kern w:val="0"/>
                      <w:sz w:val="21"/>
                      <w:szCs w:val="21"/>
                      <w:highlight w:val="none"/>
                    </w:rPr>
                    <w:t>转变，突出节能降耗减排治污，大力发展战略性新兴产业</w:t>
                  </w:r>
                  <w:r>
                    <w:rPr>
                      <w:rFonts w:hint="eastAsia" w:cs="Times New Roman"/>
                      <w:color w:val="auto"/>
                      <w:spacing w:val="0"/>
                      <w:kern w:val="0"/>
                      <w:sz w:val="21"/>
                      <w:szCs w:val="21"/>
                      <w:highlight w:val="none"/>
                      <w:lang w:eastAsia="zh-CN"/>
                    </w:rPr>
                    <w:t>。</w:t>
                  </w:r>
                </w:p>
              </w:tc>
              <w:tc>
                <w:tcPr>
                  <w:tcW w:w="2880" w:type="dxa"/>
                  <w:tcBorders>
                    <w:tl2br w:val="nil"/>
                    <w:tr2bl w:val="nil"/>
                  </w:tcBorders>
                  <w:noWrap w:val="0"/>
                  <w:vAlign w:val="center"/>
                </w:tcPr>
                <w:p w14:paraId="1B2D3987">
                  <w:pPr>
                    <w:keepNext w:val="0"/>
                    <w:keepLines w:val="0"/>
                    <w:pageBreakBefore w:val="0"/>
                    <w:widowControl w:val="0"/>
                    <w:kinsoku/>
                    <w:wordWrap/>
                    <w:overflowPunct/>
                    <w:topLinePunct w:val="0"/>
                    <w:autoSpaceDE/>
                    <w:autoSpaceDN/>
                    <w:bidi w:val="0"/>
                    <w:adjustRightInd/>
                    <w:snapToGrid/>
                    <w:spacing w:line="280" w:lineRule="exact"/>
                    <w:ind w:firstLine="420" w:firstLineChars="200"/>
                    <w:jc w:val="left"/>
                    <w:textAlignment w:val="auto"/>
                    <w:outlineLvl w:val="9"/>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本项目不涉及。</w:t>
                  </w:r>
                </w:p>
              </w:tc>
              <w:tc>
                <w:tcPr>
                  <w:tcW w:w="774" w:type="dxa"/>
                  <w:tcBorders>
                    <w:tl2br w:val="nil"/>
                    <w:tr2bl w:val="nil"/>
                  </w:tcBorders>
                  <w:noWrap w:val="0"/>
                  <w:vAlign w:val="center"/>
                </w:tcPr>
                <w:p w14:paraId="196ED202">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outlineLvl w:val="9"/>
                    <w:rPr>
                      <w:rFonts w:hint="default" w:ascii="Times New Roman" w:hAnsi="Times New Roman" w:eastAsia="宋体" w:cs="Times New Roman"/>
                      <w:color w:val="auto"/>
                      <w:spacing w:val="0"/>
                      <w:kern w:val="0"/>
                      <w:sz w:val="21"/>
                      <w:szCs w:val="21"/>
                      <w:highlight w:val="none"/>
                      <w:lang w:eastAsia="zh-CN"/>
                    </w:rPr>
                  </w:pPr>
                  <w:r>
                    <w:rPr>
                      <w:rFonts w:hint="default" w:ascii="Times New Roman" w:hAnsi="Times New Roman" w:eastAsia="宋体" w:cs="Times New Roman"/>
                      <w:color w:val="auto"/>
                      <w:spacing w:val="0"/>
                      <w:kern w:val="0"/>
                      <w:sz w:val="21"/>
                      <w:szCs w:val="21"/>
                      <w:highlight w:val="none"/>
                      <w:lang w:eastAsia="zh-CN"/>
                    </w:rPr>
                    <w:t>符合</w:t>
                  </w:r>
                </w:p>
              </w:tc>
            </w:tr>
          </w:tbl>
          <w:p w14:paraId="06695DF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color w:val="auto"/>
                <w:highlight w:val="none"/>
                <w:lang w:val="zh-CN"/>
              </w:rPr>
            </w:pPr>
            <w:r>
              <w:rPr>
                <w:rFonts w:hint="eastAsia"/>
                <w:color w:val="auto"/>
                <w:highlight w:val="none"/>
                <w:lang w:val="en-US" w:eastAsia="zh-CN"/>
              </w:rPr>
              <w:t>由上表可知</w:t>
            </w:r>
            <w:r>
              <w:rPr>
                <w:rFonts w:hint="eastAsia"/>
                <w:color w:val="auto"/>
                <w:highlight w:val="none"/>
                <w:lang w:val="zh-CN"/>
              </w:rPr>
              <w:t>，</w:t>
            </w:r>
            <w:r>
              <w:rPr>
                <w:rFonts w:hint="eastAsia"/>
                <w:color w:val="auto"/>
                <w:highlight w:val="none"/>
                <w:lang w:val="en-US" w:eastAsia="zh-CN"/>
              </w:rPr>
              <w:t>本项目</w:t>
            </w:r>
            <w:r>
              <w:rPr>
                <w:rFonts w:hint="eastAsia"/>
                <w:color w:val="auto"/>
                <w:highlight w:val="none"/>
                <w:lang w:val="zh-CN"/>
              </w:rPr>
              <w:t>的建设符合</w:t>
            </w:r>
            <w:r>
              <w:rPr>
                <w:rFonts w:hint="eastAsia"/>
                <w:color w:val="auto"/>
                <w:highlight w:val="none"/>
                <w:lang w:val="en-US" w:eastAsia="zh-CN"/>
              </w:rPr>
              <w:t>《唐山市生态环境准入清单》（2023年版）要求</w:t>
            </w:r>
            <w:r>
              <w:rPr>
                <w:rFonts w:hint="eastAsia"/>
                <w:color w:val="auto"/>
                <w:highlight w:val="none"/>
                <w:lang w:val="zh-CN"/>
              </w:rPr>
              <w:t>。</w:t>
            </w:r>
          </w:p>
          <w:p w14:paraId="2B6EB4C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right="0" w:rightChars="0"/>
              <w:jc w:val="left"/>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5.</w:t>
            </w:r>
            <w:r>
              <w:rPr>
                <w:rFonts w:hint="eastAsia"/>
                <w:b/>
                <w:bCs/>
                <w:color w:val="auto"/>
                <w:sz w:val="24"/>
                <w:szCs w:val="24"/>
                <w:highlight w:val="none"/>
              </w:rPr>
              <w:t>与</w:t>
            </w:r>
            <w:r>
              <w:rPr>
                <w:rFonts w:hint="eastAsia"/>
                <w:b/>
                <w:bCs/>
                <w:color w:val="auto"/>
                <w:sz w:val="24"/>
                <w:szCs w:val="24"/>
                <w:highlight w:val="none"/>
                <w:lang w:eastAsia="zh-CN"/>
              </w:rPr>
              <w:t>《</w:t>
            </w:r>
            <w:r>
              <w:rPr>
                <w:rFonts w:hint="eastAsia"/>
                <w:b/>
                <w:bCs/>
                <w:color w:val="auto"/>
                <w:sz w:val="24"/>
                <w:szCs w:val="24"/>
                <w:highlight w:val="none"/>
                <w:lang w:val="en-US" w:eastAsia="zh-CN"/>
              </w:rPr>
              <w:t>建筑垃圾污染控制技术规范</w:t>
            </w:r>
            <w:r>
              <w:rPr>
                <w:rFonts w:hint="eastAsia"/>
                <w:b/>
                <w:bCs/>
                <w:color w:val="auto"/>
                <w:sz w:val="24"/>
                <w:szCs w:val="24"/>
                <w:highlight w:val="none"/>
                <w:lang w:eastAsia="zh-CN"/>
              </w:rPr>
              <w:t>》（</w:t>
            </w:r>
            <w:r>
              <w:rPr>
                <w:rFonts w:hint="eastAsia"/>
                <w:b/>
                <w:bCs/>
                <w:color w:val="auto"/>
                <w:sz w:val="24"/>
                <w:szCs w:val="24"/>
                <w:highlight w:val="none"/>
                <w:lang w:val="en-US" w:eastAsia="zh-CN"/>
              </w:rPr>
              <w:t>HJ 1462-2026</w:t>
            </w:r>
            <w:r>
              <w:rPr>
                <w:rFonts w:hint="eastAsia"/>
                <w:b/>
                <w:bCs/>
                <w:color w:val="auto"/>
                <w:sz w:val="24"/>
                <w:szCs w:val="24"/>
                <w:highlight w:val="none"/>
                <w:lang w:eastAsia="zh-CN"/>
              </w:rPr>
              <w:t>）</w:t>
            </w:r>
            <w:r>
              <w:rPr>
                <w:rFonts w:hint="eastAsia"/>
                <w:b/>
                <w:bCs/>
                <w:color w:val="auto"/>
                <w:sz w:val="24"/>
                <w:szCs w:val="24"/>
                <w:highlight w:val="none"/>
              </w:rPr>
              <w:t>符合性</w:t>
            </w:r>
            <w:r>
              <w:rPr>
                <w:rFonts w:hint="eastAsia"/>
                <w:b/>
                <w:bCs/>
                <w:color w:val="auto"/>
                <w:sz w:val="24"/>
                <w:szCs w:val="24"/>
                <w:highlight w:val="none"/>
                <w:lang w:val="en-US" w:eastAsia="zh-CN"/>
              </w:rPr>
              <w:t>分析</w:t>
            </w:r>
          </w:p>
          <w:p w14:paraId="1BF291DC">
            <w:pPr>
              <w:bidi w:val="0"/>
              <w:rPr>
                <w:rFonts w:hint="eastAsia"/>
                <w:color w:val="auto"/>
                <w:highlight w:val="none"/>
                <w:lang w:val="en-US" w:eastAsia="zh-CN"/>
              </w:rPr>
            </w:pPr>
            <w:r>
              <w:rPr>
                <w:rFonts w:hint="eastAsia"/>
                <w:color w:val="auto"/>
                <w:highlight w:val="none"/>
                <w:lang w:val="en-US" w:eastAsia="zh-CN"/>
              </w:rPr>
              <w:t>本项目与《建筑垃圾污染控制技术规范》（HJ 1462-2026）相关要求符合性分析见下表。</w:t>
            </w:r>
          </w:p>
          <w:p w14:paraId="37A1EAC5">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color w:val="auto"/>
                <w:highlight w:val="none"/>
                <w:lang w:val="zh-CN"/>
              </w:rPr>
            </w:pPr>
            <w:r>
              <w:rPr>
                <w:rFonts w:hint="eastAsia"/>
                <w:color w:val="auto"/>
                <w:sz w:val="21"/>
                <w:szCs w:val="21"/>
                <w:highlight w:val="none"/>
                <w:lang w:val="en-US" w:eastAsia="zh-CN"/>
              </w:rPr>
              <w:t>本</w:t>
            </w:r>
            <w:r>
              <w:rPr>
                <w:rFonts w:hint="eastAsia"/>
                <w:color w:val="auto"/>
                <w:sz w:val="21"/>
                <w:szCs w:val="21"/>
                <w:highlight w:val="none"/>
              </w:rPr>
              <w:t>项目与</w:t>
            </w:r>
            <w:r>
              <w:rPr>
                <w:rFonts w:hint="eastAsia"/>
                <w:color w:val="auto"/>
                <w:sz w:val="21"/>
                <w:szCs w:val="21"/>
                <w:highlight w:val="none"/>
                <w:lang w:val="en-US" w:eastAsia="zh-CN"/>
              </w:rPr>
              <w:t>HJ 1462-2026相关要求</w:t>
            </w:r>
            <w:r>
              <w:rPr>
                <w:rFonts w:hint="eastAsia"/>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1264"/>
              <w:gridCol w:w="7086"/>
              <w:gridCol w:w="3494"/>
              <w:gridCol w:w="814"/>
            </w:tblGrid>
            <w:tr w14:paraId="20D702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58" w:hRule="atLeast"/>
                <w:jc w:val="center"/>
              </w:trPr>
              <w:tc>
                <w:tcPr>
                  <w:tcW w:w="551" w:type="dxa"/>
                  <w:noWrap w:val="0"/>
                  <w:vAlign w:val="center"/>
                </w:tcPr>
                <w:p w14:paraId="1FF910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8350" w:type="dxa"/>
                  <w:gridSpan w:val="2"/>
                  <w:noWrap w:val="0"/>
                  <w:vAlign w:val="center"/>
                </w:tcPr>
                <w:p w14:paraId="12646D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HJ1462-2026相关要求</w:t>
                  </w:r>
                </w:p>
              </w:tc>
              <w:tc>
                <w:tcPr>
                  <w:tcW w:w="3494" w:type="dxa"/>
                  <w:noWrap w:val="0"/>
                  <w:vAlign w:val="center"/>
                </w:tcPr>
                <w:p w14:paraId="73DCD0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4" w:type="dxa"/>
                  <w:noWrap w:val="0"/>
                  <w:vAlign w:val="center"/>
                </w:tcPr>
                <w:p w14:paraId="16E1C8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1876EB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385" w:hRule="atLeast"/>
                <w:jc w:val="center"/>
              </w:trPr>
              <w:tc>
                <w:tcPr>
                  <w:tcW w:w="551" w:type="dxa"/>
                  <w:vMerge w:val="restart"/>
                  <w:noWrap w:val="0"/>
                  <w:vAlign w:val="center"/>
                </w:tcPr>
                <w:p w14:paraId="1F141F89">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2082BA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4.总体要求</w:t>
                  </w:r>
                </w:p>
              </w:tc>
              <w:tc>
                <w:tcPr>
                  <w:tcW w:w="7086" w:type="dxa"/>
                  <w:noWrap w:val="0"/>
                  <w:vAlign w:val="center"/>
                </w:tcPr>
                <w:p w14:paraId="6AA8676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4.1</w:t>
                  </w:r>
                  <w:r>
                    <w:rPr>
                      <w:rFonts w:hint="eastAsia" w:eastAsia="宋体"/>
                      <w:color w:val="auto"/>
                      <w:sz w:val="21"/>
                      <w:szCs w:val="21"/>
                      <w:highlight w:val="none"/>
                    </w:rPr>
                    <w:t>建筑垃圾产生单位应减少产生量，并进行源头分类，宜进行原位利用，工程施工过程采用清洁生产技术等措施减少污染物含量，提高资源化利用率</w:t>
                  </w:r>
                  <w:r>
                    <w:rPr>
                      <w:rFonts w:hint="eastAsia"/>
                      <w:color w:val="auto"/>
                      <w:sz w:val="21"/>
                      <w:szCs w:val="21"/>
                      <w:highlight w:val="none"/>
                      <w:lang w:eastAsia="zh-CN"/>
                    </w:rPr>
                    <w:t>。</w:t>
                  </w:r>
                </w:p>
              </w:tc>
              <w:tc>
                <w:tcPr>
                  <w:tcW w:w="3494" w:type="dxa"/>
                  <w:noWrap w:val="0"/>
                  <w:vAlign w:val="center"/>
                </w:tcPr>
                <w:p w14:paraId="38CEEB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w:t>
                  </w:r>
                </w:p>
              </w:tc>
              <w:tc>
                <w:tcPr>
                  <w:tcW w:w="814" w:type="dxa"/>
                  <w:noWrap w:val="0"/>
                  <w:vAlign w:val="center"/>
                </w:tcPr>
                <w:p w14:paraId="4B0EE6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3BA971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385" w:hRule="atLeast"/>
                <w:jc w:val="center"/>
              </w:trPr>
              <w:tc>
                <w:tcPr>
                  <w:tcW w:w="551" w:type="dxa"/>
                  <w:vMerge w:val="continue"/>
                  <w:noWrap w:val="0"/>
                  <w:vAlign w:val="center"/>
                </w:tcPr>
                <w:p w14:paraId="4EF382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03B7B7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086" w:type="dxa"/>
                  <w:noWrap w:val="0"/>
                  <w:vAlign w:val="center"/>
                </w:tcPr>
                <w:p w14:paraId="333127D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4.2</w:t>
                  </w:r>
                  <w:r>
                    <w:rPr>
                      <w:rFonts w:hint="eastAsia" w:eastAsia="宋体"/>
                      <w:color w:val="auto"/>
                      <w:sz w:val="21"/>
                      <w:szCs w:val="21"/>
                      <w:highlight w:val="none"/>
                    </w:rPr>
                    <w:t>工程垃圾、拆除垃圾、装修垃圾或其预处理后的产物按照以下要求进行分类：</w:t>
                  </w:r>
                </w:p>
                <w:p w14:paraId="10E3058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a）在拆除和装修过程中应对危险废物单独收集；</w:t>
                  </w:r>
                </w:p>
                <w:p w14:paraId="5DAC572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b）废旧混凝土、碎砖瓦、废砂浆、废沥青等废弃建材，废金属、废木材、废塑料、废纸、玻璃、橡胶等废弃材料；</w:t>
                  </w:r>
                </w:p>
                <w:p w14:paraId="1B0A8CD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c）未按</w:t>
                  </w:r>
                  <w:r>
                    <w:rPr>
                      <w:rFonts w:hint="eastAsia"/>
                      <w:color w:val="auto"/>
                      <w:sz w:val="21"/>
                      <w:szCs w:val="21"/>
                      <w:highlight w:val="none"/>
                      <w:lang w:val="en-US" w:eastAsia="zh-CN"/>
                    </w:rPr>
                    <w:t>4.2</w:t>
                  </w:r>
                  <w:r>
                    <w:rPr>
                      <w:rFonts w:hint="eastAsia" w:eastAsia="宋体"/>
                      <w:color w:val="auto"/>
                      <w:sz w:val="21"/>
                      <w:szCs w:val="21"/>
                      <w:highlight w:val="none"/>
                    </w:rPr>
                    <w:t>b）进行分类的工程垃圾、拆除垃圾、装修垃圾。</w:t>
                  </w:r>
                </w:p>
              </w:tc>
              <w:tc>
                <w:tcPr>
                  <w:tcW w:w="3494" w:type="dxa"/>
                  <w:noWrap w:val="0"/>
                  <w:vAlign w:val="center"/>
                </w:tcPr>
                <w:p w14:paraId="25C278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本项目对符合要求的建筑垃圾进行堆填，不涉及分类。</w:t>
                  </w:r>
                </w:p>
              </w:tc>
              <w:tc>
                <w:tcPr>
                  <w:tcW w:w="814" w:type="dxa"/>
                  <w:noWrap w:val="0"/>
                  <w:vAlign w:val="center"/>
                </w:tcPr>
                <w:p w14:paraId="4D726D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62EA89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85" w:hRule="atLeast"/>
                <w:jc w:val="center"/>
              </w:trPr>
              <w:tc>
                <w:tcPr>
                  <w:tcW w:w="551" w:type="dxa"/>
                  <w:vMerge w:val="continue"/>
                  <w:noWrap w:val="0"/>
                  <w:vAlign w:val="center"/>
                </w:tcPr>
                <w:p w14:paraId="7DBD3A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1264" w:type="dxa"/>
                  <w:vMerge w:val="continue"/>
                  <w:noWrap w:val="0"/>
                  <w:vAlign w:val="center"/>
                </w:tcPr>
                <w:p w14:paraId="577D9E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7086" w:type="dxa"/>
                  <w:noWrap w:val="0"/>
                  <w:vAlign w:val="center"/>
                </w:tcPr>
                <w:p w14:paraId="343631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4.3</w:t>
                  </w:r>
                  <w:r>
                    <w:rPr>
                      <w:rFonts w:hint="eastAsia" w:eastAsia="宋体"/>
                      <w:color w:val="auto"/>
                      <w:sz w:val="21"/>
                      <w:szCs w:val="21"/>
                      <w:highlight w:val="none"/>
                    </w:rPr>
                    <w:t>工业企业场地、工业园区、矿山工业场地产生的建筑垃圾应进行环境风险评估，确保环境风险可接受后，方可根据建筑垃圾类别进行贮存、利用和处置</w:t>
                  </w:r>
                  <w:r>
                    <w:rPr>
                      <w:rFonts w:hint="eastAsia"/>
                      <w:color w:val="auto"/>
                      <w:sz w:val="21"/>
                      <w:szCs w:val="21"/>
                      <w:highlight w:val="none"/>
                      <w:lang w:eastAsia="zh-CN"/>
                    </w:rPr>
                    <w:t>。</w:t>
                  </w:r>
                </w:p>
              </w:tc>
              <w:tc>
                <w:tcPr>
                  <w:tcW w:w="3494" w:type="dxa"/>
                  <w:noWrap w:val="0"/>
                  <w:vAlign w:val="center"/>
                </w:tcPr>
                <w:p w14:paraId="4E48E6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w:t>
                  </w:r>
                </w:p>
              </w:tc>
              <w:tc>
                <w:tcPr>
                  <w:tcW w:w="814" w:type="dxa"/>
                  <w:noWrap w:val="0"/>
                  <w:vAlign w:val="center"/>
                </w:tcPr>
                <w:p w14:paraId="47455C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6899FC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976" w:hRule="atLeast"/>
                <w:jc w:val="center"/>
              </w:trPr>
              <w:tc>
                <w:tcPr>
                  <w:tcW w:w="551" w:type="dxa"/>
                  <w:vMerge w:val="continue"/>
                  <w:noWrap w:val="0"/>
                  <w:vAlign w:val="center"/>
                </w:tcPr>
                <w:p w14:paraId="1ACAC0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1264" w:type="dxa"/>
                  <w:vMerge w:val="continue"/>
                  <w:noWrap w:val="0"/>
                  <w:vAlign w:val="center"/>
                </w:tcPr>
                <w:p w14:paraId="71A432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7086" w:type="dxa"/>
                  <w:noWrap w:val="0"/>
                  <w:vAlign w:val="center"/>
                </w:tcPr>
                <w:p w14:paraId="6705B67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4.4</w:t>
                  </w:r>
                  <w:r>
                    <w:rPr>
                      <w:rFonts w:hint="eastAsia" w:eastAsia="宋体"/>
                      <w:color w:val="auto"/>
                      <w:sz w:val="21"/>
                      <w:szCs w:val="21"/>
                      <w:highlight w:val="none"/>
                    </w:rPr>
                    <w:t>非工业企业场地、工业园区、矿山工业场地所产生的工程泥浆应按照CJJ/T 134进行脱水处理，经场地调查分析确定为污染土壤的工程渣土或工程泥浆按照污染土壤进行管理。</w:t>
                  </w:r>
                </w:p>
              </w:tc>
              <w:tc>
                <w:tcPr>
                  <w:tcW w:w="3494" w:type="dxa"/>
                  <w:noWrap w:val="0"/>
                  <w:vAlign w:val="center"/>
                </w:tcPr>
                <w:p w14:paraId="656344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本项目对符合要求的建筑垃圾进行堆填，不涉及预处理。</w:t>
                  </w:r>
                </w:p>
              </w:tc>
              <w:tc>
                <w:tcPr>
                  <w:tcW w:w="814" w:type="dxa"/>
                  <w:noWrap w:val="0"/>
                  <w:vAlign w:val="center"/>
                </w:tcPr>
                <w:p w14:paraId="6A8FA9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7FBB77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672" w:hRule="atLeast"/>
                <w:jc w:val="center"/>
              </w:trPr>
              <w:tc>
                <w:tcPr>
                  <w:tcW w:w="551" w:type="dxa"/>
                  <w:vMerge w:val="continue"/>
                  <w:noWrap w:val="0"/>
                  <w:vAlign w:val="center"/>
                </w:tcPr>
                <w:p w14:paraId="507BCE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1264" w:type="dxa"/>
                  <w:vMerge w:val="continue"/>
                  <w:noWrap w:val="0"/>
                  <w:vAlign w:val="center"/>
                </w:tcPr>
                <w:p w14:paraId="6BB41F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7086" w:type="dxa"/>
                  <w:noWrap w:val="0"/>
                  <w:vAlign w:val="center"/>
                </w:tcPr>
                <w:p w14:paraId="5B4CB0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4.5</w:t>
                  </w:r>
                  <w:r>
                    <w:rPr>
                      <w:rFonts w:hint="eastAsia" w:eastAsia="宋体"/>
                      <w:color w:val="auto"/>
                      <w:sz w:val="21"/>
                      <w:szCs w:val="21"/>
                      <w:highlight w:val="none"/>
                    </w:rPr>
                    <w:t>建筑垃圾贮存、资源化利用、填埋等设施或场所的选址应符合CJJ/T 134要求</w:t>
                  </w:r>
                  <w:r>
                    <w:rPr>
                      <w:rFonts w:hint="eastAsia"/>
                      <w:color w:val="auto"/>
                      <w:sz w:val="21"/>
                      <w:szCs w:val="21"/>
                      <w:highlight w:val="none"/>
                      <w:lang w:eastAsia="zh-CN"/>
                    </w:rPr>
                    <w:t>。</w:t>
                  </w:r>
                </w:p>
              </w:tc>
              <w:tc>
                <w:tcPr>
                  <w:tcW w:w="3494" w:type="dxa"/>
                  <w:noWrap w:val="0"/>
                  <w:vAlign w:val="center"/>
                </w:tcPr>
                <w:p w14:paraId="3FC813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本项目选址符合</w:t>
                  </w:r>
                  <w:r>
                    <w:rPr>
                      <w:rFonts w:hint="eastAsia" w:eastAsia="宋体"/>
                      <w:color w:val="auto"/>
                      <w:sz w:val="21"/>
                      <w:szCs w:val="21"/>
                      <w:highlight w:val="none"/>
                    </w:rPr>
                    <w:t>CJJ/T 134要求</w:t>
                  </w:r>
                  <w:r>
                    <w:rPr>
                      <w:rFonts w:hint="eastAsia"/>
                      <w:color w:val="auto"/>
                      <w:sz w:val="21"/>
                      <w:szCs w:val="21"/>
                      <w:highlight w:val="none"/>
                      <w:lang w:eastAsia="zh-CN"/>
                    </w:rPr>
                    <w:t>。</w:t>
                  </w:r>
                </w:p>
              </w:tc>
              <w:tc>
                <w:tcPr>
                  <w:tcW w:w="814" w:type="dxa"/>
                  <w:noWrap w:val="0"/>
                  <w:vAlign w:val="center"/>
                </w:tcPr>
                <w:p w14:paraId="6246A8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592EBB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33B0A7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1264" w:type="dxa"/>
                  <w:vMerge w:val="continue"/>
                  <w:noWrap w:val="0"/>
                  <w:vAlign w:val="center"/>
                </w:tcPr>
                <w:p w14:paraId="213A6E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p>
              </w:tc>
              <w:tc>
                <w:tcPr>
                  <w:tcW w:w="7086" w:type="dxa"/>
                  <w:noWrap w:val="0"/>
                  <w:vAlign w:val="center"/>
                </w:tcPr>
                <w:p w14:paraId="1681A9E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4.6</w:t>
                  </w:r>
                  <w:r>
                    <w:rPr>
                      <w:rFonts w:hint="eastAsia" w:eastAsia="宋体"/>
                      <w:color w:val="auto"/>
                      <w:sz w:val="21"/>
                      <w:szCs w:val="21"/>
                      <w:highlight w:val="none"/>
                    </w:rPr>
                    <w:t xml:space="preserve">利用 </w:t>
                  </w:r>
                  <w:r>
                    <w:rPr>
                      <w:rFonts w:hint="eastAsia"/>
                      <w:color w:val="auto"/>
                      <w:sz w:val="21"/>
                      <w:szCs w:val="21"/>
                      <w:highlight w:val="none"/>
                      <w:lang w:val="en-US" w:eastAsia="zh-CN"/>
                    </w:rPr>
                    <w:t>4.2</w:t>
                  </w:r>
                  <w:r>
                    <w:rPr>
                      <w:rFonts w:hint="eastAsia" w:eastAsia="宋体"/>
                      <w:color w:val="auto"/>
                      <w:sz w:val="21"/>
                      <w:szCs w:val="21"/>
                      <w:highlight w:val="none"/>
                    </w:rPr>
                    <w:t>b）中废弃建材类进行堆填利用的选址，应符合以下规定：</w:t>
                  </w:r>
                </w:p>
                <w:p w14:paraId="6523885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a）不应选在生态保护红线区域、自然保护地、永久基本农田集中区域和其他需要特别保护的区域内；</w:t>
                  </w:r>
                </w:p>
                <w:p w14:paraId="1620707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b）应避开活动断层、溶洞区、天然滑坡或泥石流影响区以及湿地等区域；</w:t>
                  </w:r>
                </w:p>
                <w:p w14:paraId="5A4DAE2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c）不应选在江河、湖泊、运河、渠道、水库最高水位线以下的滩地和岸坡，以及国家和地方长远规划中的水库等人工蓄水设施的淹没区和保护区之内。</w:t>
                  </w:r>
                </w:p>
              </w:tc>
              <w:tc>
                <w:tcPr>
                  <w:tcW w:w="3494" w:type="dxa"/>
                  <w:noWrap w:val="0"/>
                  <w:vAlign w:val="center"/>
                </w:tcPr>
                <w:p w14:paraId="43D78A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1.本项目不在</w:t>
                  </w:r>
                  <w:r>
                    <w:rPr>
                      <w:rFonts w:hint="eastAsia" w:eastAsia="宋体"/>
                      <w:color w:val="auto"/>
                      <w:sz w:val="21"/>
                      <w:szCs w:val="21"/>
                      <w:highlight w:val="none"/>
                    </w:rPr>
                    <w:t>生态保护红线区域、自然保护地、永久基本农田集中区域和其他需要特别保护的区域内</w:t>
                  </w:r>
                  <w:r>
                    <w:rPr>
                      <w:rFonts w:hint="eastAsia"/>
                      <w:color w:val="auto"/>
                      <w:sz w:val="21"/>
                      <w:szCs w:val="21"/>
                      <w:highlight w:val="none"/>
                      <w:lang w:eastAsia="zh-CN"/>
                    </w:rPr>
                    <w:t>；</w:t>
                  </w:r>
                </w:p>
                <w:p w14:paraId="0D61387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2.本项目不在</w:t>
                  </w:r>
                  <w:r>
                    <w:rPr>
                      <w:rFonts w:hint="eastAsia" w:eastAsia="宋体"/>
                      <w:color w:val="auto"/>
                      <w:sz w:val="21"/>
                      <w:szCs w:val="21"/>
                      <w:highlight w:val="none"/>
                    </w:rPr>
                    <w:t>活动断层、溶洞区、天然滑坡或泥石流影响区以及湿地等区域</w:t>
                  </w:r>
                  <w:r>
                    <w:rPr>
                      <w:rFonts w:hint="eastAsia"/>
                      <w:color w:val="auto"/>
                      <w:sz w:val="21"/>
                      <w:szCs w:val="21"/>
                      <w:highlight w:val="none"/>
                      <w:lang w:eastAsia="zh-CN"/>
                    </w:rPr>
                    <w:t>；</w:t>
                  </w:r>
                </w:p>
                <w:p w14:paraId="2CA5763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3.本项目不在</w:t>
                  </w:r>
                  <w:r>
                    <w:rPr>
                      <w:rFonts w:hint="eastAsia" w:eastAsia="宋体"/>
                      <w:color w:val="auto"/>
                      <w:sz w:val="21"/>
                      <w:szCs w:val="21"/>
                      <w:highlight w:val="none"/>
                    </w:rPr>
                    <w:t>江河、湖泊、运河、渠道、水库最高水位线以下的滩地和岸坡，以及国家和地方长远规划中的水库等人工</w:t>
                  </w:r>
                  <w:r>
                    <w:rPr>
                      <w:rFonts w:hint="eastAsia"/>
                      <w:color w:val="auto"/>
                      <w:sz w:val="21"/>
                      <w:szCs w:val="21"/>
                      <w:highlight w:val="none"/>
                      <w:lang w:val="en-US" w:eastAsia="zh-CN"/>
                    </w:rPr>
                    <w:t>蓄</w:t>
                  </w:r>
                  <w:r>
                    <w:rPr>
                      <w:rFonts w:hint="eastAsia" w:eastAsia="宋体"/>
                      <w:color w:val="auto"/>
                      <w:sz w:val="21"/>
                      <w:szCs w:val="21"/>
                      <w:highlight w:val="none"/>
                    </w:rPr>
                    <w:t>水设施的淹没区和保护区之内</w:t>
                  </w:r>
                  <w:r>
                    <w:rPr>
                      <w:rFonts w:hint="eastAsia"/>
                      <w:color w:val="auto"/>
                      <w:sz w:val="21"/>
                      <w:szCs w:val="21"/>
                      <w:highlight w:val="none"/>
                      <w:lang w:eastAsia="zh-CN"/>
                    </w:rPr>
                    <w:t>。</w:t>
                  </w:r>
                </w:p>
              </w:tc>
              <w:tc>
                <w:tcPr>
                  <w:tcW w:w="814" w:type="dxa"/>
                  <w:noWrap w:val="0"/>
                  <w:vAlign w:val="center"/>
                </w:tcPr>
                <w:p w14:paraId="3E718A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5851CC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9" w:hRule="atLeast"/>
                <w:jc w:val="center"/>
              </w:trPr>
              <w:tc>
                <w:tcPr>
                  <w:tcW w:w="551" w:type="dxa"/>
                  <w:vMerge w:val="restart"/>
                  <w:noWrap w:val="0"/>
                  <w:vAlign w:val="center"/>
                </w:tcPr>
                <w:p w14:paraId="71D26B55">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center"/>
                    <w:rPr>
                      <w:rFonts w:hint="eastAsia" w:eastAsia="宋体"/>
                      <w:color w:val="auto"/>
                      <w:kern w:val="0"/>
                      <w:sz w:val="21"/>
                      <w:szCs w:val="21"/>
                      <w:highlight w:val="none"/>
                      <w:lang w:eastAsia="zh-CN" w:bidi="ar"/>
                    </w:rPr>
                  </w:pPr>
                </w:p>
              </w:tc>
              <w:tc>
                <w:tcPr>
                  <w:tcW w:w="1264" w:type="dxa"/>
                  <w:vMerge w:val="restart"/>
                  <w:noWrap w:val="0"/>
                  <w:vAlign w:val="center"/>
                </w:tcPr>
                <w:p w14:paraId="0F2682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7.</w:t>
                  </w:r>
                  <w:r>
                    <w:rPr>
                      <w:rFonts w:hint="eastAsia" w:eastAsia="宋体"/>
                      <w:color w:val="auto"/>
                      <w:sz w:val="21"/>
                      <w:szCs w:val="21"/>
                      <w:highlight w:val="none"/>
                    </w:rPr>
                    <w:t>利用与处置过程污染控制要求</w:t>
                  </w:r>
                </w:p>
              </w:tc>
              <w:tc>
                <w:tcPr>
                  <w:tcW w:w="7086" w:type="dxa"/>
                  <w:noWrap w:val="0"/>
                  <w:vAlign w:val="center"/>
                </w:tcPr>
                <w:p w14:paraId="494161C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7.2堆填利用的污染控制要求</w:t>
                  </w:r>
                </w:p>
                <w:p w14:paraId="7198C5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7</w:t>
                  </w:r>
                  <w:r>
                    <w:rPr>
                      <w:rFonts w:hint="eastAsia" w:eastAsia="宋体"/>
                      <w:color w:val="auto"/>
                      <w:sz w:val="21"/>
                      <w:szCs w:val="21"/>
                      <w:highlight w:val="none"/>
                      <w:lang w:eastAsia="zh-CN"/>
                    </w:rPr>
                    <w:t>.2.14.2b）中的废弃建材类进行堆填利用时，应满足CJJ/T 134的要求，同时防止其他固体废物混入，用于</w:t>
                  </w:r>
                  <w:r>
                    <w:rPr>
                      <w:rFonts w:hint="eastAsia"/>
                      <w:color w:val="auto"/>
                      <w:sz w:val="21"/>
                      <w:szCs w:val="21"/>
                      <w:highlight w:val="none"/>
                      <w:lang w:eastAsia="zh-CN"/>
                    </w:rPr>
                    <w:t>废弃采矿坑</w:t>
                  </w:r>
                  <w:r>
                    <w:rPr>
                      <w:rFonts w:hint="eastAsia" w:eastAsia="宋体"/>
                      <w:color w:val="auto"/>
                      <w:sz w:val="21"/>
                      <w:szCs w:val="21"/>
                      <w:highlight w:val="none"/>
                      <w:lang w:eastAsia="zh-CN"/>
                    </w:rPr>
                    <w:t>（山）修复、生态恢复时应按照HJ 25.3等相关标准开展环境风险评估。</w:t>
                  </w:r>
                </w:p>
              </w:tc>
              <w:tc>
                <w:tcPr>
                  <w:tcW w:w="3494" w:type="dxa"/>
                  <w:noWrap w:val="0"/>
                  <w:vAlign w:val="center"/>
                </w:tcPr>
                <w:p w14:paraId="2A3E49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本项目利用废弃低洼坑塘对符合要求的建筑垃圾进行堆填，用地性质为农用地，不属于</w:t>
                  </w:r>
                  <w:r>
                    <w:rPr>
                      <w:rFonts w:hint="eastAsia"/>
                      <w:color w:val="auto"/>
                      <w:sz w:val="21"/>
                      <w:szCs w:val="21"/>
                      <w:highlight w:val="none"/>
                      <w:lang w:eastAsia="zh-CN"/>
                    </w:rPr>
                    <w:t>废弃采矿坑</w:t>
                  </w:r>
                  <w:r>
                    <w:rPr>
                      <w:rFonts w:hint="eastAsia" w:eastAsia="宋体"/>
                      <w:color w:val="auto"/>
                      <w:sz w:val="21"/>
                      <w:szCs w:val="21"/>
                      <w:highlight w:val="none"/>
                      <w:lang w:eastAsia="zh-CN"/>
                    </w:rPr>
                    <w:t>（山）修复、生态恢复</w:t>
                  </w:r>
                  <w:r>
                    <w:rPr>
                      <w:rFonts w:hint="eastAsia" w:cs="Times New Roman"/>
                      <w:color w:val="auto"/>
                      <w:spacing w:val="0"/>
                      <w:kern w:val="0"/>
                      <w:sz w:val="21"/>
                      <w:szCs w:val="21"/>
                      <w:highlight w:val="none"/>
                      <w:lang w:val="en-US" w:eastAsia="zh-CN"/>
                    </w:rPr>
                    <w:t>。</w:t>
                  </w:r>
                </w:p>
              </w:tc>
              <w:tc>
                <w:tcPr>
                  <w:tcW w:w="814" w:type="dxa"/>
                  <w:noWrap w:val="0"/>
                  <w:vAlign w:val="center"/>
                </w:tcPr>
                <w:p w14:paraId="52B17C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符合</w:t>
                  </w:r>
                </w:p>
              </w:tc>
            </w:tr>
            <w:tr w14:paraId="1B65B8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0" w:hRule="atLeast"/>
                <w:jc w:val="center"/>
              </w:trPr>
              <w:tc>
                <w:tcPr>
                  <w:tcW w:w="551" w:type="dxa"/>
                  <w:vMerge w:val="continue"/>
                  <w:noWrap w:val="0"/>
                  <w:vAlign w:val="center"/>
                </w:tcPr>
                <w:p w14:paraId="1A3603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65668D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086" w:type="dxa"/>
                  <w:noWrap w:val="0"/>
                  <w:vAlign w:val="center"/>
                </w:tcPr>
                <w:p w14:paraId="5828ABA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7.2.2 利用工程渣土或脱水后的工程泥浆进行堆填利用，应满足堆填利用地块的环境风险管控要求</w:t>
                  </w:r>
                  <w:r>
                    <w:rPr>
                      <w:rFonts w:hint="eastAsia"/>
                      <w:color w:val="auto"/>
                      <w:sz w:val="21"/>
                      <w:szCs w:val="21"/>
                      <w:highlight w:val="none"/>
                      <w:lang w:eastAsia="zh-CN"/>
                    </w:rPr>
                    <w:t>。</w:t>
                  </w:r>
                </w:p>
              </w:tc>
              <w:tc>
                <w:tcPr>
                  <w:tcW w:w="3494" w:type="dxa"/>
                  <w:noWrap w:val="0"/>
                  <w:vAlign w:val="center"/>
                </w:tcPr>
                <w:p w14:paraId="4D8CEB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本项目满足</w:t>
                  </w:r>
                  <w:r>
                    <w:rPr>
                      <w:rFonts w:hint="eastAsia" w:eastAsia="宋体"/>
                      <w:color w:val="auto"/>
                      <w:sz w:val="21"/>
                      <w:szCs w:val="21"/>
                      <w:highlight w:val="none"/>
                      <w:lang w:eastAsia="zh-CN"/>
                    </w:rPr>
                    <w:t>堆填利用地块的环境风险管控要求</w:t>
                  </w:r>
                  <w:r>
                    <w:rPr>
                      <w:rFonts w:hint="eastAsia"/>
                      <w:color w:val="auto"/>
                      <w:sz w:val="21"/>
                      <w:szCs w:val="21"/>
                      <w:highlight w:val="none"/>
                      <w:lang w:eastAsia="zh-CN"/>
                    </w:rPr>
                    <w:t>。</w:t>
                  </w:r>
                </w:p>
              </w:tc>
              <w:tc>
                <w:tcPr>
                  <w:tcW w:w="814" w:type="dxa"/>
                  <w:noWrap w:val="0"/>
                  <w:vAlign w:val="center"/>
                </w:tcPr>
                <w:p w14:paraId="15218C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符合</w:t>
                  </w:r>
                </w:p>
              </w:tc>
            </w:tr>
            <w:tr w14:paraId="680C55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9" w:hRule="atLeast"/>
                <w:jc w:val="center"/>
              </w:trPr>
              <w:tc>
                <w:tcPr>
                  <w:tcW w:w="551" w:type="dxa"/>
                  <w:vMerge w:val="continue"/>
                  <w:noWrap w:val="0"/>
                  <w:vAlign w:val="center"/>
                </w:tcPr>
                <w:p w14:paraId="00D22C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1264" w:type="dxa"/>
                  <w:vMerge w:val="continue"/>
                  <w:noWrap w:val="0"/>
                  <w:vAlign w:val="center"/>
                </w:tcPr>
                <w:p w14:paraId="1FD96B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7086" w:type="dxa"/>
                  <w:noWrap w:val="0"/>
                  <w:vAlign w:val="center"/>
                </w:tcPr>
                <w:p w14:paraId="35B4BA9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7.2.3 堆填利用前应开展环境本底调查，包括堆填利用区域的土壤环境、地下水环境以及地表水环境等，可参考已有的环境影响评价以及相关水文地质资料。</w:t>
                  </w:r>
                </w:p>
              </w:tc>
              <w:tc>
                <w:tcPr>
                  <w:tcW w:w="3494" w:type="dxa"/>
                  <w:noWrap w:val="0"/>
                  <w:vAlign w:val="center"/>
                </w:tcPr>
                <w:p w14:paraId="4103EA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本项目对</w:t>
                  </w:r>
                  <w:r>
                    <w:rPr>
                      <w:rFonts w:hint="eastAsia" w:eastAsia="宋体"/>
                      <w:color w:val="auto"/>
                      <w:sz w:val="21"/>
                      <w:szCs w:val="21"/>
                      <w:highlight w:val="none"/>
                      <w:lang w:eastAsia="zh-CN"/>
                    </w:rPr>
                    <w:t>土壤环境、地下水环境</w:t>
                  </w:r>
                  <w:r>
                    <w:rPr>
                      <w:rFonts w:hint="eastAsia"/>
                      <w:color w:val="auto"/>
                      <w:sz w:val="21"/>
                      <w:szCs w:val="21"/>
                      <w:highlight w:val="none"/>
                      <w:lang w:val="en-US" w:eastAsia="zh-CN"/>
                    </w:rPr>
                    <w:t>进行监测。</w:t>
                  </w:r>
                </w:p>
              </w:tc>
              <w:tc>
                <w:tcPr>
                  <w:tcW w:w="814" w:type="dxa"/>
                  <w:noWrap w:val="0"/>
                  <w:vAlign w:val="center"/>
                </w:tcPr>
                <w:p w14:paraId="0A5EB7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符合</w:t>
                  </w:r>
                </w:p>
              </w:tc>
            </w:tr>
            <w:tr w14:paraId="38A746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92" w:hRule="atLeast"/>
                <w:jc w:val="center"/>
              </w:trPr>
              <w:tc>
                <w:tcPr>
                  <w:tcW w:w="551" w:type="dxa"/>
                  <w:vMerge w:val="continue"/>
                  <w:noWrap w:val="0"/>
                  <w:vAlign w:val="center"/>
                </w:tcPr>
                <w:p w14:paraId="77BAF4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1264" w:type="dxa"/>
                  <w:vMerge w:val="continue"/>
                  <w:noWrap w:val="0"/>
                  <w:vAlign w:val="center"/>
                </w:tcPr>
                <w:p w14:paraId="1C41E1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7086" w:type="dxa"/>
                  <w:noWrap w:val="0"/>
                  <w:vAlign w:val="center"/>
                </w:tcPr>
                <w:p w14:paraId="325B154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7.2.4 堆填利用作业实施前，应制定施工方案，制定作业计划、作业工序，包括防扬尘、雨水导排等措施。</w:t>
                  </w:r>
                </w:p>
              </w:tc>
              <w:tc>
                <w:tcPr>
                  <w:tcW w:w="3494" w:type="dxa"/>
                  <w:noWrap w:val="0"/>
                  <w:vAlign w:val="center"/>
                </w:tcPr>
                <w:p w14:paraId="325BA4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堆填利用作业实施前，制定施工方案，制定作业计划、作业工序，包括防扬尘、雨水导排等措施</w:t>
                  </w:r>
                  <w:r>
                    <w:rPr>
                      <w:rFonts w:hint="eastAsia"/>
                      <w:color w:val="auto"/>
                      <w:sz w:val="21"/>
                      <w:szCs w:val="21"/>
                      <w:highlight w:val="none"/>
                      <w:lang w:eastAsia="zh-CN"/>
                    </w:rPr>
                    <w:t>。</w:t>
                  </w:r>
                </w:p>
              </w:tc>
              <w:tc>
                <w:tcPr>
                  <w:tcW w:w="814" w:type="dxa"/>
                  <w:noWrap w:val="0"/>
                  <w:vAlign w:val="center"/>
                </w:tcPr>
                <w:p w14:paraId="7CDCAC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符合</w:t>
                  </w:r>
                </w:p>
              </w:tc>
            </w:tr>
            <w:tr w14:paraId="5E2090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19" w:hRule="atLeast"/>
                <w:jc w:val="center"/>
              </w:trPr>
              <w:tc>
                <w:tcPr>
                  <w:tcW w:w="551" w:type="dxa"/>
                  <w:vMerge w:val="continue"/>
                  <w:noWrap w:val="0"/>
                  <w:vAlign w:val="center"/>
                </w:tcPr>
                <w:p w14:paraId="47E691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1264" w:type="dxa"/>
                  <w:vMerge w:val="continue"/>
                  <w:noWrap w:val="0"/>
                  <w:vAlign w:val="center"/>
                </w:tcPr>
                <w:p w14:paraId="319D28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7086" w:type="dxa"/>
                  <w:noWrap w:val="0"/>
                  <w:vAlign w:val="center"/>
                </w:tcPr>
                <w:p w14:paraId="358274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7.2.5 堆填利用作业过程中，应对作业面、场区内道路采取洒水抑尘措施，并对作业面回填压实后及时覆盖，车辆运输过程中做好密封措施</w:t>
                  </w:r>
                  <w:r>
                    <w:rPr>
                      <w:rFonts w:hint="eastAsia"/>
                      <w:color w:val="auto"/>
                      <w:sz w:val="21"/>
                      <w:szCs w:val="21"/>
                      <w:highlight w:val="none"/>
                      <w:lang w:eastAsia="zh-CN"/>
                    </w:rPr>
                    <w:t>。</w:t>
                  </w:r>
                </w:p>
              </w:tc>
              <w:tc>
                <w:tcPr>
                  <w:tcW w:w="3494" w:type="dxa"/>
                  <w:noWrap w:val="0"/>
                  <w:vAlign w:val="center"/>
                </w:tcPr>
                <w:p w14:paraId="2C6BC4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堆填利用作业过程中，对作业面、场区内道路采取洒水抑尘措施，并对作业面回填压实后及时覆盖，车辆运输过程中做好密封措施</w:t>
                  </w:r>
                  <w:r>
                    <w:rPr>
                      <w:rFonts w:hint="eastAsia"/>
                      <w:color w:val="auto"/>
                      <w:sz w:val="21"/>
                      <w:szCs w:val="21"/>
                      <w:highlight w:val="none"/>
                      <w:lang w:eastAsia="zh-CN"/>
                    </w:rPr>
                    <w:t>。</w:t>
                  </w:r>
                </w:p>
              </w:tc>
              <w:tc>
                <w:tcPr>
                  <w:tcW w:w="814" w:type="dxa"/>
                  <w:noWrap w:val="0"/>
                  <w:vAlign w:val="center"/>
                </w:tcPr>
                <w:p w14:paraId="57290A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D9101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10" w:hRule="atLeast"/>
                <w:jc w:val="center"/>
              </w:trPr>
              <w:tc>
                <w:tcPr>
                  <w:tcW w:w="551" w:type="dxa"/>
                  <w:vMerge w:val="continue"/>
                  <w:noWrap w:val="0"/>
                  <w:vAlign w:val="center"/>
                </w:tcPr>
                <w:p w14:paraId="01ECE5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1264" w:type="dxa"/>
                  <w:vMerge w:val="continue"/>
                  <w:noWrap w:val="0"/>
                  <w:vAlign w:val="center"/>
                </w:tcPr>
                <w:p w14:paraId="456F18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p>
              </w:tc>
              <w:tc>
                <w:tcPr>
                  <w:tcW w:w="7086" w:type="dxa"/>
                  <w:noWrap w:val="0"/>
                  <w:vAlign w:val="center"/>
                </w:tcPr>
                <w:p w14:paraId="76E68AA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7.2.6 堆填利用作业期间宜选用低噪音机械或采取降噪措施。</w:t>
                  </w:r>
                </w:p>
              </w:tc>
              <w:tc>
                <w:tcPr>
                  <w:tcW w:w="3494" w:type="dxa"/>
                  <w:noWrap w:val="0"/>
                  <w:vAlign w:val="center"/>
                </w:tcPr>
                <w:p w14:paraId="4376BF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eastAsia="宋体"/>
                      <w:color w:val="auto"/>
                      <w:sz w:val="21"/>
                      <w:szCs w:val="21"/>
                      <w:highlight w:val="none"/>
                      <w:lang w:eastAsia="zh-CN"/>
                    </w:rPr>
                    <w:t>堆填利用作业期间选用低噪音机械</w:t>
                  </w:r>
                  <w:r>
                    <w:rPr>
                      <w:rFonts w:hint="eastAsia"/>
                      <w:color w:val="auto"/>
                      <w:sz w:val="21"/>
                      <w:szCs w:val="21"/>
                      <w:highlight w:val="none"/>
                      <w:lang w:eastAsia="zh-CN"/>
                    </w:rPr>
                    <w:t>。</w:t>
                  </w:r>
                </w:p>
              </w:tc>
              <w:tc>
                <w:tcPr>
                  <w:tcW w:w="814" w:type="dxa"/>
                  <w:noWrap w:val="0"/>
                  <w:vAlign w:val="center"/>
                </w:tcPr>
                <w:p w14:paraId="0B4948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lang w:eastAsia="zh-CN"/>
                    </w:rPr>
                  </w:pPr>
                  <w:r>
                    <w:rPr>
                      <w:rFonts w:hint="eastAsia"/>
                      <w:color w:val="auto"/>
                      <w:sz w:val="21"/>
                      <w:szCs w:val="21"/>
                      <w:highlight w:val="none"/>
                      <w:lang w:val="en-US" w:eastAsia="zh-CN"/>
                    </w:rPr>
                    <w:t>符合</w:t>
                  </w:r>
                </w:p>
              </w:tc>
            </w:tr>
            <w:tr w14:paraId="286906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restart"/>
                  <w:noWrap w:val="0"/>
                  <w:vAlign w:val="center"/>
                </w:tcPr>
                <w:p w14:paraId="04F30303">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center"/>
                    <w:rPr>
                      <w:rFonts w:hint="default" w:eastAsia="宋体"/>
                      <w:color w:val="auto"/>
                      <w:kern w:val="0"/>
                      <w:sz w:val="21"/>
                      <w:szCs w:val="21"/>
                      <w:highlight w:val="none"/>
                      <w:lang w:val="en-US" w:eastAsia="zh-CN" w:bidi="ar"/>
                    </w:rPr>
                  </w:pPr>
                </w:p>
              </w:tc>
              <w:tc>
                <w:tcPr>
                  <w:tcW w:w="1264" w:type="dxa"/>
                  <w:vMerge w:val="restart"/>
                  <w:noWrap w:val="0"/>
                  <w:vAlign w:val="center"/>
                </w:tcPr>
                <w:p w14:paraId="09661A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8污染物监测要求</w:t>
                  </w:r>
                </w:p>
              </w:tc>
              <w:tc>
                <w:tcPr>
                  <w:tcW w:w="7086" w:type="dxa"/>
                  <w:noWrap w:val="0"/>
                  <w:vAlign w:val="center"/>
                </w:tcPr>
                <w:p w14:paraId="106FA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eastAsia="宋体"/>
                      <w:color w:val="auto"/>
                      <w:kern w:val="0"/>
                      <w:sz w:val="21"/>
                      <w:szCs w:val="21"/>
                      <w:highlight w:val="none"/>
                      <w:lang w:eastAsia="zh-CN" w:bidi="ar"/>
                    </w:rPr>
                  </w:pPr>
                  <w:r>
                    <w:rPr>
                      <w:rFonts w:hint="eastAsia" w:eastAsia="宋体"/>
                      <w:color w:val="auto"/>
                      <w:kern w:val="0"/>
                      <w:sz w:val="21"/>
                      <w:szCs w:val="21"/>
                      <w:highlight w:val="none"/>
                      <w:lang w:eastAsia="zh-CN" w:bidi="ar"/>
                    </w:rPr>
                    <w:t>8.14.2 b）中的废弃建材类用于</w:t>
                  </w:r>
                  <w:r>
                    <w:rPr>
                      <w:rFonts w:hint="eastAsia"/>
                      <w:color w:val="auto"/>
                      <w:kern w:val="0"/>
                      <w:sz w:val="21"/>
                      <w:szCs w:val="21"/>
                      <w:highlight w:val="none"/>
                      <w:lang w:eastAsia="zh-CN" w:bidi="ar"/>
                    </w:rPr>
                    <w:t>废弃采矿坑</w:t>
                  </w:r>
                  <w:r>
                    <w:rPr>
                      <w:rFonts w:hint="eastAsia" w:eastAsia="宋体"/>
                      <w:color w:val="auto"/>
                      <w:kern w:val="0"/>
                      <w:sz w:val="21"/>
                      <w:szCs w:val="21"/>
                      <w:highlight w:val="none"/>
                      <w:lang w:eastAsia="zh-CN" w:bidi="ar"/>
                    </w:rPr>
                    <w:t>（山）修复的场地和建筑垃圾填埋场，土壤监测满足以下要求：</w:t>
                  </w:r>
                </w:p>
                <w:p w14:paraId="6C8502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eastAsia="宋体"/>
                      <w:color w:val="auto"/>
                      <w:kern w:val="0"/>
                      <w:sz w:val="21"/>
                      <w:szCs w:val="21"/>
                      <w:highlight w:val="none"/>
                      <w:lang w:eastAsia="zh-CN" w:bidi="ar"/>
                    </w:rPr>
                  </w:pPr>
                  <w:r>
                    <w:rPr>
                      <w:rFonts w:hint="eastAsia" w:eastAsia="宋体"/>
                      <w:color w:val="auto"/>
                      <w:kern w:val="0"/>
                      <w:sz w:val="21"/>
                      <w:szCs w:val="21"/>
                      <w:highlight w:val="none"/>
                      <w:lang w:eastAsia="zh-CN" w:bidi="ar"/>
                    </w:rPr>
                    <w:t>a）参照HJ 25.1中采样布点方法的相关要求，在区域下游周边雨水易于汇流和积聚的区域以及区域外主导风向的下风向区域布设土壤采样监测点，采样深度根据可能影响的深度适当调整，以表层土壤为重点采样层；</w:t>
                  </w:r>
                </w:p>
                <w:p w14:paraId="607FB3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eastAsia="宋体"/>
                      <w:color w:val="auto"/>
                      <w:kern w:val="0"/>
                      <w:sz w:val="21"/>
                      <w:szCs w:val="21"/>
                      <w:highlight w:val="none"/>
                      <w:lang w:eastAsia="zh-CN" w:bidi="ar"/>
                    </w:rPr>
                  </w:pPr>
                  <w:r>
                    <w:rPr>
                      <w:rFonts w:hint="eastAsia" w:eastAsia="宋体"/>
                      <w:color w:val="auto"/>
                      <w:kern w:val="0"/>
                      <w:sz w:val="21"/>
                      <w:szCs w:val="21"/>
                      <w:highlight w:val="none"/>
                      <w:lang w:eastAsia="zh-CN" w:bidi="ar"/>
                    </w:rPr>
                    <w:t>b）监测项目应根据环境本底调查及环境风险评估结果确定，采用的监测分析方法应当符合</w:t>
                  </w:r>
                  <w:r>
                    <w:rPr>
                      <w:rFonts w:hint="eastAsia"/>
                      <w:color w:val="auto"/>
                      <w:kern w:val="0"/>
                      <w:sz w:val="21"/>
                      <w:szCs w:val="21"/>
                      <w:highlight w:val="none"/>
                      <w:lang w:val="en-US" w:eastAsia="zh-CN" w:bidi="ar"/>
                    </w:rPr>
                    <w:t>生</w:t>
                  </w:r>
                  <w:r>
                    <w:rPr>
                      <w:rFonts w:hint="eastAsia" w:eastAsia="宋体"/>
                      <w:color w:val="auto"/>
                      <w:kern w:val="0"/>
                      <w:sz w:val="21"/>
                      <w:szCs w:val="21"/>
                      <w:highlight w:val="none"/>
                      <w:lang w:eastAsia="zh-CN" w:bidi="ar"/>
                    </w:rPr>
                    <w:t>态环境监测有关规范和标准的规定；</w:t>
                  </w:r>
                </w:p>
                <w:p w14:paraId="75FCC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eastAsia="宋体"/>
                      <w:color w:val="auto"/>
                      <w:kern w:val="0"/>
                      <w:sz w:val="21"/>
                      <w:szCs w:val="21"/>
                      <w:highlight w:val="none"/>
                      <w:lang w:eastAsia="zh-CN" w:bidi="ar"/>
                    </w:rPr>
                  </w:pPr>
                  <w:r>
                    <w:rPr>
                      <w:rFonts w:hint="eastAsia" w:eastAsia="宋体"/>
                      <w:color w:val="auto"/>
                      <w:kern w:val="0"/>
                      <w:sz w:val="21"/>
                      <w:szCs w:val="21"/>
                      <w:highlight w:val="none"/>
                      <w:lang w:eastAsia="zh-CN" w:bidi="ar"/>
                    </w:rPr>
                    <w:t>c）作业或运行期间，监测频次至少每3年1次；作业结束或封场后，监测频次至少每年1次，直到相关指标连续2年不超过环境本底水平。</w:t>
                  </w:r>
                </w:p>
              </w:tc>
              <w:tc>
                <w:tcPr>
                  <w:tcW w:w="3494" w:type="dxa"/>
                  <w:noWrap w:val="0"/>
                  <w:vAlign w:val="center"/>
                </w:tcPr>
                <w:p w14:paraId="7E80CE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本项目按要求进行监测。</w:t>
                  </w:r>
                </w:p>
              </w:tc>
              <w:tc>
                <w:tcPr>
                  <w:tcW w:w="814" w:type="dxa"/>
                  <w:noWrap w:val="0"/>
                  <w:vAlign w:val="center"/>
                </w:tcPr>
                <w:p w14:paraId="685373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71E22B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3" w:hRule="atLeast"/>
                <w:jc w:val="center"/>
              </w:trPr>
              <w:tc>
                <w:tcPr>
                  <w:tcW w:w="551" w:type="dxa"/>
                  <w:vMerge w:val="continue"/>
                  <w:noWrap w:val="0"/>
                  <w:vAlign w:val="center"/>
                </w:tcPr>
                <w:p w14:paraId="52A6A25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eastAsia="宋体"/>
                      <w:color w:val="auto"/>
                      <w:kern w:val="0"/>
                      <w:sz w:val="21"/>
                      <w:szCs w:val="21"/>
                      <w:highlight w:val="none"/>
                      <w:lang w:val="en-US" w:eastAsia="zh-CN" w:bidi="ar"/>
                    </w:rPr>
                  </w:pPr>
                </w:p>
              </w:tc>
              <w:tc>
                <w:tcPr>
                  <w:tcW w:w="1264" w:type="dxa"/>
                  <w:vMerge w:val="continue"/>
                  <w:noWrap w:val="0"/>
                  <w:vAlign w:val="center"/>
                </w:tcPr>
                <w:p w14:paraId="2785E1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p>
              </w:tc>
              <w:tc>
                <w:tcPr>
                  <w:tcW w:w="7086" w:type="dxa"/>
                  <w:noWrap w:val="0"/>
                  <w:vAlign w:val="center"/>
                </w:tcPr>
                <w:p w14:paraId="45126A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8.24.2 b）中的废弃建材类用于</w:t>
                  </w:r>
                  <w:r>
                    <w:rPr>
                      <w:rFonts w:hint="eastAsia" w:cs="Times New Roman"/>
                      <w:color w:val="auto"/>
                      <w:kern w:val="0"/>
                      <w:sz w:val="21"/>
                      <w:szCs w:val="21"/>
                      <w:highlight w:val="none"/>
                      <w:lang w:val="en-US" w:eastAsia="zh-CN" w:bidi="ar"/>
                    </w:rPr>
                    <w:t>废弃采矿坑</w:t>
                  </w:r>
                  <w:r>
                    <w:rPr>
                      <w:rFonts w:hint="eastAsia" w:ascii="Times New Roman" w:hAnsi="Times New Roman" w:eastAsia="宋体" w:cs="Times New Roman"/>
                      <w:color w:val="auto"/>
                      <w:kern w:val="0"/>
                      <w:sz w:val="21"/>
                      <w:szCs w:val="21"/>
                      <w:highlight w:val="none"/>
                      <w:lang w:val="en-US" w:eastAsia="zh-CN" w:bidi="ar"/>
                    </w:rPr>
                    <w:t>（山）修复的场地和建筑垃圾填埋场，地下水监测满足以下要求：</w:t>
                  </w:r>
                </w:p>
                <w:p w14:paraId="00DBF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a）参照HJ 610中初步采样布点方法的相关要求，在区域地下水流向上游、下游，以及可能受污染物扩散影响的周边区域内布设监测井，监测井建设与管理按HJ 164的规定执行；</w:t>
                  </w:r>
                </w:p>
                <w:p w14:paraId="12A77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b）地下水监测项目应至少包括：浑浊度、pH、溶解性总固体、钙、钾、钠、硫酸盐、碳酸盐、砷、汞、总铬、六价铬、铅、镉、铁、锰、铜、锌、镍等，以及环境风险评估的关注污染因子，采用的监测分析方法应当符合生态环境监测有关规范和标准的规定。</w:t>
                  </w:r>
                </w:p>
                <w:p w14:paraId="5FE9A6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jc w:val="left"/>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c）作业或运行期间，监测频次至少每季度1次，每两次监测之间间隔不少于1个月；作业结束或封场后，监测频次至少每半年1次，直到地下水水质连续年不超出地下水本底水平</w:t>
                  </w:r>
                  <w:r>
                    <w:rPr>
                      <w:rFonts w:hint="eastAsia" w:cs="Times New Roman"/>
                      <w:color w:val="auto"/>
                      <w:kern w:val="0"/>
                      <w:sz w:val="21"/>
                      <w:szCs w:val="21"/>
                      <w:highlight w:val="none"/>
                      <w:lang w:val="en-US" w:eastAsia="zh-CN" w:bidi="ar"/>
                    </w:rPr>
                    <w:t>。</w:t>
                  </w:r>
                </w:p>
              </w:tc>
              <w:tc>
                <w:tcPr>
                  <w:tcW w:w="3494" w:type="dxa"/>
                  <w:noWrap w:val="0"/>
                  <w:vAlign w:val="center"/>
                </w:tcPr>
                <w:p w14:paraId="4E648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rPr>
                  </w:pPr>
                  <w:r>
                    <w:rPr>
                      <w:rFonts w:hint="eastAsia"/>
                      <w:color w:val="auto"/>
                      <w:sz w:val="21"/>
                      <w:szCs w:val="21"/>
                      <w:highlight w:val="none"/>
                      <w:lang w:val="en-US" w:eastAsia="zh-CN"/>
                    </w:rPr>
                    <w:t>本项目按要求进行监测。</w:t>
                  </w:r>
                </w:p>
              </w:tc>
              <w:tc>
                <w:tcPr>
                  <w:tcW w:w="814" w:type="dxa"/>
                  <w:noWrap w:val="0"/>
                  <w:vAlign w:val="center"/>
                </w:tcPr>
                <w:p w14:paraId="3739F6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030BE6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56" w:hRule="atLeast"/>
                <w:jc w:val="center"/>
              </w:trPr>
              <w:tc>
                <w:tcPr>
                  <w:tcW w:w="551" w:type="dxa"/>
                  <w:vMerge w:val="restart"/>
                  <w:noWrap w:val="0"/>
                  <w:vAlign w:val="center"/>
                </w:tcPr>
                <w:p w14:paraId="50D48046">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0" w:leftChars="0" w:firstLine="0" w:firstLineChars="0"/>
                    <w:jc w:val="center"/>
                    <w:textAlignment w:val="center"/>
                    <w:rPr>
                      <w:rFonts w:hint="eastAsia" w:eastAsia="宋体"/>
                      <w:color w:val="auto"/>
                      <w:kern w:val="0"/>
                      <w:sz w:val="21"/>
                      <w:szCs w:val="21"/>
                      <w:highlight w:val="none"/>
                      <w:lang w:val="en-US" w:eastAsia="zh-CN" w:bidi="ar"/>
                    </w:rPr>
                  </w:pPr>
                </w:p>
              </w:tc>
              <w:tc>
                <w:tcPr>
                  <w:tcW w:w="1264" w:type="dxa"/>
                  <w:vMerge w:val="restart"/>
                  <w:noWrap w:val="0"/>
                  <w:vAlign w:val="center"/>
                </w:tcPr>
                <w:p w14:paraId="3649E7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9环境管理要求</w:t>
                  </w:r>
                </w:p>
              </w:tc>
              <w:tc>
                <w:tcPr>
                  <w:tcW w:w="7086" w:type="dxa"/>
                  <w:noWrap w:val="0"/>
                  <w:vAlign w:val="center"/>
                </w:tcPr>
                <w:p w14:paraId="628F51C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zh-CN"/>
                    </w:rPr>
                  </w:pPr>
                  <w:r>
                    <w:rPr>
                      <w:rFonts w:hint="eastAsia" w:eastAsia="宋体"/>
                      <w:color w:val="auto"/>
                      <w:sz w:val="21"/>
                      <w:szCs w:val="21"/>
                      <w:highlight w:val="none"/>
                      <w:lang w:val="zh-CN"/>
                    </w:rPr>
                    <w:t>9.1 建筑垃圾产生与收集、贮存与运输、利用与处置设施或场所的运营单位应建立台账并至少记录以下内容</w:t>
                  </w:r>
                  <w:r>
                    <w:rPr>
                      <w:rFonts w:hint="eastAsia"/>
                      <w:color w:val="auto"/>
                      <w:sz w:val="21"/>
                      <w:szCs w:val="21"/>
                      <w:highlight w:val="none"/>
                      <w:lang w:val="zh-CN"/>
                    </w:rPr>
                    <w:t>：</w:t>
                  </w:r>
                </w:p>
                <w:p w14:paraId="2878BB8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zh-CN"/>
                    </w:rPr>
                  </w:pPr>
                  <w:r>
                    <w:rPr>
                      <w:rFonts w:hint="eastAsia"/>
                      <w:color w:val="auto"/>
                      <w:sz w:val="21"/>
                      <w:szCs w:val="21"/>
                      <w:highlight w:val="none"/>
                      <w:lang w:val="zh-CN"/>
                    </w:rPr>
                    <w:t>a）产生过程应明确建筑垃圾责任单位，责任单位应记录建筑垃圾类别、产生量、接收单位；</w:t>
                  </w:r>
                </w:p>
                <w:p w14:paraId="2DF12A0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zh-CN"/>
                    </w:rPr>
                  </w:pPr>
                  <w:r>
                    <w:rPr>
                      <w:rFonts w:hint="eastAsia"/>
                      <w:color w:val="auto"/>
                      <w:sz w:val="21"/>
                      <w:szCs w:val="21"/>
                      <w:highlight w:val="none"/>
                      <w:lang w:val="zh-CN"/>
                    </w:rPr>
                    <w:t>b）收集、运输单位应记录收集和运输量、运输车辆、接收单位；</w:t>
                  </w:r>
                </w:p>
                <w:p w14:paraId="2124997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zh-CN"/>
                    </w:rPr>
                  </w:pPr>
                  <w:r>
                    <w:rPr>
                      <w:rFonts w:hint="eastAsia"/>
                      <w:color w:val="auto"/>
                      <w:sz w:val="21"/>
                      <w:szCs w:val="21"/>
                      <w:highlight w:val="none"/>
                      <w:lang w:val="zh-CN"/>
                    </w:rPr>
                    <w:t>c）贮存、利用、处置单位应记录接收量、类别、去向。</w:t>
                  </w:r>
                </w:p>
              </w:tc>
              <w:tc>
                <w:tcPr>
                  <w:tcW w:w="3494" w:type="dxa"/>
                  <w:noWrap w:val="0"/>
                  <w:vAlign w:val="center"/>
                </w:tcPr>
                <w:p w14:paraId="76511A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本项目建立台账，并按要求记录。</w:t>
                  </w:r>
                </w:p>
              </w:tc>
              <w:tc>
                <w:tcPr>
                  <w:tcW w:w="814" w:type="dxa"/>
                  <w:noWrap w:val="0"/>
                  <w:vAlign w:val="center"/>
                </w:tcPr>
                <w:p w14:paraId="349AAB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FAE42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12" w:hRule="atLeast"/>
                <w:jc w:val="center"/>
              </w:trPr>
              <w:tc>
                <w:tcPr>
                  <w:tcW w:w="551" w:type="dxa"/>
                  <w:vMerge w:val="continue"/>
                  <w:noWrap w:val="0"/>
                  <w:vAlign w:val="center"/>
                </w:tcPr>
                <w:p w14:paraId="392258A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eastAsia="宋体"/>
                      <w:color w:val="auto"/>
                      <w:kern w:val="0"/>
                      <w:sz w:val="21"/>
                      <w:szCs w:val="21"/>
                      <w:highlight w:val="none"/>
                      <w:lang w:val="en-US" w:eastAsia="zh-CN" w:bidi="ar"/>
                    </w:rPr>
                  </w:pPr>
                </w:p>
              </w:tc>
              <w:tc>
                <w:tcPr>
                  <w:tcW w:w="1264" w:type="dxa"/>
                  <w:vMerge w:val="continue"/>
                  <w:noWrap w:val="0"/>
                  <w:vAlign w:val="center"/>
                </w:tcPr>
                <w:p w14:paraId="0603C7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color w:val="auto"/>
                      <w:sz w:val="21"/>
                      <w:szCs w:val="21"/>
                      <w:highlight w:val="none"/>
                      <w:lang w:val="en-US" w:eastAsia="zh-CN"/>
                    </w:rPr>
                  </w:pPr>
                </w:p>
              </w:tc>
              <w:tc>
                <w:tcPr>
                  <w:tcW w:w="7086" w:type="dxa"/>
                  <w:noWrap w:val="0"/>
                  <w:vAlign w:val="center"/>
                </w:tcPr>
                <w:p w14:paraId="513A675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9.2台账保存时间不少于5年。</w:t>
                  </w:r>
                </w:p>
              </w:tc>
              <w:tc>
                <w:tcPr>
                  <w:tcW w:w="3494" w:type="dxa"/>
                  <w:noWrap w:val="0"/>
                  <w:vAlign w:val="center"/>
                </w:tcPr>
                <w:p w14:paraId="465F64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rPr>
                  </w:pPr>
                  <w:r>
                    <w:rPr>
                      <w:rFonts w:hint="eastAsia"/>
                      <w:color w:val="auto"/>
                      <w:sz w:val="21"/>
                      <w:szCs w:val="21"/>
                      <w:highlight w:val="none"/>
                      <w:lang w:val="en-US" w:eastAsia="zh-CN"/>
                    </w:rPr>
                    <w:t>本项目按要求保存台账。</w:t>
                  </w:r>
                </w:p>
              </w:tc>
              <w:tc>
                <w:tcPr>
                  <w:tcW w:w="814" w:type="dxa"/>
                  <w:noWrap w:val="0"/>
                  <w:vAlign w:val="center"/>
                </w:tcPr>
                <w:p w14:paraId="56BF39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bl>
          <w:p w14:paraId="47E83396">
            <w:pPr>
              <w:bidi w:val="0"/>
              <w:rPr>
                <w:rFonts w:hint="eastAsia"/>
                <w:color w:val="auto"/>
                <w:highlight w:val="none"/>
                <w:lang w:val="en-US" w:eastAsia="zh-CN"/>
              </w:rPr>
            </w:pPr>
            <w:r>
              <w:rPr>
                <w:rFonts w:hint="eastAsia"/>
                <w:color w:val="auto"/>
                <w:highlight w:val="none"/>
                <w:lang w:val="en-US" w:eastAsia="zh-CN"/>
              </w:rPr>
              <w:t>由上表可知，本项目符合《建筑垃圾污染控制技术规范》（HJ 1462-2026）中相关要求。</w:t>
            </w:r>
          </w:p>
          <w:p w14:paraId="318D0B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right="0" w:rightChars="0"/>
              <w:jc w:val="left"/>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6.</w:t>
            </w:r>
            <w:r>
              <w:rPr>
                <w:rFonts w:hint="eastAsia"/>
                <w:b/>
                <w:bCs/>
                <w:color w:val="auto"/>
                <w:sz w:val="24"/>
                <w:szCs w:val="24"/>
                <w:highlight w:val="none"/>
              </w:rPr>
              <w:t>与</w:t>
            </w:r>
            <w:r>
              <w:rPr>
                <w:rFonts w:hint="eastAsia"/>
                <w:b/>
                <w:bCs/>
                <w:color w:val="auto"/>
                <w:sz w:val="24"/>
                <w:szCs w:val="24"/>
                <w:highlight w:val="none"/>
                <w:lang w:eastAsia="zh-CN"/>
              </w:rPr>
              <w:t>《</w:t>
            </w:r>
            <w:r>
              <w:rPr>
                <w:rFonts w:hint="eastAsia"/>
                <w:b/>
                <w:bCs/>
                <w:color w:val="auto"/>
                <w:sz w:val="24"/>
                <w:szCs w:val="24"/>
                <w:highlight w:val="none"/>
                <w:lang w:val="en-US" w:eastAsia="zh-CN"/>
              </w:rPr>
              <w:t>建筑垃圾处理技术标准</w:t>
            </w:r>
            <w:r>
              <w:rPr>
                <w:rFonts w:hint="eastAsia"/>
                <w:b/>
                <w:bCs/>
                <w:color w:val="auto"/>
                <w:sz w:val="24"/>
                <w:szCs w:val="24"/>
                <w:highlight w:val="none"/>
                <w:lang w:eastAsia="zh-CN"/>
              </w:rPr>
              <w:t>》（</w:t>
            </w:r>
            <w:r>
              <w:rPr>
                <w:rFonts w:hint="eastAsia"/>
                <w:b/>
                <w:bCs/>
                <w:color w:val="auto"/>
                <w:sz w:val="24"/>
                <w:szCs w:val="24"/>
                <w:highlight w:val="none"/>
                <w:lang w:val="en-US" w:eastAsia="zh-CN"/>
              </w:rPr>
              <w:t>CJJ/T 134-2019</w:t>
            </w:r>
            <w:r>
              <w:rPr>
                <w:rFonts w:hint="eastAsia"/>
                <w:b/>
                <w:bCs/>
                <w:color w:val="auto"/>
                <w:sz w:val="24"/>
                <w:szCs w:val="24"/>
                <w:highlight w:val="none"/>
                <w:lang w:eastAsia="zh-CN"/>
              </w:rPr>
              <w:t>）</w:t>
            </w:r>
            <w:r>
              <w:rPr>
                <w:rFonts w:hint="eastAsia"/>
                <w:b/>
                <w:bCs/>
                <w:color w:val="auto"/>
                <w:sz w:val="24"/>
                <w:szCs w:val="24"/>
                <w:highlight w:val="none"/>
              </w:rPr>
              <w:t>符合性</w:t>
            </w:r>
            <w:r>
              <w:rPr>
                <w:rFonts w:hint="eastAsia"/>
                <w:b/>
                <w:bCs/>
                <w:color w:val="auto"/>
                <w:sz w:val="24"/>
                <w:szCs w:val="24"/>
                <w:highlight w:val="none"/>
                <w:lang w:val="en-US" w:eastAsia="zh-CN"/>
              </w:rPr>
              <w:t>分析</w:t>
            </w:r>
          </w:p>
          <w:p w14:paraId="2ADE62A9">
            <w:pPr>
              <w:bidi w:val="0"/>
              <w:rPr>
                <w:rFonts w:hint="eastAsia"/>
                <w:b w:val="0"/>
                <w:bCs w:val="0"/>
                <w:color w:val="auto"/>
                <w:highlight w:val="none"/>
                <w:lang w:val="en-US" w:eastAsia="zh-CN"/>
              </w:rPr>
            </w:pPr>
            <w:r>
              <w:rPr>
                <w:rFonts w:hint="eastAsia"/>
                <w:b w:val="0"/>
                <w:bCs w:val="0"/>
                <w:color w:val="auto"/>
                <w:highlight w:val="none"/>
                <w:lang w:val="en-US" w:eastAsia="zh-CN"/>
              </w:rPr>
              <w:t>本项目与</w:t>
            </w:r>
            <w:r>
              <w:rPr>
                <w:rFonts w:hint="eastAsia"/>
                <w:b w:val="0"/>
                <w:bCs w:val="0"/>
                <w:color w:val="auto"/>
                <w:sz w:val="24"/>
                <w:szCs w:val="24"/>
                <w:highlight w:val="none"/>
                <w:lang w:eastAsia="zh-CN"/>
              </w:rPr>
              <w:t>《</w:t>
            </w:r>
            <w:r>
              <w:rPr>
                <w:rFonts w:hint="eastAsia"/>
                <w:b w:val="0"/>
                <w:bCs w:val="0"/>
                <w:color w:val="auto"/>
                <w:sz w:val="24"/>
                <w:szCs w:val="24"/>
                <w:highlight w:val="none"/>
                <w:lang w:val="en-US" w:eastAsia="zh-CN"/>
              </w:rPr>
              <w:t>建筑垃圾处理技术标准</w:t>
            </w:r>
            <w:r>
              <w:rPr>
                <w:rFonts w:hint="eastAsia"/>
                <w:b w:val="0"/>
                <w:bCs w:val="0"/>
                <w:color w:val="auto"/>
                <w:sz w:val="24"/>
                <w:szCs w:val="24"/>
                <w:highlight w:val="none"/>
                <w:lang w:eastAsia="zh-CN"/>
              </w:rPr>
              <w:t>》（</w:t>
            </w:r>
            <w:r>
              <w:rPr>
                <w:rFonts w:hint="eastAsia"/>
                <w:b w:val="0"/>
                <w:bCs w:val="0"/>
                <w:color w:val="auto"/>
                <w:sz w:val="24"/>
                <w:szCs w:val="24"/>
                <w:highlight w:val="none"/>
                <w:lang w:val="en-US" w:eastAsia="zh-CN"/>
              </w:rPr>
              <w:t>CJJ/T 134-2019</w:t>
            </w:r>
            <w:r>
              <w:rPr>
                <w:rFonts w:hint="eastAsia"/>
                <w:b w:val="0"/>
                <w:bCs w:val="0"/>
                <w:color w:val="auto"/>
                <w:sz w:val="24"/>
                <w:szCs w:val="24"/>
                <w:highlight w:val="none"/>
                <w:lang w:eastAsia="zh-CN"/>
              </w:rPr>
              <w:t>）</w:t>
            </w:r>
            <w:r>
              <w:rPr>
                <w:rFonts w:hint="eastAsia"/>
                <w:b w:val="0"/>
                <w:bCs w:val="0"/>
                <w:color w:val="auto"/>
                <w:highlight w:val="none"/>
                <w:lang w:val="en-US" w:eastAsia="zh-CN"/>
              </w:rPr>
              <w:t>相关要求符合性分析见下表。</w:t>
            </w:r>
          </w:p>
          <w:p w14:paraId="6D712872">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color w:val="auto"/>
                <w:highlight w:val="none"/>
                <w:lang w:val="zh-CN"/>
              </w:rPr>
            </w:pPr>
            <w:r>
              <w:rPr>
                <w:rFonts w:hint="eastAsia"/>
                <w:color w:val="auto"/>
                <w:sz w:val="21"/>
                <w:szCs w:val="21"/>
                <w:highlight w:val="none"/>
                <w:lang w:val="en-US" w:eastAsia="zh-CN"/>
              </w:rPr>
              <w:t>本</w:t>
            </w:r>
            <w:r>
              <w:rPr>
                <w:rFonts w:hint="eastAsia"/>
                <w:color w:val="auto"/>
                <w:sz w:val="21"/>
                <w:szCs w:val="21"/>
                <w:highlight w:val="none"/>
              </w:rPr>
              <w:t>项目与</w:t>
            </w:r>
            <w:r>
              <w:rPr>
                <w:rFonts w:hint="eastAsia"/>
                <w:color w:val="auto"/>
                <w:sz w:val="21"/>
                <w:szCs w:val="21"/>
                <w:highlight w:val="none"/>
                <w:lang w:val="en-US" w:eastAsia="zh-CN"/>
              </w:rPr>
              <w:t>CJJ/T 134-2019相关要求</w:t>
            </w:r>
            <w:r>
              <w:rPr>
                <w:rFonts w:hint="eastAsia"/>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1264"/>
              <w:gridCol w:w="6748"/>
              <w:gridCol w:w="3829"/>
              <w:gridCol w:w="817"/>
            </w:tblGrid>
            <w:tr w14:paraId="5C8560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noWrap w:val="0"/>
                  <w:vAlign w:val="center"/>
                </w:tcPr>
                <w:p w14:paraId="21B78C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8012" w:type="dxa"/>
                  <w:gridSpan w:val="2"/>
                  <w:noWrap w:val="0"/>
                  <w:vAlign w:val="center"/>
                </w:tcPr>
                <w:p w14:paraId="5590B1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CJJ/T 134-2019相关要求</w:t>
                  </w:r>
                </w:p>
              </w:tc>
              <w:tc>
                <w:tcPr>
                  <w:tcW w:w="3829" w:type="dxa"/>
                  <w:noWrap w:val="0"/>
                  <w:vAlign w:val="center"/>
                </w:tcPr>
                <w:p w14:paraId="773904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7" w:type="dxa"/>
                  <w:noWrap w:val="0"/>
                  <w:vAlign w:val="center"/>
                </w:tcPr>
                <w:p w14:paraId="621B8B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13EE9A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1378" w:hRule="atLeast"/>
                <w:jc w:val="center"/>
              </w:trPr>
              <w:tc>
                <w:tcPr>
                  <w:tcW w:w="551" w:type="dxa"/>
                  <w:vMerge w:val="restart"/>
                  <w:noWrap w:val="0"/>
                  <w:vAlign w:val="center"/>
                </w:tcPr>
                <w:p w14:paraId="605F3637">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25A4DA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3.基本规定</w:t>
                  </w:r>
                </w:p>
              </w:tc>
              <w:tc>
                <w:tcPr>
                  <w:tcW w:w="6748" w:type="dxa"/>
                  <w:noWrap w:val="0"/>
                  <w:vAlign w:val="center"/>
                </w:tcPr>
                <w:p w14:paraId="6909447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lang w:eastAsia="zh-CN"/>
                    </w:rPr>
                    <w:t>3.0.1建筑垃圾转运、处理、处置设施的设置应纳入当地环境卫生设施专项规划，大中型城市宜编制建筑垃圾处理处置规划</w:t>
                  </w:r>
                  <w:r>
                    <w:rPr>
                      <w:rFonts w:hint="eastAsia"/>
                      <w:color w:val="auto"/>
                      <w:sz w:val="21"/>
                      <w:szCs w:val="21"/>
                      <w:highlight w:val="none"/>
                      <w:lang w:eastAsia="zh-CN"/>
                    </w:rPr>
                    <w:t>。</w:t>
                  </w:r>
                </w:p>
              </w:tc>
              <w:tc>
                <w:tcPr>
                  <w:tcW w:w="3829" w:type="dxa"/>
                  <w:noWrap w:val="0"/>
                  <w:vAlign w:val="center"/>
                </w:tcPr>
                <w:p w14:paraId="07E9DA4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本项目符合《唐山市建筑垃圾处理设施专项规划》（2022-2035）、《迁安市建筑垃圾污染环境防治工作规划（2025-2035）》。</w:t>
                  </w:r>
                </w:p>
              </w:tc>
              <w:tc>
                <w:tcPr>
                  <w:tcW w:w="817" w:type="dxa"/>
                  <w:noWrap w:val="0"/>
                  <w:vAlign w:val="center"/>
                </w:tcPr>
                <w:p w14:paraId="228A4E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210F1D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716" w:hRule="atLeast"/>
                <w:jc w:val="center"/>
              </w:trPr>
              <w:tc>
                <w:tcPr>
                  <w:tcW w:w="551" w:type="dxa"/>
                  <w:vMerge w:val="continue"/>
                  <w:noWrap w:val="0"/>
                  <w:vAlign w:val="center"/>
                </w:tcPr>
                <w:p w14:paraId="382163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700BC2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4DBC542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3.0.2建筑垃圾应从源头分类。按照工程渣土、工程泥浆、工程垃圾、拆除垃圾和装修垃圾，应分类收集、分类运输、分类处理处置。</w:t>
                  </w:r>
                </w:p>
              </w:tc>
              <w:tc>
                <w:tcPr>
                  <w:tcW w:w="3829" w:type="dxa"/>
                  <w:shd w:val="clear" w:color="auto" w:fill="auto"/>
                  <w:noWrap w:val="0"/>
                  <w:vAlign w:val="center"/>
                </w:tcPr>
                <w:p w14:paraId="0E2C6D9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本项目对符合要求的建筑垃圾进行堆填，不涉及分类。</w:t>
                  </w:r>
                </w:p>
              </w:tc>
              <w:tc>
                <w:tcPr>
                  <w:tcW w:w="817" w:type="dxa"/>
                  <w:shd w:val="clear" w:color="auto" w:fill="auto"/>
                  <w:noWrap w:val="0"/>
                  <w:vAlign w:val="center"/>
                </w:tcPr>
                <w:p w14:paraId="2F6029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符合</w:t>
                  </w:r>
                </w:p>
              </w:tc>
            </w:tr>
            <w:tr w14:paraId="13DE80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706" w:hRule="atLeast"/>
                <w:jc w:val="center"/>
              </w:trPr>
              <w:tc>
                <w:tcPr>
                  <w:tcW w:w="551" w:type="dxa"/>
                  <w:vMerge w:val="continue"/>
                  <w:noWrap w:val="0"/>
                  <w:vAlign w:val="center"/>
                </w:tcPr>
                <w:p w14:paraId="59DE68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1DADF5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4802D37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eastAsia="宋体"/>
                      <w:color w:val="auto"/>
                      <w:sz w:val="21"/>
                      <w:szCs w:val="21"/>
                      <w:highlight w:val="none"/>
                    </w:rPr>
                    <w:t>3.0.3工程渣土、工程泥浆、工程垃圾和拆除垃圾应优先就地利用。</w:t>
                  </w:r>
                </w:p>
              </w:tc>
              <w:tc>
                <w:tcPr>
                  <w:tcW w:w="3829" w:type="dxa"/>
                  <w:noWrap w:val="0"/>
                  <w:vAlign w:val="center"/>
                </w:tcPr>
                <w:p w14:paraId="619D66B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w:t>
                  </w:r>
                </w:p>
              </w:tc>
              <w:tc>
                <w:tcPr>
                  <w:tcW w:w="817" w:type="dxa"/>
                  <w:noWrap w:val="0"/>
                  <w:vAlign w:val="center"/>
                </w:tcPr>
                <w:p w14:paraId="4ABA5A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775EA3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675" w:hRule="atLeast"/>
                <w:jc w:val="center"/>
              </w:trPr>
              <w:tc>
                <w:tcPr>
                  <w:tcW w:w="551" w:type="dxa"/>
                  <w:vMerge w:val="continue"/>
                  <w:noWrap w:val="0"/>
                  <w:vAlign w:val="center"/>
                </w:tcPr>
                <w:p w14:paraId="761BAF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589FD7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06F2D76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rPr>
                    <w:t>3.0.4拆除垃圾和装修垃圾宜按金属、木材、塑料、其他等分类收集、分类运输、分类处理处置</w:t>
                  </w:r>
                  <w:r>
                    <w:rPr>
                      <w:rFonts w:hint="eastAsia"/>
                      <w:color w:val="auto"/>
                      <w:sz w:val="21"/>
                      <w:szCs w:val="21"/>
                      <w:highlight w:val="none"/>
                      <w:lang w:eastAsia="zh-CN"/>
                    </w:rPr>
                    <w:t>。</w:t>
                  </w:r>
                </w:p>
              </w:tc>
              <w:tc>
                <w:tcPr>
                  <w:tcW w:w="3829" w:type="dxa"/>
                  <w:noWrap w:val="0"/>
                  <w:vAlign w:val="center"/>
                </w:tcPr>
                <w:p w14:paraId="4E7F96E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w:t>
                  </w:r>
                </w:p>
              </w:tc>
              <w:tc>
                <w:tcPr>
                  <w:tcW w:w="817" w:type="dxa"/>
                  <w:noWrap w:val="0"/>
                  <w:vAlign w:val="center"/>
                </w:tcPr>
                <w:p w14:paraId="1E43B9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6C177A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90" w:hRule="atLeast"/>
                <w:jc w:val="center"/>
              </w:trPr>
              <w:tc>
                <w:tcPr>
                  <w:tcW w:w="551" w:type="dxa"/>
                  <w:vMerge w:val="continue"/>
                  <w:noWrap w:val="0"/>
                  <w:vAlign w:val="center"/>
                </w:tcPr>
                <w:p w14:paraId="70D506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46450D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18E209F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eastAsia="宋体"/>
                      <w:color w:val="auto"/>
                      <w:sz w:val="21"/>
                      <w:szCs w:val="21"/>
                      <w:highlight w:val="none"/>
                    </w:rPr>
                    <w:t>3.0.5建筑垃圾收运、处理全过程不得混入生活垃圾、污泥、河道疏浚底泥、工业垃圾和危险废物等</w:t>
                  </w:r>
                  <w:r>
                    <w:rPr>
                      <w:rFonts w:hint="eastAsia"/>
                      <w:color w:val="auto"/>
                      <w:sz w:val="21"/>
                      <w:szCs w:val="21"/>
                      <w:highlight w:val="none"/>
                      <w:lang w:eastAsia="zh-CN"/>
                    </w:rPr>
                    <w:t>。</w:t>
                  </w:r>
                </w:p>
              </w:tc>
              <w:tc>
                <w:tcPr>
                  <w:tcW w:w="3829" w:type="dxa"/>
                  <w:noWrap w:val="0"/>
                  <w:vAlign w:val="center"/>
                </w:tcPr>
                <w:p w14:paraId="1D3BEC9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本项目对符合要求的建筑垃圾进行堆填，无</w:t>
                  </w:r>
                  <w:r>
                    <w:rPr>
                      <w:rFonts w:hint="eastAsia" w:eastAsia="宋体"/>
                      <w:color w:val="auto"/>
                      <w:sz w:val="21"/>
                      <w:szCs w:val="21"/>
                      <w:highlight w:val="none"/>
                    </w:rPr>
                    <w:t>生活垃圾、污泥、河道疏浚底泥、工业垃圾和危险废物</w:t>
                  </w:r>
                  <w:r>
                    <w:rPr>
                      <w:rFonts w:hint="eastAsia"/>
                      <w:color w:val="auto"/>
                      <w:sz w:val="21"/>
                      <w:szCs w:val="21"/>
                      <w:highlight w:val="none"/>
                      <w:lang w:val="en-US" w:eastAsia="zh-CN"/>
                    </w:rPr>
                    <w:t>。</w:t>
                  </w:r>
                </w:p>
              </w:tc>
              <w:tc>
                <w:tcPr>
                  <w:tcW w:w="817" w:type="dxa"/>
                  <w:noWrap w:val="0"/>
                  <w:vAlign w:val="center"/>
                </w:tcPr>
                <w:p w14:paraId="688D3F2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4306AF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2678" w:hRule="atLeast"/>
                <w:jc w:val="center"/>
              </w:trPr>
              <w:tc>
                <w:tcPr>
                  <w:tcW w:w="551" w:type="dxa"/>
                  <w:vMerge w:val="continue"/>
                  <w:noWrap w:val="0"/>
                  <w:vAlign w:val="center"/>
                </w:tcPr>
                <w:p w14:paraId="303F00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1264" w:type="dxa"/>
                  <w:vMerge w:val="continue"/>
                  <w:noWrap w:val="0"/>
                  <w:vAlign w:val="center"/>
                </w:tcPr>
                <w:p w14:paraId="5B31A9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rPr>
                  </w:pPr>
                </w:p>
              </w:tc>
              <w:tc>
                <w:tcPr>
                  <w:tcW w:w="6748" w:type="dxa"/>
                  <w:noWrap w:val="0"/>
                  <w:vAlign w:val="center"/>
                </w:tcPr>
                <w:p w14:paraId="2C746AA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eastAsia="宋体"/>
                      <w:color w:val="auto"/>
                      <w:sz w:val="21"/>
                      <w:szCs w:val="21"/>
                      <w:highlight w:val="none"/>
                    </w:rPr>
                    <w:t>3.0.6建筑垃圾宜优先考虑资源化利用，处理及利用优先次序宜按表3.0.6的规定确定</w:t>
                  </w:r>
                  <w:r>
                    <w:rPr>
                      <w:rFonts w:hint="eastAsia"/>
                      <w:color w:val="auto"/>
                      <w:sz w:val="21"/>
                      <w:szCs w:val="21"/>
                      <w:highlight w:val="none"/>
                      <w:lang w:eastAsia="zh-CN"/>
                    </w:rPr>
                    <w:t>。</w:t>
                  </w:r>
                </w:p>
                <w:p w14:paraId="0FD687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b/>
                      <w:bCs/>
                      <w:color w:val="auto"/>
                      <w:sz w:val="21"/>
                      <w:szCs w:val="21"/>
                      <w:highlight w:val="none"/>
                      <w:lang w:val="en-US" w:eastAsia="zh-CN"/>
                    </w:rPr>
                  </w:pPr>
                  <w:r>
                    <w:rPr>
                      <w:rFonts w:hint="eastAsia"/>
                      <w:b/>
                      <w:bCs/>
                      <w:color w:val="auto"/>
                      <w:sz w:val="21"/>
                      <w:szCs w:val="21"/>
                      <w:highlight w:val="none"/>
                      <w:lang w:val="en-US" w:eastAsia="zh-CN"/>
                    </w:rPr>
                    <w:t>表3.0.6  建筑垃圾处理及利用优先次序</w:t>
                  </w:r>
                </w:p>
                <w:tbl>
                  <w:tblPr>
                    <w:tblStyle w:val="30"/>
                    <w:tblW w:w="6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050"/>
                    <w:gridCol w:w="3780"/>
                  </w:tblGrid>
                  <w:tr w14:paraId="05F8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41" w:type="dxa"/>
                        <w:gridSpan w:val="2"/>
                        <w:vAlign w:val="center"/>
                      </w:tcPr>
                      <w:p w14:paraId="3C1DD0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类型</w:t>
                        </w:r>
                      </w:p>
                    </w:tc>
                    <w:tc>
                      <w:tcPr>
                        <w:tcW w:w="3781" w:type="dxa"/>
                        <w:vAlign w:val="center"/>
                      </w:tcPr>
                      <w:p w14:paraId="7C2713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处理及利用优先次序</w:t>
                        </w:r>
                      </w:p>
                    </w:tc>
                  </w:tr>
                  <w:tr w14:paraId="7DAC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vMerge w:val="restart"/>
                        <w:vAlign w:val="center"/>
                      </w:tcPr>
                      <w:p w14:paraId="7D0E48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建筑垃圾</w:t>
                        </w:r>
                      </w:p>
                    </w:tc>
                    <w:tc>
                      <w:tcPr>
                        <w:tcW w:w="2051" w:type="dxa"/>
                        <w:vAlign w:val="center"/>
                      </w:tcPr>
                      <w:p w14:paraId="61D7C7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工程渣土、工程泥浆</w:t>
                        </w:r>
                      </w:p>
                    </w:tc>
                    <w:tc>
                      <w:tcPr>
                        <w:tcW w:w="3781" w:type="dxa"/>
                        <w:vAlign w:val="center"/>
                      </w:tcPr>
                      <w:p w14:paraId="3D4967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资源化利用；堆填；作为生活垃圾填埋场覆盖用土；填埋处置</w:t>
                        </w:r>
                      </w:p>
                    </w:tc>
                  </w:tr>
                  <w:tr w14:paraId="78EE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90" w:type="dxa"/>
                        <w:vMerge w:val="continue"/>
                        <w:vAlign w:val="center"/>
                      </w:tcPr>
                      <w:p w14:paraId="423495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p>
                    </w:tc>
                    <w:tc>
                      <w:tcPr>
                        <w:tcW w:w="2051" w:type="dxa"/>
                        <w:vAlign w:val="center"/>
                      </w:tcPr>
                      <w:p w14:paraId="6AF938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工程垃圾、拆迁垃圾</w:t>
                        </w:r>
                      </w:p>
                    </w:tc>
                    <w:tc>
                      <w:tcPr>
                        <w:tcW w:w="3781" w:type="dxa"/>
                        <w:vAlign w:val="center"/>
                      </w:tcPr>
                      <w:p w14:paraId="4CA1D0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资源化利用；堆填；填埋处置</w:t>
                        </w:r>
                      </w:p>
                    </w:tc>
                  </w:tr>
                  <w:tr w14:paraId="2FDD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90" w:type="dxa"/>
                        <w:vMerge w:val="continue"/>
                        <w:vAlign w:val="center"/>
                      </w:tcPr>
                      <w:p w14:paraId="651C74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p>
                    </w:tc>
                    <w:tc>
                      <w:tcPr>
                        <w:tcW w:w="2051" w:type="dxa"/>
                        <w:vAlign w:val="center"/>
                      </w:tcPr>
                      <w:p w14:paraId="22D0D9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装修垃圾</w:t>
                        </w:r>
                      </w:p>
                    </w:tc>
                    <w:tc>
                      <w:tcPr>
                        <w:tcW w:w="3781" w:type="dxa"/>
                        <w:vAlign w:val="center"/>
                      </w:tcPr>
                      <w:p w14:paraId="54C558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资源化利用；填埋处置</w:t>
                        </w:r>
                      </w:p>
                    </w:tc>
                  </w:tr>
                </w:tbl>
                <w:p w14:paraId="2A47F7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3829" w:type="dxa"/>
                  <w:noWrap w:val="0"/>
                  <w:vAlign w:val="center"/>
                </w:tcPr>
                <w:p w14:paraId="5932CF4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rPr>
                  </w:pPr>
                  <w:r>
                    <w:rPr>
                      <w:rFonts w:hint="eastAsia"/>
                      <w:color w:val="auto"/>
                      <w:sz w:val="21"/>
                      <w:szCs w:val="21"/>
                      <w:highlight w:val="none"/>
                      <w:lang w:val="en-US" w:eastAsia="zh-CN"/>
                    </w:rPr>
                    <w:t>本项目对符合要求的建筑垃圾进行堆填。</w:t>
                  </w:r>
                </w:p>
              </w:tc>
              <w:tc>
                <w:tcPr>
                  <w:tcW w:w="817" w:type="dxa"/>
                  <w:noWrap w:val="0"/>
                  <w:vAlign w:val="center"/>
                </w:tcPr>
                <w:p w14:paraId="6AF3A4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eastAsia="宋体"/>
                      <w:color w:val="auto"/>
                      <w:sz w:val="21"/>
                      <w:szCs w:val="21"/>
                      <w:highlight w:val="none"/>
                    </w:rPr>
                  </w:pPr>
                  <w:r>
                    <w:rPr>
                      <w:rFonts w:hint="eastAsia"/>
                      <w:color w:val="auto"/>
                      <w:sz w:val="21"/>
                      <w:szCs w:val="21"/>
                      <w:highlight w:val="none"/>
                      <w:lang w:val="en-US" w:eastAsia="zh-CN"/>
                    </w:rPr>
                    <w:t>符合</w:t>
                  </w:r>
                </w:p>
              </w:tc>
            </w:tr>
            <w:tr w14:paraId="0E4D67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cantSplit/>
                <w:trHeight w:val="720" w:hRule="atLeast"/>
                <w:jc w:val="center"/>
              </w:trPr>
              <w:tc>
                <w:tcPr>
                  <w:tcW w:w="551" w:type="dxa"/>
                  <w:vMerge w:val="restart"/>
                  <w:noWrap w:val="0"/>
                  <w:vAlign w:val="center"/>
                </w:tcPr>
                <w:p w14:paraId="261C227B">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restart"/>
                  <w:noWrap w:val="0"/>
                  <w:vAlign w:val="center"/>
                </w:tcPr>
                <w:p w14:paraId="6B1152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5.厂（场）址选择</w:t>
                  </w:r>
                </w:p>
              </w:tc>
              <w:tc>
                <w:tcPr>
                  <w:tcW w:w="6748" w:type="dxa"/>
                  <w:noWrap w:val="0"/>
                  <w:vAlign w:val="center"/>
                </w:tcPr>
                <w:p w14:paraId="240042B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5.0.2填埋场宜优先选用废弃的采矿坑、滩涂造地等。</w:t>
                  </w:r>
                </w:p>
              </w:tc>
              <w:tc>
                <w:tcPr>
                  <w:tcW w:w="3829" w:type="dxa"/>
                  <w:noWrap w:val="0"/>
                  <w:vAlign w:val="center"/>
                </w:tcPr>
                <w:p w14:paraId="1FA787E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本项目主要利用现有废弃低洼坑塘堆填建筑垃圾。</w:t>
                  </w:r>
                </w:p>
              </w:tc>
              <w:tc>
                <w:tcPr>
                  <w:tcW w:w="817" w:type="dxa"/>
                  <w:noWrap w:val="0"/>
                  <w:vAlign w:val="center"/>
                </w:tcPr>
                <w:p w14:paraId="353D78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AAA6A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310B385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center"/>
                    <w:rPr>
                      <w:color w:val="auto"/>
                      <w:sz w:val="21"/>
                      <w:szCs w:val="21"/>
                      <w:highlight w:val="none"/>
                    </w:rPr>
                  </w:pPr>
                </w:p>
              </w:tc>
              <w:tc>
                <w:tcPr>
                  <w:tcW w:w="1264" w:type="dxa"/>
                  <w:vMerge w:val="continue"/>
                  <w:noWrap w:val="0"/>
                  <w:vAlign w:val="center"/>
                </w:tcPr>
                <w:p w14:paraId="27AD1A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1067A6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5.0.4资源化利用和填选处置工程选址应符合下列规定：</w:t>
                  </w:r>
                </w:p>
                <w:p w14:paraId="10B178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1.应符合当地城市总体规划、环境卫生设施专项规划以及国家现行有关标准的规定。</w:t>
                  </w:r>
                </w:p>
                <w:p w14:paraId="069B553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2.应与当地的大气防护、水土资源保护、自然保护及生态平衡要求相一致。</w:t>
                  </w:r>
                </w:p>
                <w:p w14:paraId="1872B44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3.工程地质与水文地质条件应满足设施建设和运行的要求，不应选在发震断层、滑坡、泥石流、沼泽、流沙及采矿陷落区等地区。</w:t>
                  </w:r>
                </w:p>
                <w:p w14:paraId="0FD230F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4.应交通方便、运距合理，并应综合建筑垃圾处理厂的服务区域、建筑垃圾收集运输能力、产品出路、预留发展等因素。</w:t>
                  </w:r>
                </w:p>
                <w:p w14:paraId="064B819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5.应有良好的电力、给水和排水条件。</w:t>
                  </w:r>
                </w:p>
                <w:p w14:paraId="49CD1D3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6.应位于地下水贫乏地区、环境保护目标区域的地下水流向得下游地区，及夏季主导风向下风向。</w:t>
                  </w:r>
                </w:p>
                <w:p w14:paraId="7921F65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7厂址不应受洪水、潮水或内涝的威胁。当必须建在该类地区时，应有可靠的防洪、排涝措施，其防洪标准应符合现行国家标准《防洪标准》GB50201的有关规定。</w:t>
                  </w:r>
                </w:p>
              </w:tc>
              <w:tc>
                <w:tcPr>
                  <w:tcW w:w="3829" w:type="dxa"/>
                  <w:noWrap w:val="0"/>
                  <w:vAlign w:val="center"/>
                </w:tcPr>
                <w:p w14:paraId="1B97A227">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both"/>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本项目符合当地城市总体规划、环境卫生设施专项规划以及国家现行有关标准的规定。</w:t>
                  </w:r>
                </w:p>
                <w:p w14:paraId="5AF91334">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本项目与当地的大气防护、水土资源保护、自然保护及生态平衡要求相一致。</w:t>
                  </w:r>
                </w:p>
                <w:p w14:paraId="17C9E56E">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本项目工程地质与水文地质条件满足设施建设和运行的要求，不在发震断层、滑坡、泥石流、沼泽、流沙及采矿陷落区等地区。</w:t>
                  </w:r>
                </w:p>
                <w:p w14:paraId="3E22A6AA">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本项目交通方便、运距合理。</w:t>
                  </w:r>
                </w:p>
                <w:p w14:paraId="4E4DB7AA">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本项目有良好的电力、给水条件，无废水外排。</w:t>
                  </w:r>
                </w:p>
                <w:p w14:paraId="50CA52F5">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本项目周边无环境保护目标。</w:t>
                  </w:r>
                </w:p>
                <w:p w14:paraId="1FF70FA4">
                  <w:pPr>
                    <w:keepNext w:val="0"/>
                    <w:keepLines w:val="0"/>
                    <w:pageBreakBefore w:val="0"/>
                    <w:widowControl w:val="0"/>
                    <w:numPr>
                      <w:ilvl w:val="0"/>
                      <w:numId w:val="6"/>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本项目厂址不受洪水、潮水或内涝的威胁。</w:t>
                  </w:r>
                </w:p>
              </w:tc>
              <w:tc>
                <w:tcPr>
                  <w:tcW w:w="817" w:type="dxa"/>
                  <w:noWrap w:val="0"/>
                  <w:vAlign w:val="center"/>
                </w:tcPr>
                <w:p w14:paraId="015805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F285D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626" w:hRule="atLeast"/>
                <w:jc w:val="center"/>
              </w:trPr>
              <w:tc>
                <w:tcPr>
                  <w:tcW w:w="551" w:type="dxa"/>
                  <w:noWrap w:val="0"/>
                  <w:vAlign w:val="center"/>
                </w:tcPr>
                <w:p w14:paraId="101CEA7D">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noWrap w:val="0"/>
                  <w:vAlign w:val="center"/>
                </w:tcPr>
                <w:p w14:paraId="0ECB94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6.总体设计</w:t>
                  </w:r>
                </w:p>
              </w:tc>
              <w:tc>
                <w:tcPr>
                  <w:tcW w:w="6748" w:type="dxa"/>
                  <w:noWrap w:val="0"/>
                  <w:vAlign w:val="center"/>
                </w:tcPr>
                <w:p w14:paraId="3E78C99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6.1.2主体设施构成应包括如下内容：</w:t>
                  </w:r>
                </w:p>
                <w:p w14:paraId="31875F0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堆填处理工程应包括计量设施、</w:t>
                  </w:r>
                  <w:r>
                    <w:rPr>
                      <w:rFonts w:hint="eastAsia"/>
                      <w:color w:val="auto"/>
                      <w:sz w:val="21"/>
                      <w:szCs w:val="21"/>
                      <w:highlight w:val="none"/>
                      <w:lang w:val="en-US" w:eastAsia="zh-CN"/>
                    </w:rPr>
                    <w:t>预</w:t>
                  </w:r>
                  <w:r>
                    <w:rPr>
                      <w:rFonts w:hint="default"/>
                      <w:color w:val="auto"/>
                      <w:sz w:val="21"/>
                      <w:szCs w:val="21"/>
                      <w:highlight w:val="none"/>
                      <w:lang w:val="en-US" w:eastAsia="zh-CN"/>
                    </w:rPr>
                    <w:t>处理系统、垃圾坝、地基处理、防洪及雨水导排系统、地下水导排系统、场区道路、封场工程及监测井等。</w:t>
                  </w:r>
                </w:p>
              </w:tc>
              <w:tc>
                <w:tcPr>
                  <w:tcW w:w="3829" w:type="dxa"/>
                  <w:noWrap w:val="0"/>
                  <w:vAlign w:val="center"/>
                </w:tcPr>
                <w:p w14:paraId="258A8AE2">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本项目包含</w:t>
                  </w:r>
                  <w:r>
                    <w:rPr>
                      <w:rFonts w:hint="default"/>
                      <w:color w:val="auto"/>
                      <w:sz w:val="21"/>
                      <w:szCs w:val="21"/>
                      <w:highlight w:val="none"/>
                      <w:lang w:val="en-US" w:eastAsia="zh-CN"/>
                    </w:rPr>
                    <w:t>计量设施、垃圾坝、地基处理、防洪及雨水导排系统、地下水导排系统、场区道路、封场工程及监测井</w:t>
                  </w:r>
                  <w:r>
                    <w:rPr>
                      <w:rFonts w:hint="eastAsia"/>
                      <w:color w:val="auto"/>
                      <w:sz w:val="21"/>
                      <w:szCs w:val="21"/>
                      <w:highlight w:val="none"/>
                      <w:lang w:val="en-US" w:eastAsia="zh-CN"/>
                    </w:rPr>
                    <w:t>，本项目对符合要求的建筑垃圾进行堆填，不涉及预处理。</w:t>
                  </w:r>
                </w:p>
              </w:tc>
              <w:tc>
                <w:tcPr>
                  <w:tcW w:w="817" w:type="dxa"/>
                  <w:noWrap w:val="0"/>
                  <w:vAlign w:val="center"/>
                </w:tcPr>
                <w:p w14:paraId="48924A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4257C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89" w:hRule="atLeast"/>
                <w:jc w:val="center"/>
              </w:trPr>
              <w:tc>
                <w:tcPr>
                  <w:tcW w:w="551" w:type="dxa"/>
                  <w:vMerge w:val="restart"/>
                  <w:noWrap w:val="0"/>
                  <w:vAlign w:val="center"/>
                </w:tcPr>
                <w:p w14:paraId="038B7571">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restart"/>
                  <w:noWrap w:val="0"/>
                  <w:vAlign w:val="center"/>
                </w:tcPr>
                <w:p w14:paraId="6C6DC2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9.堆填</w:t>
                  </w:r>
                </w:p>
              </w:tc>
              <w:tc>
                <w:tcPr>
                  <w:tcW w:w="6748" w:type="dxa"/>
                  <w:noWrap w:val="0"/>
                  <w:vAlign w:val="center"/>
                </w:tcPr>
                <w:p w14:paraId="2217C7F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9.1一般规定</w:t>
                  </w:r>
                </w:p>
                <w:p w14:paraId="158E2BD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9.1.1堆填宜优先选择开挖工程渣土、工程泥浆、工程垃圾等。</w:t>
                  </w:r>
                </w:p>
              </w:tc>
              <w:tc>
                <w:tcPr>
                  <w:tcW w:w="3829" w:type="dxa"/>
                  <w:noWrap w:val="0"/>
                  <w:vAlign w:val="center"/>
                </w:tcPr>
                <w:p w14:paraId="3FA58650">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本项目对符合要求的建筑垃圾进行堆填，主要包括</w:t>
                  </w:r>
                  <w:r>
                    <w:rPr>
                      <w:rFonts w:hint="default"/>
                      <w:color w:val="auto"/>
                      <w:sz w:val="21"/>
                      <w:szCs w:val="21"/>
                      <w:highlight w:val="none"/>
                      <w:lang w:val="en-US" w:eastAsia="zh-CN"/>
                    </w:rPr>
                    <w:t>开挖工程渣土、工程泥浆、工程垃圾</w:t>
                  </w:r>
                  <w:r>
                    <w:rPr>
                      <w:rFonts w:hint="eastAsia"/>
                      <w:color w:val="auto"/>
                      <w:sz w:val="21"/>
                      <w:szCs w:val="21"/>
                      <w:highlight w:val="none"/>
                      <w:lang w:val="en-US" w:eastAsia="zh-CN"/>
                    </w:rPr>
                    <w:t>等。</w:t>
                  </w:r>
                </w:p>
              </w:tc>
              <w:tc>
                <w:tcPr>
                  <w:tcW w:w="817" w:type="dxa"/>
                  <w:noWrap w:val="0"/>
                  <w:vAlign w:val="center"/>
                </w:tcPr>
                <w:p w14:paraId="581C5A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FCAFF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60" w:hRule="atLeast"/>
                <w:jc w:val="center"/>
              </w:trPr>
              <w:tc>
                <w:tcPr>
                  <w:tcW w:w="551" w:type="dxa"/>
                  <w:vMerge w:val="continue"/>
                  <w:noWrap w:val="0"/>
                  <w:vAlign w:val="center"/>
                </w:tcPr>
                <w:p w14:paraId="467C5600">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7D4DA3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6A4D2B7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9.1.2进场物料粒径宜小于0.3m，大粒径物料宜先进行破碎预处理且级配合理方可堆填</w:t>
                  </w:r>
                  <w:r>
                    <w:rPr>
                      <w:rFonts w:hint="eastAsia"/>
                      <w:color w:val="auto"/>
                      <w:sz w:val="21"/>
                      <w:szCs w:val="21"/>
                      <w:highlight w:val="none"/>
                      <w:lang w:val="en-US" w:eastAsia="zh-CN"/>
                    </w:rPr>
                    <w:t>。</w:t>
                  </w:r>
                </w:p>
              </w:tc>
              <w:tc>
                <w:tcPr>
                  <w:tcW w:w="3829" w:type="dxa"/>
                  <w:noWrap w:val="0"/>
                  <w:vAlign w:val="center"/>
                </w:tcPr>
                <w:p w14:paraId="33B9C3C6">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本项目堆填&lt;0.3m的建筑垃圾。</w:t>
                  </w:r>
                </w:p>
              </w:tc>
              <w:tc>
                <w:tcPr>
                  <w:tcW w:w="817" w:type="dxa"/>
                  <w:noWrap w:val="0"/>
                  <w:vAlign w:val="center"/>
                </w:tcPr>
                <w:p w14:paraId="311B05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3F8A2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3" w:hRule="atLeast"/>
                <w:jc w:val="center"/>
              </w:trPr>
              <w:tc>
                <w:tcPr>
                  <w:tcW w:w="551" w:type="dxa"/>
                  <w:vMerge w:val="continue"/>
                  <w:noWrap w:val="0"/>
                  <w:vAlign w:val="center"/>
                </w:tcPr>
                <w:p w14:paraId="6801B303">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1D54BA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2378F02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9.1.3进场物料中废沥青、废旧管材、废旧木材、金属、橡</w:t>
                  </w:r>
                  <w:r>
                    <w:rPr>
                      <w:rFonts w:hint="eastAsia"/>
                      <w:color w:val="auto"/>
                      <w:sz w:val="21"/>
                      <w:szCs w:val="21"/>
                      <w:highlight w:val="none"/>
                      <w:lang w:val="en-US" w:eastAsia="zh-CN"/>
                    </w:rPr>
                    <w:t>（</w:t>
                  </w:r>
                  <w:r>
                    <w:rPr>
                      <w:rFonts w:hint="default"/>
                      <w:color w:val="auto"/>
                      <w:sz w:val="21"/>
                      <w:szCs w:val="21"/>
                      <w:highlight w:val="none"/>
                      <w:lang w:val="en-US" w:eastAsia="zh-CN"/>
                    </w:rPr>
                    <w:t>胶</w:t>
                  </w:r>
                  <w:r>
                    <w:rPr>
                      <w:rFonts w:hint="eastAsia"/>
                      <w:color w:val="auto"/>
                      <w:sz w:val="21"/>
                      <w:szCs w:val="21"/>
                      <w:highlight w:val="none"/>
                      <w:lang w:val="en-US" w:eastAsia="zh-CN"/>
                    </w:rPr>
                    <w:t>）</w:t>
                  </w:r>
                  <w:r>
                    <w:rPr>
                      <w:rFonts w:hint="default"/>
                      <w:color w:val="auto"/>
                      <w:sz w:val="21"/>
                      <w:szCs w:val="21"/>
                      <w:highlight w:val="none"/>
                      <w:lang w:val="en-US" w:eastAsia="zh-CN"/>
                    </w:rPr>
                    <w:t>塑</w:t>
                  </w:r>
                  <w:r>
                    <w:rPr>
                      <w:rFonts w:hint="eastAsia"/>
                      <w:color w:val="auto"/>
                      <w:sz w:val="21"/>
                      <w:szCs w:val="21"/>
                      <w:highlight w:val="none"/>
                      <w:lang w:val="en-US" w:eastAsia="zh-CN"/>
                    </w:rPr>
                    <w:t>（料）</w:t>
                  </w:r>
                  <w:r>
                    <w:rPr>
                      <w:rFonts w:hint="default"/>
                      <w:color w:val="auto"/>
                      <w:sz w:val="21"/>
                      <w:szCs w:val="21"/>
                      <w:highlight w:val="none"/>
                      <w:lang w:val="en-US" w:eastAsia="zh-CN"/>
                    </w:rPr>
                    <w:t>、竹木、纺织物等含量不大于5%时可进行堆填处理。</w:t>
                  </w:r>
                </w:p>
              </w:tc>
              <w:tc>
                <w:tcPr>
                  <w:tcW w:w="3829" w:type="dxa"/>
                  <w:noWrap w:val="0"/>
                  <w:vAlign w:val="center"/>
                </w:tcPr>
                <w:p w14:paraId="202B26EE">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本项目堆填的建筑垃圾中</w:t>
                  </w:r>
                  <w:r>
                    <w:rPr>
                      <w:rFonts w:hint="default"/>
                      <w:color w:val="auto"/>
                      <w:sz w:val="21"/>
                      <w:szCs w:val="21"/>
                      <w:highlight w:val="none"/>
                      <w:lang w:val="en-US" w:eastAsia="zh-CN"/>
                    </w:rPr>
                    <w:t>废旧管材、废旧木材、竹木、纺织物等含量不大于5%</w:t>
                  </w:r>
                  <w:r>
                    <w:rPr>
                      <w:rFonts w:hint="eastAsia"/>
                      <w:color w:val="auto"/>
                      <w:sz w:val="21"/>
                      <w:szCs w:val="21"/>
                      <w:highlight w:val="none"/>
                      <w:lang w:val="en-US" w:eastAsia="zh-CN"/>
                    </w:rPr>
                    <w:t>，不含废沥青、金属</w:t>
                  </w:r>
                  <w:r>
                    <w:rPr>
                      <w:rFonts w:hint="default"/>
                      <w:color w:val="auto"/>
                      <w:sz w:val="21"/>
                      <w:szCs w:val="21"/>
                      <w:highlight w:val="none"/>
                      <w:lang w:val="en-US" w:eastAsia="zh-CN"/>
                    </w:rPr>
                    <w:t>、橡</w:t>
                  </w:r>
                  <w:r>
                    <w:rPr>
                      <w:rFonts w:hint="eastAsia"/>
                      <w:color w:val="auto"/>
                      <w:sz w:val="21"/>
                      <w:szCs w:val="21"/>
                      <w:highlight w:val="none"/>
                      <w:lang w:val="en-US" w:eastAsia="zh-CN"/>
                    </w:rPr>
                    <w:t>（</w:t>
                  </w:r>
                  <w:r>
                    <w:rPr>
                      <w:rFonts w:hint="default"/>
                      <w:color w:val="auto"/>
                      <w:sz w:val="21"/>
                      <w:szCs w:val="21"/>
                      <w:highlight w:val="none"/>
                      <w:lang w:val="en-US" w:eastAsia="zh-CN"/>
                    </w:rPr>
                    <w:t>胶</w:t>
                  </w:r>
                  <w:r>
                    <w:rPr>
                      <w:rFonts w:hint="eastAsia"/>
                      <w:color w:val="auto"/>
                      <w:sz w:val="21"/>
                      <w:szCs w:val="21"/>
                      <w:highlight w:val="none"/>
                      <w:lang w:val="en-US" w:eastAsia="zh-CN"/>
                    </w:rPr>
                    <w:t>）</w:t>
                  </w:r>
                  <w:r>
                    <w:rPr>
                      <w:rFonts w:hint="default"/>
                      <w:color w:val="auto"/>
                      <w:sz w:val="21"/>
                      <w:szCs w:val="21"/>
                      <w:highlight w:val="none"/>
                      <w:lang w:val="en-US" w:eastAsia="zh-CN"/>
                    </w:rPr>
                    <w:t>塑</w:t>
                  </w:r>
                  <w:r>
                    <w:rPr>
                      <w:rFonts w:hint="eastAsia"/>
                      <w:color w:val="auto"/>
                      <w:sz w:val="21"/>
                      <w:szCs w:val="21"/>
                      <w:highlight w:val="none"/>
                      <w:lang w:val="en-US" w:eastAsia="zh-CN"/>
                    </w:rPr>
                    <w:t>（料）。</w:t>
                  </w:r>
                </w:p>
              </w:tc>
              <w:tc>
                <w:tcPr>
                  <w:tcW w:w="817" w:type="dxa"/>
                  <w:noWrap w:val="0"/>
                  <w:vAlign w:val="center"/>
                </w:tcPr>
                <w:p w14:paraId="43BB0B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C3E0B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42" w:hRule="atLeast"/>
                <w:jc w:val="center"/>
              </w:trPr>
              <w:tc>
                <w:tcPr>
                  <w:tcW w:w="551" w:type="dxa"/>
                  <w:vMerge w:val="continue"/>
                  <w:noWrap w:val="0"/>
                  <w:vAlign w:val="center"/>
                </w:tcPr>
                <w:p w14:paraId="54166BE3">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3CB01B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5525208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9.1.4工程渣土与泥浆应经预处理改善高含水率、高黏度、易流变、高持水性和低渗透系数的特性，改性后的物料含水率小于40%、相关力学指标符合标准要求后方可堆填</w:t>
                  </w:r>
                  <w:r>
                    <w:rPr>
                      <w:rFonts w:hint="eastAsia"/>
                      <w:color w:val="auto"/>
                      <w:sz w:val="21"/>
                      <w:szCs w:val="21"/>
                      <w:highlight w:val="none"/>
                      <w:lang w:val="en-US" w:eastAsia="zh-CN"/>
                    </w:rPr>
                    <w:t>。</w:t>
                  </w:r>
                </w:p>
              </w:tc>
              <w:tc>
                <w:tcPr>
                  <w:tcW w:w="3829" w:type="dxa"/>
                  <w:noWrap w:val="0"/>
                  <w:vAlign w:val="center"/>
                </w:tcPr>
                <w:p w14:paraId="1D3DEE77">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本项目对符合要求的建筑垃圾进行堆填。</w:t>
                  </w:r>
                </w:p>
              </w:tc>
              <w:tc>
                <w:tcPr>
                  <w:tcW w:w="817" w:type="dxa"/>
                  <w:noWrap w:val="0"/>
                  <w:vAlign w:val="center"/>
                </w:tcPr>
                <w:p w14:paraId="01C1EE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7E823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4" w:hRule="atLeast"/>
                <w:jc w:val="center"/>
              </w:trPr>
              <w:tc>
                <w:tcPr>
                  <w:tcW w:w="551" w:type="dxa"/>
                  <w:vMerge w:val="continue"/>
                  <w:noWrap w:val="0"/>
                  <w:vAlign w:val="center"/>
                </w:tcPr>
                <w:p w14:paraId="3E82179E">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5FBB51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1A36DB8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9.1.5堆填前应清除基底的垃圾、树根等杂物，抽除坑穴积水、淤泥，验收基底标高。如在耕植土或松土上填方，应在基底压实后再进行。</w:t>
                  </w:r>
                </w:p>
              </w:tc>
              <w:tc>
                <w:tcPr>
                  <w:tcW w:w="3829" w:type="dxa"/>
                  <w:noWrap w:val="0"/>
                  <w:vAlign w:val="center"/>
                </w:tcPr>
                <w:p w14:paraId="30FA47E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堆填前清除基底的垃圾、树根</w:t>
                  </w:r>
                  <w:r>
                    <w:rPr>
                      <w:rFonts w:hint="eastAsia"/>
                      <w:color w:val="auto"/>
                      <w:sz w:val="21"/>
                      <w:szCs w:val="21"/>
                      <w:highlight w:val="none"/>
                      <w:lang w:val="en-US" w:eastAsia="zh-CN"/>
                    </w:rPr>
                    <w:t>、淤泥</w:t>
                  </w:r>
                  <w:r>
                    <w:rPr>
                      <w:rFonts w:hint="default"/>
                      <w:color w:val="auto"/>
                      <w:sz w:val="21"/>
                      <w:szCs w:val="21"/>
                      <w:highlight w:val="none"/>
                      <w:lang w:val="en-US" w:eastAsia="zh-CN"/>
                    </w:rPr>
                    <w:t>等杂物，</w:t>
                  </w:r>
                  <w:r>
                    <w:rPr>
                      <w:rFonts w:hint="eastAsia"/>
                      <w:color w:val="auto"/>
                      <w:sz w:val="21"/>
                      <w:szCs w:val="21"/>
                      <w:highlight w:val="none"/>
                      <w:lang w:val="en-US" w:eastAsia="zh-CN"/>
                    </w:rPr>
                    <w:t>现状场地内无积水，施工过程结合场地积水情况进行抽除</w:t>
                  </w:r>
                  <w:r>
                    <w:rPr>
                      <w:rFonts w:hint="default"/>
                      <w:color w:val="auto"/>
                      <w:sz w:val="21"/>
                      <w:szCs w:val="21"/>
                      <w:highlight w:val="none"/>
                      <w:lang w:val="en-US" w:eastAsia="zh-CN"/>
                    </w:rPr>
                    <w:t>，</w:t>
                  </w:r>
                  <w:r>
                    <w:rPr>
                      <w:rFonts w:hint="eastAsia"/>
                      <w:color w:val="auto"/>
                      <w:sz w:val="21"/>
                      <w:szCs w:val="21"/>
                      <w:highlight w:val="none"/>
                      <w:lang w:val="en-US" w:eastAsia="zh-CN"/>
                    </w:rPr>
                    <w:t>压实基底，</w:t>
                  </w:r>
                  <w:r>
                    <w:rPr>
                      <w:rFonts w:hint="default"/>
                      <w:color w:val="auto"/>
                      <w:sz w:val="21"/>
                      <w:szCs w:val="21"/>
                      <w:highlight w:val="none"/>
                      <w:lang w:val="en-US" w:eastAsia="zh-CN"/>
                    </w:rPr>
                    <w:t>验收基底标高。</w:t>
                  </w:r>
                </w:p>
              </w:tc>
              <w:tc>
                <w:tcPr>
                  <w:tcW w:w="817" w:type="dxa"/>
                  <w:noWrap w:val="0"/>
                  <w:vAlign w:val="center"/>
                </w:tcPr>
                <w:p w14:paraId="429E3E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EE89B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564" w:hRule="atLeast"/>
                <w:jc w:val="center"/>
              </w:trPr>
              <w:tc>
                <w:tcPr>
                  <w:tcW w:w="551" w:type="dxa"/>
                  <w:vMerge w:val="continue"/>
                  <w:noWrap w:val="0"/>
                  <w:vAlign w:val="center"/>
                </w:tcPr>
                <w:p w14:paraId="2BC3DD36">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6797F2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6A2EFC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9.2堆填要求</w:t>
                  </w:r>
                </w:p>
                <w:p w14:paraId="06D3A3F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9.2.1填方应尽量选用同性质土料堆填。</w:t>
                  </w:r>
                </w:p>
              </w:tc>
              <w:tc>
                <w:tcPr>
                  <w:tcW w:w="3829" w:type="dxa"/>
                  <w:noWrap w:val="0"/>
                  <w:vAlign w:val="center"/>
                </w:tcPr>
                <w:p w14:paraId="6A29398C">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优先</w:t>
                  </w:r>
                  <w:r>
                    <w:rPr>
                      <w:rFonts w:hint="default"/>
                      <w:color w:val="auto"/>
                      <w:sz w:val="21"/>
                      <w:szCs w:val="21"/>
                      <w:highlight w:val="none"/>
                      <w:lang w:val="en-US" w:eastAsia="zh-CN"/>
                    </w:rPr>
                    <w:t>选用同性质土料堆填</w:t>
                  </w:r>
                  <w:r>
                    <w:rPr>
                      <w:rFonts w:hint="eastAsia"/>
                      <w:color w:val="auto"/>
                      <w:sz w:val="21"/>
                      <w:szCs w:val="21"/>
                      <w:highlight w:val="none"/>
                      <w:lang w:val="en-US" w:eastAsia="zh-CN"/>
                    </w:rPr>
                    <w:t>。</w:t>
                  </w:r>
                </w:p>
              </w:tc>
              <w:tc>
                <w:tcPr>
                  <w:tcW w:w="817" w:type="dxa"/>
                  <w:noWrap w:val="0"/>
                  <w:vAlign w:val="center"/>
                </w:tcPr>
                <w:p w14:paraId="06892D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42D9F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AC0925A">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5032D7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46B22EB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9.2.2堆填场应设置排水措施，雨季作业时，应采取措施防止地面水流入堆填点内部，避免边坡塌方。</w:t>
                  </w:r>
                </w:p>
              </w:tc>
              <w:tc>
                <w:tcPr>
                  <w:tcW w:w="3829" w:type="dxa"/>
                  <w:noWrap w:val="0"/>
                  <w:vAlign w:val="center"/>
                </w:tcPr>
                <w:p w14:paraId="72B4AE90">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堆填场设置排水措施，雨季作业时，采取措施防止地面水流入堆填点内部，避免边坡塌方</w:t>
                  </w:r>
                  <w:r>
                    <w:rPr>
                      <w:rFonts w:hint="eastAsia"/>
                      <w:color w:val="auto"/>
                      <w:sz w:val="21"/>
                      <w:szCs w:val="21"/>
                      <w:highlight w:val="none"/>
                      <w:lang w:val="en-US" w:eastAsia="zh-CN"/>
                    </w:rPr>
                    <w:t>。</w:t>
                  </w:r>
                </w:p>
              </w:tc>
              <w:tc>
                <w:tcPr>
                  <w:tcW w:w="817" w:type="dxa"/>
                  <w:noWrap w:val="0"/>
                  <w:vAlign w:val="center"/>
                </w:tcPr>
                <w:p w14:paraId="4BBC98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A2798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76" w:hRule="atLeast"/>
                <w:jc w:val="center"/>
              </w:trPr>
              <w:tc>
                <w:tcPr>
                  <w:tcW w:w="551" w:type="dxa"/>
                  <w:vMerge w:val="continue"/>
                  <w:noWrap w:val="0"/>
                  <w:vAlign w:val="center"/>
                </w:tcPr>
                <w:p w14:paraId="16C66A27">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4B9D0D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5714614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9.2.3在堆填现场主要出入口宜设置洗车台，外出车辆宜冲洗干净后进入市政道路。</w:t>
                  </w:r>
                </w:p>
              </w:tc>
              <w:tc>
                <w:tcPr>
                  <w:tcW w:w="3829" w:type="dxa"/>
                  <w:noWrap w:val="0"/>
                  <w:vAlign w:val="center"/>
                </w:tcPr>
                <w:p w14:paraId="766B16B2">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主要出入口设置洗车</w:t>
                  </w:r>
                  <w:r>
                    <w:rPr>
                      <w:rFonts w:hint="eastAsia"/>
                      <w:color w:val="auto"/>
                      <w:sz w:val="21"/>
                      <w:szCs w:val="21"/>
                      <w:highlight w:val="none"/>
                      <w:lang w:val="en-US" w:eastAsia="zh-CN"/>
                    </w:rPr>
                    <w:t>平台</w:t>
                  </w:r>
                  <w:r>
                    <w:rPr>
                      <w:rFonts w:hint="default"/>
                      <w:color w:val="auto"/>
                      <w:sz w:val="21"/>
                      <w:szCs w:val="21"/>
                      <w:highlight w:val="none"/>
                      <w:lang w:val="en-US" w:eastAsia="zh-CN"/>
                    </w:rPr>
                    <w:t>，外出车辆冲洗干净后进入市政道路</w:t>
                  </w:r>
                  <w:r>
                    <w:rPr>
                      <w:rFonts w:hint="eastAsia"/>
                      <w:color w:val="auto"/>
                      <w:sz w:val="21"/>
                      <w:szCs w:val="21"/>
                      <w:highlight w:val="none"/>
                      <w:lang w:val="en-US" w:eastAsia="zh-CN"/>
                    </w:rPr>
                    <w:t>。</w:t>
                  </w:r>
                </w:p>
              </w:tc>
              <w:tc>
                <w:tcPr>
                  <w:tcW w:w="817" w:type="dxa"/>
                  <w:noWrap w:val="0"/>
                  <w:vAlign w:val="center"/>
                </w:tcPr>
                <w:p w14:paraId="5A2920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8C741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1" w:hRule="atLeast"/>
                <w:jc w:val="center"/>
              </w:trPr>
              <w:tc>
                <w:tcPr>
                  <w:tcW w:w="551" w:type="dxa"/>
                  <w:vMerge w:val="continue"/>
                  <w:noWrap w:val="0"/>
                  <w:vAlign w:val="center"/>
                </w:tcPr>
                <w:p w14:paraId="5901698C">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02FAAF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2E8E982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9.2.4堆填施工过程中，分层厚度、压实遍数宜符合表9.2.4的规定。</w:t>
                  </w:r>
                </w:p>
                <w:p w14:paraId="1CF3FF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eastAsia"/>
                      <w:b/>
                      <w:bCs/>
                      <w:color w:val="auto"/>
                      <w:sz w:val="21"/>
                      <w:szCs w:val="21"/>
                      <w:highlight w:val="none"/>
                      <w:lang w:val="en-US" w:eastAsia="zh-CN"/>
                    </w:rPr>
                    <w:t>表9.2.4  堆填施工时的分层厚度及压实遍数</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4"/>
                    <w:gridCol w:w="2174"/>
                    <w:gridCol w:w="2174"/>
                  </w:tblGrid>
                  <w:tr w14:paraId="6219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73099B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压实机具</w:t>
                        </w:r>
                      </w:p>
                    </w:tc>
                    <w:tc>
                      <w:tcPr>
                        <w:tcW w:w="2174" w:type="dxa"/>
                        <w:vAlign w:val="center"/>
                      </w:tcPr>
                      <w:p w14:paraId="4884FD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分层厚度（mm）</w:t>
                        </w:r>
                      </w:p>
                    </w:tc>
                    <w:tc>
                      <w:tcPr>
                        <w:tcW w:w="2174" w:type="dxa"/>
                        <w:vAlign w:val="center"/>
                      </w:tcPr>
                      <w:p w14:paraId="67489B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每层压实遍数</w:t>
                        </w:r>
                      </w:p>
                    </w:tc>
                  </w:tr>
                  <w:tr w14:paraId="21E5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5E5FB6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平碾</w:t>
                        </w:r>
                      </w:p>
                    </w:tc>
                    <w:tc>
                      <w:tcPr>
                        <w:tcW w:w="2174" w:type="dxa"/>
                        <w:vAlign w:val="center"/>
                      </w:tcPr>
                      <w:p w14:paraId="7DA216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250-300</w:t>
                        </w:r>
                      </w:p>
                    </w:tc>
                    <w:tc>
                      <w:tcPr>
                        <w:tcW w:w="2174" w:type="dxa"/>
                        <w:vAlign w:val="center"/>
                      </w:tcPr>
                      <w:p w14:paraId="5DEFF4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6-8</w:t>
                        </w:r>
                      </w:p>
                    </w:tc>
                  </w:tr>
                  <w:tr w14:paraId="5ECF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5EE7F8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振动压实机</w:t>
                        </w:r>
                      </w:p>
                    </w:tc>
                    <w:tc>
                      <w:tcPr>
                        <w:tcW w:w="2174" w:type="dxa"/>
                        <w:vAlign w:val="center"/>
                      </w:tcPr>
                      <w:p w14:paraId="6D394B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250-350</w:t>
                        </w:r>
                      </w:p>
                    </w:tc>
                    <w:tc>
                      <w:tcPr>
                        <w:tcW w:w="2174" w:type="dxa"/>
                        <w:vAlign w:val="center"/>
                      </w:tcPr>
                      <w:p w14:paraId="6F1B98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r w14:paraId="27BD4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051CAA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柴油打夯机</w:t>
                        </w:r>
                      </w:p>
                    </w:tc>
                    <w:tc>
                      <w:tcPr>
                        <w:tcW w:w="2174" w:type="dxa"/>
                        <w:vAlign w:val="center"/>
                      </w:tcPr>
                      <w:p w14:paraId="0C2F08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200-250</w:t>
                        </w:r>
                      </w:p>
                    </w:tc>
                    <w:tc>
                      <w:tcPr>
                        <w:tcW w:w="2174" w:type="dxa"/>
                        <w:vAlign w:val="center"/>
                      </w:tcPr>
                      <w:p w14:paraId="3881A5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r w14:paraId="6FD8E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34B37C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人工夯实</w:t>
                        </w:r>
                      </w:p>
                    </w:tc>
                    <w:tc>
                      <w:tcPr>
                        <w:tcW w:w="2174" w:type="dxa"/>
                        <w:vAlign w:val="center"/>
                      </w:tcPr>
                      <w:p w14:paraId="0167BB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&lt;200</w:t>
                        </w:r>
                      </w:p>
                    </w:tc>
                    <w:tc>
                      <w:tcPr>
                        <w:tcW w:w="2174" w:type="dxa"/>
                        <w:vAlign w:val="center"/>
                      </w:tcPr>
                      <w:p w14:paraId="5FA262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bl>
                <w:p w14:paraId="5FED2D8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p>
              </w:tc>
              <w:tc>
                <w:tcPr>
                  <w:tcW w:w="3829" w:type="dxa"/>
                  <w:noWrap w:val="0"/>
                  <w:vAlign w:val="center"/>
                </w:tcPr>
                <w:p w14:paraId="265F89BC">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按要求进行分层，压实。</w:t>
                  </w:r>
                </w:p>
              </w:tc>
              <w:tc>
                <w:tcPr>
                  <w:tcW w:w="817" w:type="dxa"/>
                  <w:noWrap w:val="0"/>
                  <w:vAlign w:val="center"/>
                </w:tcPr>
                <w:p w14:paraId="5B8918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7A15F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15" w:hRule="atLeast"/>
                <w:jc w:val="center"/>
              </w:trPr>
              <w:tc>
                <w:tcPr>
                  <w:tcW w:w="551" w:type="dxa"/>
                  <w:vMerge w:val="continue"/>
                  <w:noWrap w:val="0"/>
                  <w:vAlign w:val="center"/>
                </w:tcPr>
                <w:p w14:paraId="2A598F8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00BD8F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05F667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9.2.5堆填施工边坡坡度不宜大于1</w:t>
                  </w:r>
                  <w:r>
                    <w:rPr>
                      <w:rFonts w:hint="eastAsia"/>
                      <w:color w:val="auto"/>
                      <w:sz w:val="21"/>
                      <w:szCs w:val="21"/>
                      <w:highlight w:val="none"/>
                      <w:lang w:val="en-US" w:eastAsia="zh-CN"/>
                    </w:rPr>
                    <w:t>:</w:t>
                  </w:r>
                  <w:r>
                    <w:rPr>
                      <w:rFonts w:hint="default"/>
                      <w:color w:val="auto"/>
                      <w:sz w:val="21"/>
                      <w:szCs w:val="21"/>
                      <w:highlight w:val="none"/>
                      <w:lang w:val="en-US" w:eastAsia="zh-CN"/>
                    </w:rPr>
                    <w:t>2，基础压实程度不应小于93%，边坡压实程度不应小于90%。</w:t>
                  </w:r>
                </w:p>
              </w:tc>
              <w:tc>
                <w:tcPr>
                  <w:tcW w:w="3829" w:type="dxa"/>
                  <w:noWrap w:val="0"/>
                  <w:vAlign w:val="center"/>
                </w:tcPr>
                <w:p w14:paraId="616FA6A6">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eastAsia"/>
                      <w:color w:val="auto"/>
                      <w:sz w:val="21"/>
                      <w:szCs w:val="21"/>
                      <w:highlight w:val="none"/>
                      <w:lang w:val="en-US" w:eastAsia="zh-CN"/>
                    </w:rPr>
                  </w:pPr>
                  <w:r>
                    <w:rPr>
                      <w:rFonts w:hint="default"/>
                      <w:color w:val="auto"/>
                      <w:sz w:val="21"/>
                      <w:szCs w:val="21"/>
                      <w:highlight w:val="none"/>
                      <w:lang w:val="en-US" w:eastAsia="zh-CN"/>
                    </w:rPr>
                    <w:t>堆填施工边坡坡度不大于1</w:t>
                  </w:r>
                  <w:r>
                    <w:rPr>
                      <w:rFonts w:hint="eastAsia"/>
                      <w:color w:val="auto"/>
                      <w:sz w:val="21"/>
                      <w:szCs w:val="21"/>
                      <w:highlight w:val="none"/>
                      <w:lang w:val="en-US" w:eastAsia="zh-CN"/>
                    </w:rPr>
                    <w:t>:</w:t>
                  </w:r>
                  <w:r>
                    <w:rPr>
                      <w:rFonts w:hint="default"/>
                      <w:color w:val="auto"/>
                      <w:sz w:val="21"/>
                      <w:szCs w:val="21"/>
                      <w:highlight w:val="none"/>
                      <w:lang w:val="en-US" w:eastAsia="zh-CN"/>
                    </w:rPr>
                    <w:t>2，基础压实程度不小于93%，边坡压实程度不小于90%</w:t>
                  </w:r>
                  <w:r>
                    <w:rPr>
                      <w:rFonts w:hint="eastAsia"/>
                      <w:color w:val="auto"/>
                      <w:sz w:val="21"/>
                      <w:szCs w:val="21"/>
                      <w:highlight w:val="none"/>
                      <w:lang w:val="en-US" w:eastAsia="zh-CN"/>
                    </w:rPr>
                    <w:t>。</w:t>
                  </w:r>
                </w:p>
              </w:tc>
              <w:tc>
                <w:tcPr>
                  <w:tcW w:w="817" w:type="dxa"/>
                  <w:noWrap w:val="0"/>
                  <w:vAlign w:val="center"/>
                </w:tcPr>
                <w:p w14:paraId="45CEC6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CB0F2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41" w:hRule="atLeast"/>
                <w:jc w:val="center"/>
              </w:trPr>
              <w:tc>
                <w:tcPr>
                  <w:tcW w:w="551" w:type="dxa"/>
                  <w:vMerge w:val="continue"/>
                  <w:noWrap w:val="0"/>
                  <w:vAlign w:val="center"/>
                </w:tcPr>
                <w:p w14:paraId="0D489C5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004A55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2B651B9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 w:val="21"/>
                      <w:szCs w:val="21"/>
                      <w:highlight w:val="none"/>
                      <w:lang w:val="en-US" w:eastAsia="zh-CN"/>
                    </w:rPr>
                    <w:t>9.2.6堆填作业应控制填高速率，如果填高超过3m且堆填速率超过3m/月，应对堆体和地基稳定性进行监测</w:t>
                  </w:r>
                  <w:r>
                    <w:rPr>
                      <w:rFonts w:hint="eastAsia"/>
                      <w:color w:val="auto"/>
                      <w:sz w:val="21"/>
                      <w:szCs w:val="21"/>
                      <w:highlight w:val="none"/>
                      <w:lang w:val="en-US" w:eastAsia="zh-CN"/>
                    </w:rPr>
                    <w:t>。</w:t>
                  </w:r>
                </w:p>
              </w:tc>
              <w:tc>
                <w:tcPr>
                  <w:tcW w:w="3829" w:type="dxa"/>
                  <w:shd w:val="clear" w:color="auto" w:fill="auto"/>
                  <w:noWrap w:val="0"/>
                  <w:vAlign w:val="center"/>
                </w:tcPr>
                <w:p w14:paraId="2F52BD37">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 w:val="21"/>
                      <w:szCs w:val="21"/>
                      <w:highlight w:val="none"/>
                      <w:lang w:val="en-US" w:eastAsia="zh-CN"/>
                    </w:rPr>
                    <w:t>堆填作业控制填高速率</w:t>
                  </w:r>
                  <w:r>
                    <w:rPr>
                      <w:rFonts w:hint="eastAsia"/>
                      <w:color w:val="auto"/>
                      <w:sz w:val="21"/>
                      <w:szCs w:val="21"/>
                      <w:highlight w:val="none"/>
                      <w:lang w:val="en-US" w:eastAsia="zh-CN"/>
                    </w:rPr>
                    <w:t>，</w:t>
                  </w:r>
                  <w:r>
                    <w:rPr>
                      <w:rFonts w:hint="default"/>
                      <w:color w:val="auto"/>
                      <w:sz w:val="21"/>
                      <w:szCs w:val="21"/>
                      <w:highlight w:val="none"/>
                      <w:lang w:val="en-US" w:eastAsia="zh-CN"/>
                    </w:rPr>
                    <w:t>堆填速率</w:t>
                  </w:r>
                  <w:r>
                    <w:rPr>
                      <w:rFonts w:hint="eastAsia"/>
                      <w:color w:val="auto"/>
                      <w:sz w:val="21"/>
                      <w:szCs w:val="21"/>
                      <w:highlight w:val="none"/>
                      <w:lang w:val="en-US" w:eastAsia="zh-CN"/>
                    </w:rPr>
                    <w:t>不</w:t>
                  </w:r>
                  <w:r>
                    <w:rPr>
                      <w:rFonts w:hint="default"/>
                      <w:color w:val="auto"/>
                      <w:sz w:val="21"/>
                      <w:szCs w:val="21"/>
                      <w:highlight w:val="none"/>
                      <w:lang w:val="en-US" w:eastAsia="zh-CN"/>
                    </w:rPr>
                    <w:t>超过</w:t>
                  </w:r>
                  <w:r>
                    <w:rPr>
                      <w:rFonts w:hint="eastAsia"/>
                      <w:color w:val="auto"/>
                      <w:sz w:val="21"/>
                      <w:szCs w:val="21"/>
                      <w:highlight w:val="none"/>
                      <w:lang w:val="en-US" w:eastAsia="zh-CN"/>
                    </w:rPr>
                    <w:t>1</w:t>
                  </w:r>
                  <w:r>
                    <w:rPr>
                      <w:rFonts w:hint="default"/>
                      <w:color w:val="auto"/>
                      <w:sz w:val="21"/>
                      <w:szCs w:val="21"/>
                      <w:highlight w:val="none"/>
                      <w:lang w:val="en-US" w:eastAsia="zh-CN"/>
                    </w:rPr>
                    <w:t>m/月</w:t>
                  </w:r>
                  <w:r>
                    <w:rPr>
                      <w:rFonts w:hint="eastAsia"/>
                      <w:color w:val="auto"/>
                      <w:sz w:val="21"/>
                      <w:szCs w:val="21"/>
                      <w:highlight w:val="none"/>
                      <w:lang w:val="en-US" w:eastAsia="zh-CN"/>
                    </w:rPr>
                    <w:t>。</w:t>
                  </w:r>
                </w:p>
              </w:tc>
              <w:tc>
                <w:tcPr>
                  <w:tcW w:w="817" w:type="dxa"/>
                  <w:shd w:val="clear" w:color="auto" w:fill="auto"/>
                  <w:noWrap w:val="0"/>
                  <w:vAlign w:val="center"/>
                </w:tcPr>
                <w:p w14:paraId="66361C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符合</w:t>
                  </w:r>
                </w:p>
              </w:tc>
            </w:tr>
            <w:tr w14:paraId="51EA20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809" w:hRule="atLeast"/>
                <w:jc w:val="center"/>
              </w:trPr>
              <w:tc>
                <w:tcPr>
                  <w:tcW w:w="551" w:type="dxa"/>
                  <w:vMerge w:val="continue"/>
                  <w:noWrap w:val="0"/>
                  <w:vAlign w:val="center"/>
                </w:tcPr>
                <w:p w14:paraId="2D99E7E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31BA07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4C944FE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9.3设施设备配置及要求</w:t>
                  </w:r>
                </w:p>
                <w:p w14:paraId="7F2F29C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9.3.1堆填机械设备选择应符合下列规定：</w:t>
                  </w:r>
                </w:p>
                <w:p w14:paraId="590014C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装运机械宜选择装载机、自卸车、推土机、铲运机、装载机、翻斗车等。</w:t>
                  </w:r>
                </w:p>
                <w:p w14:paraId="0106806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压实机械宜选择平碾、羊足碾、振动碾、蛙式打夯机、冲击夯、振动平板等。</w:t>
                  </w:r>
                </w:p>
                <w:p w14:paraId="1DA3BFF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调节含水量机械宜选择洒水车、圆盘耙、旋耕犁等。</w:t>
                  </w:r>
                </w:p>
                <w:p w14:paraId="0BD28BB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辅助工具可包括全站仪或其他测量设备、简易土工试验设备、手推车、铁锹、筛子</w:t>
                  </w:r>
                  <w:r>
                    <w:rPr>
                      <w:rFonts w:hint="eastAsia"/>
                      <w:color w:val="auto"/>
                      <w:sz w:val="21"/>
                      <w:szCs w:val="21"/>
                      <w:highlight w:val="none"/>
                      <w:lang w:val="en-US" w:eastAsia="zh-CN"/>
                    </w:rPr>
                    <w:t>（</w:t>
                  </w:r>
                  <w:r>
                    <w:rPr>
                      <w:rFonts w:hint="default"/>
                      <w:color w:val="auto"/>
                      <w:sz w:val="21"/>
                      <w:szCs w:val="21"/>
                      <w:highlight w:val="none"/>
                      <w:lang w:val="en-US" w:eastAsia="zh-CN"/>
                    </w:rPr>
                    <w:t>孔径40mm~60mm</w:t>
                  </w:r>
                  <w:r>
                    <w:rPr>
                      <w:rFonts w:hint="eastAsia"/>
                      <w:color w:val="auto"/>
                      <w:sz w:val="21"/>
                      <w:szCs w:val="21"/>
                      <w:highlight w:val="none"/>
                      <w:lang w:val="en-US" w:eastAsia="zh-CN"/>
                    </w:rPr>
                    <w:t>）</w:t>
                  </w:r>
                  <w:r>
                    <w:rPr>
                      <w:rFonts w:hint="default"/>
                      <w:color w:val="auto"/>
                      <w:sz w:val="21"/>
                      <w:szCs w:val="21"/>
                      <w:highlight w:val="none"/>
                      <w:lang w:val="en-US" w:eastAsia="zh-CN"/>
                    </w:rPr>
                    <w:t>、木耙、钢卷尺、线、胶皮管等。</w:t>
                  </w:r>
                </w:p>
              </w:tc>
              <w:tc>
                <w:tcPr>
                  <w:tcW w:w="3829" w:type="dxa"/>
                  <w:shd w:val="clear" w:color="auto" w:fill="auto"/>
                  <w:noWrap w:val="0"/>
                  <w:vAlign w:val="center"/>
                </w:tcPr>
                <w:p w14:paraId="5E167BD4">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选择适宜的堆填机械设备。</w:t>
                  </w:r>
                </w:p>
              </w:tc>
              <w:tc>
                <w:tcPr>
                  <w:tcW w:w="817" w:type="dxa"/>
                  <w:shd w:val="clear" w:color="auto" w:fill="auto"/>
                  <w:noWrap w:val="0"/>
                  <w:vAlign w:val="center"/>
                </w:tcPr>
                <w:p w14:paraId="474522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B786B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36" w:hRule="atLeast"/>
                <w:jc w:val="center"/>
              </w:trPr>
              <w:tc>
                <w:tcPr>
                  <w:tcW w:w="551" w:type="dxa"/>
                  <w:vMerge w:val="continue"/>
                  <w:noWrap w:val="0"/>
                  <w:vAlign w:val="center"/>
                </w:tcPr>
                <w:p w14:paraId="25D09EA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34058E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10BDBF1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9.3.2装运机械作业前应检查各工作装置、行走机构、各部安全防护装置，确认齐全完好，方可启动工作。</w:t>
                  </w:r>
                </w:p>
              </w:tc>
              <w:tc>
                <w:tcPr>
                  <w:tcW w:w="3829" w:type="dxa"/>
                  <w:shd w:val="clear" w:color="auto" w:fill="auto"/>
                  <w:noWrap w:val="0"/>
                  <w:vAlign w:val="center"/>
                </w:tcPr>
                <w:p w14:paraId="52ABB678">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装运机械作业前检查各工作装置、行走机构、各部安全防护装置，确认齐全完好，方可启动工作</w:t>
                  </w:r>
                  <w:r>
                    <w:rPr>
                      <w:rFonts w:hint="eastAsia"/>
                      <w:color w:val="auto"/>
                      <w:sz w:val="21"/>
                      <w:szCs w:val="21"/>
                      <w:highlight w:val="none"/>
                      <w:lang w:val="en-US" w:eastAsia="zh-CN"/>
                    </w:rPr>
                    <w:t>。</w:t>
                  </w:r>
                </w:p>
              </w:tc>
              <w:tc>
                <w:tcPr>
                  <w:tcW w:w="817" w:type="dxa"/>
                  <w:shd w:val="clear" w:color="auto" w:fill="auto"/>
                  <w:noWrap w:val="0"/>
                  <w:vAlign w:val="center"/>
                </w:tcPr>
                <w:p w14:paraId="344AA1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97105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7D9478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3E9A5A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2A0344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9.3.3自卸汽车就位后应拉紧手制动器。自卸汽车卸料时，车厢上空和附近应无障碍物，严禁在斜坡侧向倾卸，不得距离基坑边缘过近卸料，防止车辆倾覆。自卸汽车卸料后，车厢必须及时复位，不得在倾斜情况下行驶，严禁车厢内载人。</w:t>
                  </w:r>
                </w:p>
              </w:tc>
              <w:tc>
                <w:tcPr>
                  <w:tcW w:w="3829" w:type="dxa"/>
                  <w:shd w:val="clear" w:color="auto" w:fill="auto"/>
                  <w:noWrap w:val="0"/>
                  <w:vAlign w:val="center"/>
                </w:tcPr>
                <w:p w14:paraId="669EC528">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自卸汽车就位后拉紧手制动器。自卸汽车卸料时，车厢上空和附近无障碍物，严禁在斜坡侧向倾卸，不得距离基坑边缘过近卸料，防止车辆倾覆。自卸汽车卸料后，车厢必须及时复位，不得在倾斜情况下行驶，严禁车厢内载人</w:t>
                  </w:r>
                  <w:r>
                    <w:rPr>
                      <w:rFonts w:hint="eastAsia"/>
                      <w:color w:val="auto"/>
                      <w:sz w:val="21"/>
                      <w:szCs w:val="21"/>
                      <w:highlight w:val="none"/>
                      <w:lang w:val="en-US" w:eastAsia="zh-CN"/>
                    </w:rPr>
                    <w:t>。</w:t>
                  </w:r>
                </w:p>
              </w:tc>
              <w:tc>
                <w:tcPr>
                  <w:tcW w:w="817" w:type="dxa"/>
                  <w:shd w:val="clear" w:color="auto" w:fill="auto"/>
                  <w:noWrap w:val="0"/>
                  <w:vAlign w:val="center"/>
                </w:tcPr>
                <w:p w14:paraId="7D36C2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9E5AD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96" w:hRule="atLeast"/>
                <w:jc w:val="center"/>
              </w:trPr>
              <w:tc>
                <w:tcPr>
                  <w:tcW w:w="551" w:type="dxa"/>
                  <w:vMerge w:val="continue"/>
                  <w:noWrap w:val="0"/>
                  <w:vAlign w:val="center"/>
                </w:tcPr>
                <w:p w14:paraId="4A0CEFB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continue"/>
                  <w:noWrap w:val="0"/>
                  <w:vAlign w:val="center"/>
                </w:tcPr>
                <w:p w14:paraId="1F8326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shd w:val="clear" w:color="auto" w:fill="auto"/>
                  <w:noWrap w:val="0"/>
                  <w:vAlign w:val="center"/>
                </w:tcPr>
                <w:p w14:paraId="56F7158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9.3.4各种机械应定期保养，机械操作人员应建立岗位责任制，做到持证上岗，严禁无证操作。</w:t>
                  </w:r>
                </w:p>
              </w:tc>
              <w:tc>
                <w:tcPr>
                  <w:tcW w:w="3829" w:type="dxa"/>
                  <w:shd w:val="clear" w:color="auto" w:fill="auto"/>
                  <w:noWrap w:val="0"/>
                  <w:vAlign w:val="center"/>
                </w:tcPr>
                <w:p w14:paraId="1717BA1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各种机械定期保养，机械操作人员建立岗位责任制，做到持证上岗，严禁无证操作</w:t>
                  </w:r>
                  <w:r>
                    <w:rPr>
                      <w:rFonts w:hint="eastAsia"/>
                      <w:color w:val="auto"/>
                      <w:sz w:val="21"/>
                      <w:szCs w:val="21"/>
                      <w:highlight w:val="none"/>
                      <w:lang w:val="en-US" w:eastAsia="zh-CN"/>
                    </w:rPr>
                    <w:t>。</w:t>
                  </w:r>
                </w:p>
              </w:tc>
              <w:tc>
                <w:tcPr>
                  <w:tcW w:w="817" w:type="dxa"/>
                  <w:shd w:val="clear" w:color="auto" w:fill="auto"/>
                  <w:noWrap w:val="0"/>
                  <w:vAlign w:val="center"/>
                </w:tcPr>
                <w:p w14:paraId="272D9E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1BBB0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86" w:hRule="atLeast"/>
                <w:jc w:val="center"/>
              </w:trPr>
              <w:tc>
                <w:tcPr>
                  <w:tcW w:w="551" w:type="dxa"/>
                  <w:vMerge w:val="restart"/>
                  <w:noWrap w:val="0"/>
                  <w:vAlign w:val="center"/>
                </w:tcPr>
                <w:p w14:paraId="1C572253">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0" w:firstLineChars="0"/>
                    <w:jc w:val="center"/>
                    <w:textAlignment w:val="center"/>
                    <w:rPr>
                      <w:color w:val="auto"/>
                      <w:sz w:val="21"/>
                      <w:szCs w:val="21"/>
                      <w:highlight w:val="none"/>
                    </w:rPr>
                  </w:pPr>
                </w:p>
              </w:tc>
              <w:tc>
                <w:tcPr>
                  <w:tcW w:w="1264" w:type="dxa"/>
                  <w:vMerge w:val="restart"/>
                  <w:noWrap w:val="0"/>
                  <w:vAlign w:val="center"/>
                </w:tcPr>
                <w:p w14:paraId="6FDBDF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12环境保护与安全卫生</w:t>
                  </w:r>
                </w:p>
              </w:tc>
              <w:tc>
                <w:tcPr>
                  <w:tcW w:w="6748" w:type="dxa"/>
                  <w:noWrap w:val="0"/>
                  <w:vAlign w:val="center"/>
                </w:tcPr>
                <w:p w14:paraId="7D4838D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12.1环境保护</w:t>
                  </w:r>
                </w:p>
                <w:p w14:paraId="6BC9A8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12.1.1资源化利用和填埋处置工程应有雨、污分流设施，防止污染周边环境。</w:t>
                  </w:r>
                </w:p>
              </w:tc>
              <w:tc>
                <w:tcPr>
                  <w:tcW w:w="3829" w:type="dxa"/>
                  <w:noWrap w:val="0"/>
                  <w:vAlign w:val="center"/>
                </w:tcPr>
                <w:p w14:paraId="2265C2C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0"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建设雨、污分流设施，防止污染周边环境。</w:t>
                  </w:r>
                </w:p>
              </w:tc>
              <w:tc>
                <w:tcPr>
                  <w:tcW w:w="817" w:type="dxa"/>
                  <w:noWrap w:val="0"/>
                  <w:vAlign w:val="center"/>
                </w:tcPr>
                <w:p w14:paraId="3E5A00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EC9B4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1C1737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75F8A5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748" w:type="dxa"/>
                  <w:noWrap w:val="0"/>
                  <w:vAlign w:val="center"/>
                </w:tcPr>
                <w:p w14:paraId="6C1B57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12.1.2资源化处理工程应通过洒水降尘、封闭设备、局部抽吸等措施控制粉尘污染，并应符合下列规定：</w:t>
                  </w:r>
                </w:p>
                <w:p w14:paraId="740B97D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1.雾化洒水降尘措施洒水强度和频率根据温度、面积、建筑垃圾物料性质、风速等条件设置。</w:t>
                  </w:r>
                </w:p>
                <w:p w14:paraId="297B6B9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2.局部抽吸换气次数不宜低于6次/h，含尘气体经过除尘装置处理后，排放应按现行国家标准《大气污染物综合排放标准》GB16297规定执行。</w:t>
                  </w:r>
                </w:p>
              </w:tc>
              <w:tc>
                <w:tcPr>
                  <w:tcW w:w="3829" w:type="dxa"/>
                  <w:noWrap w:val="0"/>
                  <w:vAlign w:val="center"/>
                </w:tcPr>
                <w:p w14:paraId="74569E4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本项目不属于资源化处理工程。</w:t>
                  </w:r>
                </w:p>
              </w:tc>
              <w:tc>
                <w:tcPr>
                  <w:tcW w:w="817" w:type="dxa"/>
                  <w:noWrap w:val="0"/>
                  <w:vAlign w:val="center"/>
                </w:tcPr>
                <w:p w14:paraId="1342EC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22D28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608" w:hRule="atLeast"/>
                <w:jc w:val="center"/>
              </w:trPr>
              <w:tc>
                <w:tcPr>
                  <w:tcW w:w="551" w:type="dxa"/>
                  <w:vMerge w:val="continue"/>
                  <w:noWrap w:val="0"/>
                  <w:vAlign w:val="center"/>
                </w:tcPr>
                <w:p w14:paraId="30F2C7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68D96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4CF4B8E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12.1.3建筑垃圾处理全过程噪声控制应符合下列规定：</w:t>
                  </w:r>
                </w:p>
                <w:p w14:paraId="5D131F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1.建筑垃圾收集、运输、处理系统应选取低噪声运输车辆，车辆在车厢开启、关闭、卸料时产生的噪声不应超过82dB（A）；</w:t>
                  </w:r>
                </w:p>
                <w:p w14:paraId="2015A12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2.宜通过建立缓冲带、设置噪声屏障或封闭车间控制处理工程噪声；</w:t>
                  </w:r>
                </w:p>
                <w:p w14:paraId="3CD407E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3.资源化处理车间，宜采取隔声罩、隔声间或者在车间建筑内墙附加吸声材料等方式降低噪声；</w:t>
                  </w:r>
                </w:p>
                <w:p w14:paraId="3CBEB9F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4.场（厂）界噪声应符合现行国家标准《工业企业厂界环境噪声排放标准》GB 12348的规定。</w:t>
                  </w:r>
                </w:p>
              </w:tc>
              <w:tc>
                <w:tcPr>
                  <w:tcW w:w="3829" w:type="dxa"/>
                  <w:noWrap w:val="0"/>
                  <w:vAlign w:val="center"/>
                </w:tcPr>
                <w:p w14:paraId="43B1A12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选用低噪声机械，场界噪声达标。</w:t>
                  </w:r>
                </w:p>
              </w:tc>
              <w:tc>
                <w:tcPr>
                  <w:tcW w:w="817" w:type="dxa"/>
                  <w:noWrap w:val="0"/>
                  <w:vAlign w:val="center"/>
                </w:tcPr>
                <w:p w14:paraId="138302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90FD4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798DB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264A9F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47CF444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12.1.4建筑垃圾处理工程的环境影响评价及环境污染防治应符合下列规定：</w:t>
                  </w:r>
                </w:p>
                <w:p w14:paraId="2EB6CF8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1.在进行可行性研究的同时，应对建设项目的环境影响作出评价；</w:t>
                  </w:r>
                </w:p>
                <w:p w14:paraId="13A198B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2.建设项目的环境污染防治设施，应与主体工程同时设计、同时施工、同时投产使用；</w:t>
                  </w:r>
                </w:p>
                <w:p w14:paraId="58EC8C8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3建筑垃圾处理作业过程中产生的各种污染物的防治与排放，应贯彻执行国家现行的环境保护法规和有关标准的规定。</w:t>
                  </w:r>
                </w:p>
              </w:tc>
              <w:tc>
                <w:tcPr>
                  <w:tcW w:w="3829" w:type="dxa"/>
                  <w:noWrap w:val="0"/>
                  <w:vAlign w:val="center"/>
                </w:tcPr>
                <w:p w14:paraId="6303A984">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进行环境影响评价工作；</w:t>
                  </w:r>
                </w:p>
                <w:p w14:paraId="6AF9A86D">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0" w:leftChars="0"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环境污染防治与主体工程同时设计、同时施工、同时投产使用；</w:t>
                  </w:r>
                </w:p>
                <w:p w14:paraId="06654BC1">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各种污染物的防治与排放，贯彻执行国家现行的环境保护法规和有关标准的规定。</w:t>
                  </w:r>
                </w:p>
              </w:tc>
              <w:tc>
                <w:tcPr>
                  <w:tcW w:w="817" w:type="dxa"/>
                  <w:noWrap w:val="0"/>
                  <w:vAlign w:val="center"/>
                </w:tcPr>
                <w:p w14:paraId="53AF66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4C62E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60" w:hRule="atLeast"/>
                <w:jc w:val="center"/>
              </w:trPr>
              <w:tc>
                <w:tcPr>
                  <w:tcW w:w="551" w:type="dxa"/>
                  <w:vMerge w:val="continue"/>
                  <w:noWrap w:val="0"/>
                  <w:vAlign w:val="center"/>
                </w:tcPr>
                <w:p w14:paraId="312086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19C639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748" w:type="dxa"/>
                  <w:noWrap w:val="0"/>
                  <w:vAlign w:val="center"/>
                </w:tcPr>
                <w:p w14:paraId="2D1C74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12.1.5建筑垃圾填埋库区应设置地下水本底监测井、污染扩散监测井、污染监测井。填埋场应进行水、气、土壤及噪声的本底监测和作业监测，填埋库区封场后应进行跟踪监测直至填埋体稳定。监测井和采样点的布设、监测项目、频率及分析方法应按现行国家相关标准执行。</w:t>
                  </w:r>
                </w:p>
              </w:tc>
              <w:tc>
                <w:tcPr>
                  <w:tcW w:w="3829" w:type="dxa"/>
                  <w:noWrap w:val="0"/>
                  <w:vAlign w:val="center"/>
                </w:tcPr>
                <w:p w14:paraId="66EA657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本项目对符合要求的建筑垃圾进行堆填，不进行填埋。</w:t>
                  </w:r>
                </w:p>
              </w:tc>
              <w:tc>
                <w:tcPr>
                  <w:tcW w:w="817" w:type="dxa"/>
                  <w:noWrap w:val="0"/>
                  <w:vAlign w:val="center"/>
                </w:tcPr>
                <w:p w14:paraId="600CB2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bl>
          <w:p w14:paraId="5FE1A2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right="0" w:rightChars="0"/>
              <w:jc w:val="left"/>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7.</w:t>
            </w:r>
            <w:r>
              <w:rPr>
                <w:rFonts w:hint="eastAsia"/>
                <w:b/>
                <w:bCs/>
                <w:color w:val="auto"/>
                <w:sz w:val="24"/>
                <w:szCs w:val="24"/>
                <w:highlight w:val="none"/>
              </w:rPr>
              <w:t>与</w:t>
            </w:r>
            <w:r>
              <w:rPr>
                <w:rFonts w:hint="eastAsia"/>
                <w:b/>
                <w:bCs/>
                <w:color w:val="auto"/>
                <w:sz w:val="24"/>
                <w:szCs w:val="24"/>
                <w:highlight w:val="none"/>
                <w:lang w:eastAsia="zh-CN"/>
              </w:rPr>
              <w:t>《</w:t>
            </w:r>
            <w:r>
              <w:rPr>
                <w:rFonts w:hint="eastAsia"/>
                <w:b/>
                <w:bCs/>
                <w:color w:val="auto"/>
                <w:sz w:val="24"/>
                <w:szCs w:val="24"/>
                <w:highlight w:val="none"/>
                <w:lang w:val="en-US" w:eastAsia="zh-CN"/>
              </w:rPr>
              <w:t>建筑垃圾堆砌地建设标准</w:t>
            </w:r>
            <w:r>
              <w:rPr>
                <w:rFonts w:hint="eastAsia"/>
                <w:b/>
                <w:bCs/>
                <w:color w:val="auto"/>
                <w:sz w:val="24"/>
                <w:szCs w:val="24"/>
                <w:highlight w:val="none"/>
                <w:lang w:eastAsia="zh-CN"/>
              </w:rPr>
              <w:t>》（</w:t>
            </w:r>
            <w:r>
              <w:rPr>
                <w:rFonts w:hint="eastAsia"/>
                <w:b/>
                <w:bCs/>
                <w:color w:val="auto"/>
                <w:sz w:val="24"/>
                <w:szCs w:val="24"/>
                <w:highlight w:val="none"/>
                <w:lang w:val="en-US" w:eastAsia="zh-CN"/>
              </w:rPr>
              <w:t>DB13（J）T8464-2022</w:t>
            </w:r>
            <w:r>
              <w:rPr>
                <w:rFonts w:hint="eastAsia"/>
                <w:b/>
                <w:bCs/>
                <w:color w:val="auto"/>
                <w:sz w:val="24"/>
                <w:szCs w:val="24"/>
                <w:highlight w:val="none"/>
                <w:lang w:eastAsia="zh-CN"/>
              </w:rPr>
              <w:t>）</w:t>
            </w:r>
            <w:r>
              <w:rPr>
                <w:rFonts w:hint="eastAsia"/>
                <w:b/>
                <w:bCs/>
                <w:color w:val="auto"/>
                <w:sz w:val="24"/>
                <w:szCs w:val="24"/>
                <w:highlight w:val="none"/>
              </w:rPr>
              <w:t>符合性</w:t>
            </w:r>
            <w:r>
              <w:rPr>
                <w:rFonts w:hint="eastAsia"/>
                <w:b/>
                <w:bCs/>
                <w:color w:val="auto"/>
                <w:sz w:val="24"/>
                <w:szCs w:val="24"/>
                <w:highlight w:val="none"/>
                <w:lang w:val="en-US" w:eastAsia="zh-CN"/>
              </w:rPr>
              <w:t>分析</w:t>
            </w:r>
          </w:p>
          <w:p w14:paraId="42B4B8FF">
            <w:pPr>
              <w:bidi w:val="0"/>
              <w:rPr>
                <w:rFonts w:hint="eastAsia"/>
                <w:b w:val="0"/>
                <w:bCs w:val="0"/>
                <w:color w:val="auto"/>
                <w:highlight w:val="none"/>
                <w:lang w:val="en-US" w:eastAsia="zh-CN"/>
              </w:rPr>
            </w:pPr>
            <w:r>
              <w:rPr>
                <w:rFonts w:hint="eastAsia"/>
                <w:b w:val="0"/>
                <w:bCs w:val="0"/>
                <w:color w:val="auto"/>
                <w:highlight w:val="none"/>
                <w:lang w:val="en-US" w:eastAsia="zh-CN"/>
              </w:rPr>
              <w:t>本项目与《建筑垃圾堆砌地建设标准》（DB13（J）T8464-2022）相关要求符合性分析见下表。</w:t>
            </w:r>
          </w:p>
          <w:p w14:paraId="2071F8AA">
            <w:pPr>
              <w:bidi w:val="0"/>
              <w:rPr>
                <w:rFonts w:hint="eastAsia"/>
                <w:b w:val="0"/>
                <w:bCs w:val="0"/>
                <w:color w:val="auto"/>
                <w:highlight w:val="none"/>
                <w:lang w:val="en-US" w:eastAsia="zh-CN"/>
              </w:rPr>
            </w:pPr>
          </w:p>
          <w:p w14:paraId="688591D1">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b/>
                <w:bCs w:val="0"/>
                <w:color w:val="auto"/>
                <w:highlight w:val="none"/>
                <w:lang w:val="zh-CN"/>
              </w:rPr>
            </w:pPr>
            <w:r>
              <w:rPr>
                <w:rFonts w:hint="eastAsia"/>
                <w:b/>
                <w:bCs w:val="0"/>
                <w:color w:val="auto"/>
                <w:sz w:val="21"/>
                <w:szCs w:val="21"/>
                <w:highlight w:val="none"/>
                <w:lang w:val="en-US" w:eastAsia="zh-CN"/>
              </w:rPr>
              <w:t>本</w:t>
            </w:r>
            <w:r>
              <w:rPr>
                <w:rFonts w:hint="eastAsia"/>
                <w:b/>
                <w:bCs w:val="0"/>
                <w:color w:val="auto"/>
                <w:sz w:val="21"/>
                <w:szCs w:val="21"/>
                <w:highlight w:val="none"/>
              </w:rPr>
              <w:t>项目与</w:t>
            </w:r>
            <w:r>
              <w:rPr>
                <w:rFonts w:hint="eastAsia"/>
                <w:b/>
                <w:bCs w:val="0"/>
                <w:color w:val="auto"/>
                <w:highlight w:val="none"/>
                <w:lang w:val="en-US" w:eastAsia="zh-CN"/>
              </w:rPr>
              <w:t>DB13（J）T8464-2022</w:t>
            </w:r>
            <w:r>
              <w:rPr>
                <w:rFonts w:hint="eastAsia"/>
                <w:b/>
                <w:bCs w:val="0"/>
                <w:color w:val="auto"/>
                <w:sz w:val="21"/>
                <w:szCs w:val="21"/>
                <w:highlight w:val="none"/>
                <w:lang w:val="en-US" w:eastAsia="zh-CN"/>
              </w:rPr>
              <w:t>相关要求</w:t>
            </w:r>
            <w:r>
              <w:rPr>
                <w:rFonts w:hint="eastAsia"/>
                <w:b/>
                <w:bCs w:val="0"/>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1264"/>
              <w:gridCol w:w="6831"/>
              <w:gridCol w:w="3746"/>
              <w:gridCol w:w="817"/>
            </w:tblGrid>
            <w:tr w14:paraId="6B7EB4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0" w:hRule="atLeast"/>
                <w:jc w:val="center"/>
              </w:trPr>
              <w:tc>
                <w:tcPr>
                  <w:tcW w:w="551" w:type="dxa"/>
                  <w:noWrap w:val="0"/>
                  <w:vAlign w:val="center"/>
                </w:tcPr>
                <w:p w14:paraId="4D2EE5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8095" w:type="dxa"/>
                  <w:gridSpan w:val="2"/>
                  <w:noWrap w:val="0"/>
                  <w:vAlign w:val="center"/>
                </w:tcPr>
                <w:p w14:paraId="65B82D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DB13（J）T8464-2022相关要求</w:t>
                  </w:r>
                </w:p>
              </w:tc>
              <w:tc>
                <w:tcPr>
                  <w:tcW w:w="3746" w:type="dxa"/>
                  <w:noWrap w:val="0"/>
                  <w:vAlign w:val="center"/>
                </w:tcPr>
                <w:p w14:paraId="0F7D24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7" w:type="dxa"/>
                  <w:noWrap w:val="0"/>
                  <w:vAlign w:val="center"/>
                </w:tcPr>
                <w:p w14:paraId="1B2DCB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48F3D3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29" w:hRule="atLeast"/>
                <w:jc w:val="center"/>
              </w:trPr>
              <w:tc>
                <w:tcPr>
                  <w:tcW w:w="551" w:type="dxa"/>
                  <w:vMerge w:val="restart"/>
                  <w:noWrap w:val="0"/>
                  <w:vAlign w:val="center"/>
                </w:tcPr>
                <w:p w14:paraId="6D1B7D10">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2EDF89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3.基本规定</w:t>
                  </w:r>
                </w:p>
              </w:tc>
              <w:tc>
                <w:tcPr>
                  <w:tcW w:w="6831" w:type="dxa"/>
                  <w:noWrap w:val="0"/>
                  <w:vAlign w:val="center"/>
                </w:tcPr>
                <w:p w14:paraId="667708E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eastAsia="宋体"/>
                      <w:color w:val="auto"/>
                      <w:sz w:val="21"/>
                      <w:szCs w:val="21"/>
                      <w:highlight w:val="none"/>
                      <w:lang w:eastAsia="zh-CN"/>
                    </w:rPr>
                  </w:pPr>
                  <w:r>
                    <w:rPr>
                      <w:rFonts w:hint="eastAsia"/>
                      <w:color w:val="auto"/>
                      <w:sz w:val="21"/>
                      <w:szCs w:val="21"/>
                      <w:highlight w:val="none"/>
                      <w:lang w:eastAsia="zh-CN"/>
                    </w:rPr>
                    <w:t>3.0.1建筑垃圾堆砌地的设置应符合当地环境卫生设施专项规划。</w:t>
                  </w:r>
                </w:p>
              </w:tc>
              <w:tc>
                <w:tcPr>
                  <w:tcW w:w="3746" w:type="dxa"/>
                  <w:noWrap w:val="0"/>
                  <w:vAlign w:val="center"/>
                </w:tcPr>
                <w:p w14:paraId="61FD0FC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本项目符合《唐山市建筑垃圾处理设施专项规划》（2022-2035）、《迁安市建筑垃圾污染环境防治工作规划（2025-2035）》。</w:t>
                  </w:r>
                </w:p>
              </w:tc>
              <w:tc>
                <w:tcPr>
                  <w:tcW w:w="817" w:type="dxa"/>
                  <w:noWrap w:val="0"/>
                  <w:vAlign w:val="center"/>
                </w:tcPr>
                <w:p w14:paraId="724032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59625E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68" w:hRule="atLeast"/>
                <w:jc w:val="center"/>
              </w:trPr>
              <w:tc>
                <w:tcPr>
                  <w:tcW w:w="551" w:type="dxa"/>
                  <w:vMerge w:val="continue"/>
                  <w:noWrap w:val="0"/>
                  <w:vAlign w:val="center"/>
                </w:tcPr>
                <w:p w14:paraId="2D6B41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6B301F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831" w:type="dxa"/>
                  <w:noWrap w:val="0"/>
                  <w:vAlign w:val="center"/>
                </w:tcPr>
                <w:p w14:paraId="4A6DE35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eastAsia="zh-CN"/>
                    </w:rPr>
                    <w:t>3.0.2建筑垃圾减量应从源头控制。</w:t>
                  </w:r>
                </w:p>
              </w:tc>
              <w:tc>
                <w:tcPr>
                  <w:tcW w:w="3746" w:type="dxa"/>
                  <w:noWrap w:val="0"/>
                  <w:vAlign w:val="center"/>
                </w:tcPr>
                <w:p w14:paraId="2A82661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本项目对符合要求的建筑垃圾进行堆填（砌），不包含源头控制环节。</w:t>
                  </w:r>
                </w:p>
              </w:tc>
              <w:tc>
                <w:tcPr>
                  <w:tcW w:w="817" w:type="dxa"/>
                  <w:noWrap w:val="0"/>
                  <w:vAlign w:val="center"/>
                </w:tcPr>
                <w:p w14:paraId="0104C4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r>
                    <w:rPr>
                      <w:rFonts w:hint="eastAsia"/>
                      <w:color w:val="auto"/>
                      <w:sz w:val="21"/>
                      <w:szCs w:val="21"/>
                      <w:highlight w:val="none"/>
                      <w:lang w:val="en-US" w:eastAsia="zh-CN"/>
                    </w:rPr>
                    <w:t>符合</w:t>
                  </w:r>
                </w:p>
              </w:tc>
            </w:tr>
            <w:tr w14:paraId="4B61C0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8" w:hRule="atLeast"/>
                <w:jc w:val="center"/>
              </w:trPr>
              <w:tc>
                <w:tcPr>
                  <w:tcW w:w="551" w:type="dxa"/>
                  <w:vMerge w:val="continue"/>
                  <w:noWrap w:val="0"/>
                  <w:vAlign w:val="center"/>
                </w:tcPr>
                <w:p w14:paraId="412B29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1264" w:type="dxa"/>
                  <w:vMerge w:val="continue"/>
                  <w:noWrap w:val="0"/>
                  <w:vAlign w:val="center"/>
                </w:tcPr>
                <w:p w14:paraId="2AE692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6831" w:type="dxa"/>
                  <w:noWrap w:val="0"/>
                  <w:vAlign w:val="center"/>
                </w:tcPr>
                <w:p w14:paraId="7F42DA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eastAsia="zh-CN"/>
                    </w:rPr>
                    <w:t>3.0.3建筑垃圾源头减量应覆盖工程建设全过程。</w:t>
                  </w:r>
                </w:p>
              </w:tc>
              <w:tc>
                <w:tcPr>
                  <w:tcW w:w="3746" w:type="dxa"/>
                  <w:noWrap w:val="0"/>
                  <w:vAlign w:val="center"/>
                </w:tcPr>
                <w:p w14:paraId="105B201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本项目对符合要求的建筑垃圾进行堆填（砌），不包含源头减量环节。</w:t>
                  </w:r>
                </w:p>
              </w:tc>
              <w:tc>
                <w:tcPr>
                  <w:tcW w:w="817" w:type="dxa"/>
                  <w:noWrap w:val="0"/>
                  <w:vAlign w:val="center"/>
                </w:tcPr>
                <w:p w14:paraId="44ADDE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r>
                    <w:rPr>
                      <w:rFonts w:hint="eastAsia"/>
                      <w:color w:val="auto"/>
                      <w:sz w:val="21"/>
                      <w:szCs w:val="21"/>
                      <w:highlight w:val="none"/>
                      <w:lang w:val="en-US" w:eastAsia="zh-CN"/>
                    </w:rPr>
                    <w:t>符合</w:t>
                  </w:r>
                </w:p>
              </w:tc>
            </w:tr>
            <w:tr w14:paraId="1682AC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37" w:hRule="atLeast"/>
                <w:jc w:val="center"/>
              </w:trPr>
              <w:tc>
                <w:tcPr>
                  <w:tcW w:w="551" w:type="dxa"/>
                  <w:vMerge w:val="continue"/>
                  <w:noWrap w:val="0"/>
                  <w:vAlign w:val="center"/>
                </w:tcPr>
                <w:p w14:paraId="717D95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1264" w:type="dxa"/>
                  <w:vMerge w:val="continue"/>
                  <w:noWrap w:val="0"/>
                  <w:vAlign w:val="center"/>
                </w:tcPr>
                <w:p w14:paraId="54976C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6831" w:type="dxa"/>
                  <w:noWrap w:val="0"/>
                  <w:vAlign w:val="center"/>
                </w:tcPr>
                <w:p w14:paraId="2DC5F37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eastAsia="zh-CN"/>
                    </w:rPr>
                    <w:t>3.0.4建筑垃圾应从源头分类收集、分类运输、分类处理处置。可综合利用部分就地就近利用和资源化利用。</w:t>
                  </w:r>
                </w:p>
              </w:tc>
              <w:tc>
                <w:tcPr>
                  <w:tcW w:w="3746" w:type="dxa"/>
                  <w:noWrap w:val="0"/>
                  <w:vAlign w:val="center"/>
                </w:tcPr>
                <w:p w14:paraId="462AFE4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eastAsia="zh-CN"/>
                    </w:rPr>
                  </w:pPr>
                  <w:r>
                    <w:rPr>
                      <w:rFonts w:hint="eastAsia"/>
                      <w:color w:val="auto"/>
                      <w:sz w:val="21"/>
                      <w:szCs w:val="21"/>
                      <w:highlight w:val="none"/>
                      <w:lang w:val="en-US" w:eastAsia="zh-CN"/>
                    </w:rPr>
                    <w:t>本项目对符合要求的建筑垃圾进行堆填（砌）。</w:t>
                  </w:r>
                </w:p>
              </w:tc>
              <w:tc>
                <w:tcPr>
                  <w:tcW w:w="817" w:type="dxa"/>
                  <w:noWrap w:val="0"/>
                  <w:vAlign w:val="center"/>
                </w:tcPr>
                <w:p w14:paraId="5DB1AA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r>
                    <w:rPr>
                      <w:rFonts w:hint="eastAsia"/>
                      <w:color w:val="auto"/>
                      <w:sz w:val="21"/>
                      <w:szCs w:val="21"/>
                      <w:highlight w:val="none"/>
                      <w:lang w:val="en-US" w:eastAsia="zh-CN"/>
                    </w:rPr>
                    <w:t>符合</w:t>
                  </w:r>
                </w:p>
              </w:tc>
            </w:tr>
            <w:tr w14:paraId="4C2811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00" w:hRule="atLeast"/>
                <w:jc w:val="center"/>
              </w:trPr>
              <w:tc>
                <w:tcPr>
                  <w:tcW w:w="551" w:type="dxa"/>
                  <w:vMerge w:val="continue"/>
                  <w:noWrap w:val="0"/>
                  <w:vAlign w:val="center"/>
                </w:tcPr>
                <w:p w14:paraId="78EFAC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1264" w:type="dxa"/>
                  <w:vMerge w:val="continue"/>
                  <w:noWrap w:val="0"/>
                  <w:vAlign w:val="center"/>
                </w:tcPr>
                <w:p w14:paraId="10D395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6831" w:type="dxa"/>
                  <w:shd w:val="clear" w:color="auto" w:fill="auto"/>
                  <w:noWrap w:val="0"/>
                  <w:vAlign w:val="center"/>
                </w:tcPr>
                <w:p w14:paraId="6AA990C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3.0.5</w:t>
                  </w:r>
                  <w:r>
                    <w:rPr>
                      <w:rFonts w:hint="eastAsia"/>
                      <w:color w:val="auto"/>
                      <w:sz w:val="21"/>
                      <w:szCs w:val="21"/>
                      <w:highlight w:val="none"/>
                      <w:lang w:eastAsia="zh-CN"/>
                    </w:rPr>
                    <w:t>进入堆砌地处理的物料中不得含有废沥青、金属、橡（</w:t>
                  </w:r>
                  <w:r>
                    <w:rPr>
                      <w:rFonts w:hint="eastAsia"/>
                      <w:color w:val="auto"/>
                      <w:sz w:val="21"/>
                      <w:szCs w:val="21"/>
                      <w:highlight w:val="none"/>
                      <w:lang w:val="en-US" w:eastAsia="zh-CN"/>
                    </w:rPr>
                    <w:t>胶</w:t>
                  </w:r>
                  <w:r>
                    <w:rPr>
                      <w:rFonts w:hint="eastAsia"/>
                      <w:color w:val="auto"/>
                      <w:sz w:val="21"/>
                      <w:szCs w:val="21"/>
                      <w:highlight w:val="none"/>
                      <w:lang w:eastAsia="zh-CN"/>
                    </w:rPr>
                    <w:t>）塑（</w:t>
                  </w:r>
                  <w:r>
                    <w:rPr>
                      <w:rFonts w:hint="eastAsia"/>
                      <w:color w:val="auto"/>
                      <w:sz w:val="21"/>
                      <w:szCs w:val="21"/>
                      <w:highlight w:val="none"/>
                      <w:lang w:val="en-US" w:eastAsia="zh-CN"/>
                    </w:rPr>
                    <w:t>料</w:t>
                  </w:r>
                  <w:r>
                    <w:rPr>
                      <w:rFonts w:hint="eastAsia"/>
                      <w:color w:val="auto"/>
                      <w:sz w:val="21"/>
                      <w:szCs w:val="21"/>
                      <w:highlight w:val="none"/>
                      <w:lang w:eastAsia="zh-CN"/>
                    </w:rPr>
                    <w:t>）。</w:t>
                  </w:r>
                </w:p>
              </w:tc>
              <w:tc>
                <w:tcPr>
                  <w:tcW w:w="3746" w:type="dxa"/>
                  <w:shd w:val="clear" w:color="auto" w:fill="auto"/>
                  <w:noWrap w:val="0"/>
                  <w:vAlign w:val="center"/>
                </w:tcPr>
                <w:p w14:paraId="692F55B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eastAsia="zh-CN"/>
                    </w:rPr>
                    <w:t>进入</w:t>
                  </w:r>
                  <w:r>
                    <w:rPr>
                      <w:rFonts w:hint="eastAsia"/>
                      <w:color w:val="auto"/>
                      <w:sz w:val="21"/>
                      <w:szCs w:val="21"/>
                      <w:highlight w:val="none"/>
                      <w:lang w:val="en-US" w:eastAsia="zh-CN"/>
                    </w:rPr>
                    <w:t>堆填（砌）</w:t>
                  </w:r>
                  <w:r>
                    <w:rPr>
                      <w:rFonts w:hint="eastAsia"/>
                      <w:color w:val="auto"/>
                      <w:sz w:val="21"/>
                      <w:szCs w:val="21"/>
                      <w:highlight w:val="none"/>
                      <w:lang w:eastAsia="zh-CN"/>
                    </w:rPr>
                    <w:t>地处理的物料中不含有废沥青、金属、橡（</w:t>
                  </w:r>
                  <w:r>
                    <w:rPr>
                      <w:rFonts w:hint="eastAsia"/>
                      <w:color w:val="auto"/>
                      <w:sz w:val="21"/>
                      <w:szCs w:val="21"/>
                      <w:highlight w:val="none"/>
                      <w:lang w:val="en-US" w:eastAsia="zh-CN"/>
                    </w:rPr>
                    <w:t>胶</w:t>
                  </w:r>
                  <w:r>
                    <w:rPr>
                      <w:rFonts w:hint="eastAsia"/>
                      <w:color w:val="auto"/>
                      <w:sz w:val="21"/>
                      <w:szCs w:val="21"/>
                      <w:highlight w:val="none"/>
                      <w:lang w:eastAsia="zh-CN"/>
                    </w:rPr>
                    <w:t>）塑（</w:t>
                  </w:r>
                  <w:r>
                    <w:rPr>
                      <w:rFonts w:hint="eastAsia"/>
                      <w:color w:val="auto"/>
                      <w:sz w:val="21"/>
                      <w:szCs w:val="21"/>
                      <w:highlight w:val="none"/>
                      <w:lang w:val="en-US" w:eastAsia="zh-CN"/>
                    </w:rPr>
                    <w:t>料</w:t>
                  </w:r>
                  <w:r>
                    <w:rPr>
                      <w:rFonts w:hint="eastAsia"/>
                      <w:color w:val="auto"/>
                      <w:sz w:val="21"/>
                      <w:szCs w:val="21"/>
                      <w:highlight w:val="none"/>
                      <w:lang w:eastAsia="zh-CN"/>
                    </w:rPr>
                    <w:t>）。</w:t>
                  </w:r>
                </w:p>
              </w:tc>
              <w:tc>
                <w:tcPr>
                  <w:tcW w:w="817" w:type="dxa"/>
                  <w:shd w:val="clear" w:color="auto" w:fill="auto"/>
                  <w:noWrap w:val="0"/>
                  <w:vAlign w:val="center"/>
                </w:tcPr>
                <w:p w14:paraId="17CF86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符合</w:t>
                  </w:r>
                </w:p>
              </w:tc>
            </w:tr>
            <w:tr w14:paraId="5562A3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12" w:hRule="atLeast"/>
                <w:jc w:val="center"/>
              </w:trPr>
              <w:tc>
                <w:tcPr>
                  <w:tcW w:w="551" w:type="dxa"/>
                  <w:vMerge w:val="continue"/>
                  <w:noWrap w:val="0"/>
                  <w:vAlign w:val="center"/>
                </w:tcPr>
                <w:p w14:paraId="356481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1264" w:type="dxa"/>
                  <w:vMerge w:val="continue"/>
                  <w:noWrap w:val="0"/>
                  <w:vAlign w:val="center"/>
                </w:tcPr>
                <w:p w14:paraId="7179C7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eastAsia="zh-CN"/>
                    </w:rPr>
                  </w:pPr>
                </w:p>
              </w:tc>
              <w:tc>
                <w:tcPr>
                  <w:tcW w:w="6831" w:type="dxa"/>
                  <w:noWrap w:val="0"/>
                  <w:vAlign w:val="center"/>
                </w:tcPr>
                <w:p w14:paraId="6C7FBD4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3.0.8堆砌工程规模宜按下列规定分类：</w:t>
                  </w:r>
                </w:p>
                <w:p w14:paraId="2291492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1</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I类：全场处理能力5000t/d以上</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含5000t/d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w:t>
                  </w:r>
                </w:p>
                <w:p w14:paraId="3E03901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2</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Ⅱ类：全场处理能力3000t/d~5000t/d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含3000t/d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w:t>
                  </w:r>
                </w:p>
                <w:p w14:paraId="5B210E6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3</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ⅢI类：全场处理能力1000t/d~3000t/d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含1000t/d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w:t>
                  </w:r>
                </w:p>
                <w:p w14:paraId="6161F52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4</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Ⅳ类：全场处理能力500t/d~1000t/d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含500t/d</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w:t>
                  </w:r>
                </w:p>
                <w:p w14:paraId="16878B8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5</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V类</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eastAsia="zh-CN"/>
                    </w:rPr>
                    <w:t>全场处理能力500t/d以下。</w:t>
                  </w:r>
                </w:p>
              </w:tc>
              <w:tc>
                <w:tcPr>
                  <w:tcW w:w="3746" w:type="dxa"/>
                  <w:noWrap w:val="0"/>
                  <w:vAlign w:val="center"/>
                </w:tcPr>
                <w:p w14:paraId="76A6514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w:t>
                  </w:r>
                  <w:r>
                    <w:rPr>
                      <w:rFonts w:hint="eastAsia"/>
                      <w:color w:val="auto"/>
                      <w:sz w:val="21"/>
                      <w:szCs w:val="21"/>
                      <w:highlight w:val="none"/>
                      <w:lang w:val="en-US" w:eastAsia="zh-CN"/>
                    </w:rPr>
                    <w:t>堆填（砌）</w:t>
                  </w:r>
                  <w:r>
                    <w:rPr>
                      <w:rFonts w:hint="eastAsia" w:ascii="Times New Roman" w:hAnsi="Times New Roman" w:cs="Times New Roman"/>
                      <w:color w:val="auto"/>
                      <w:sz w:val="21"/>
                      <w:szCs w:val="21"/>
                      <w:highlight w:val="none"/>
                      <w:lang w:val="en-US" w:eastAsia="zh-CN"/>
                    </w:rPr>
                    <w:t>场为</w:t>
                  </w:r>
                  <w:r>
                    <w:rPr>
                      <w:rFonts w:hint="default" w:ascii="Times New Roman" w:hAnsi="Times New Roman" w:cs="Times New Roman"/>
                      <w:color w:val="auto"/>
                      <w:sz w:val="21"/>
                      <w:szCs w:val="21"/>
                      <w:highlight w:val="none"/>
                      <w:lang w:eastAsia="zh-CN"/>
                    </w:rPr>
                    <w:t>V类</w:t>
                  </w:r>
                  <w:r>
                    <w:rPr>
                      <w:rFonts w:hint="eastAsia" w:cs="Times New Roman"/>
                      <w:color w:val="auto"/>
                      <w:sz w:val="21"/>
                      <w:szCs w:val="21"/>
                      <w:highlight w:val="none"/>
                      <w:lang w:eastAsia="zh-CN"/>
                    </w:rPr>
                    <w:t>。</w:t>
                  </w:r>
                </w:p>
              </w:tc>
              <w:tc>
                <w:tcPr>
                  <w:tcW w:w="817" w:type="dxa"/>
                  <w:noWrap w:val="0"/>
                  <w:vAlign w:val="center"/>
                </w:tcPr>
                <w:p w14:paraId="453672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lang w:val="en-US" w:eastAsia="zh-CN"/>
                    </w:rPr>
                  </w:pPr>
                  <w:r>
                    <w:rPr>
                      <w:rFonts w:hint="eastAsia"/>
                      <w:color w:val="auto"/>
                      <w:sz w:val="21"/>
                      <w:szCs w:val="21"/>
                      <w:highlight w:val="none"/>
                      <w:lang w:val="en-US" w:eastAsia="zh-CN"/>
                    </w:rPr>
                    <w:t>/</w:t>
                  </w:r>
                </w:p>
              </w:tc>
            </w:tr>
            <w:tr w14:paraId="285873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77" w:hRule="atLeast"/>
                <w:jc w:val="center"/>
              </w:trPr>
              <w:tc>
                <w:tcPr>
                  <w:tcW w:w="551" w:type="dxa"/>
                  <w:vMerge w:val="restart"/>
                  <w:noWrap w:val="0"/>
                  <w:vAlign w:val="center"/>
                </w:tcPr>
                <w:p w14:paraId="3B308EFC">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068DD1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4.场址选择及总体设计</w:t>
                  </w:r>
                </w:p>
              </w:tc>
              <w:tc>
                <w:tcPr>
                  <w:tcW w:w="6831" w:type="dxa"/>
                  <w:noWrap w:val="0"/>
                  <w:vAlign w:val="center"/>
                </w:tcPr>
                <w:p w14:paraId="634BC75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4.1场址选择</w:t>
                  </w:r>
                </w:p>
                <w:p w14:paraId="6C54FB9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4.1.1堆砌地宜位于城市规划建成区外，优先选用废弃的采矿坑、滩涂造地等。</w:t>
                  </w:r>
                </w:p>
              </w:tc>
              <w:tc>
                <w:tcPr>
                  <w:tcW w:w="3746" w:type="dxa"/>
                  <w:noWrap w:val="0"/>
                  <w:vAlign w:val="center"/>
                </w:tcPr>
                <w:p w14:paraId="10D7946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本项目不在城市规划建成区，主要利用现有废弃低洼坑塘堆填（砌）建筑垃圾。</w:t>
                  </w:r>
                </w:p>
              </w:tc>
              <w:tc>
                <w:tcPr>
                  <w:tcW w:w="817" w:type="dxa"/>
                  <w:noWrap w:val="0"/>
                  <w:vAlign w:val="center"/>
                </w:tcPr>
                <w:p w14:paraId="0C74FD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5D802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43CE67B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1F9181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831" w:type="dxa"/>
                  <w:noWrap w:val="0"/>
                  <w:vAlign w:val="center"/>
                </w:tcPr>
                <w:p w14:paraId="2FE31F2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4.1.2堆砌地选址不应位于生活饮用水水源保护区、供水远景规划区、自然保护区、文物古迹区、考古学、历史学及生物学研究考察区。</w:t>
                  </w:r>
                </w:p>
              </w:tc>
              <w:tc>
                <w:tcPr>
                  <w:tcW w:w="3746" w:type="dxa"/>
                  <w:noWrap w:val="0"/>
                  <w:vAlign w:val="center"/>
                </w:tcPr>
                <w:p w14:paraId="00F1968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本项目选址不在生活饮用水水源保护区、供水远景规划区、自然保护区、文物古迹区、考古学、历史学及生物学研究考察区。</w:t>
                  </w:r>
                </w:p>
              </w:tc>
              <w:tc>
                <w:tcPr>
                  <w:tcW w:w="817" w:type="dxa"/>
                  <w:noWrap w:val="0"/>
                  <w:vAlign w:val="center"/>
                </w:tcPr>
                <w:p w14:paraId="5973A8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EAA03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64" w:hRule="atLeast"/>
                <w:jc w:val="center"/>
              </w:trPr>
              <w:tc>
                <w:tcPr>
                  <w:tcW w:w="551" w:type="dxa"/>
                  <w:vMerge w:val="continue"/>
                  <w:noWrap w:val="0"/>
                  <w:vAlign w:val="center"/>
                </w:tcPr>
                <w:p w14:paraId="2FFE43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085B31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3FB8E1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4.1.3堆砌地工程地质与水文地质条件应满足设施建设和运行的要求，不应选在发震断层、滑坡、泥石流、沼泽、流沙及采矿陷落区等地区。</w:t>
                  </w:r>
                </w:p>
              </w:tc>
              <w:tc>
                <w:tcPr>
                  <w:tcW w:w="3746" w:type="dxa"/>
                  <w:noWrap w:val="0"/>
                  <w:vAlign w:val="center"/>
                </w:tcPr>
                <w:p w14:paraId="344D20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本项目占地地质与水文地质条件满足设施建设和运行的要求，不在发震断层、滑坡、泥石流、沼泽、流沙及采矿陷落区等地区。</w:t>
                  </w:r>
                </w:p>
              </w:tc>
              <w:tc>
                <w:tcPr>
                  <w:tcW w:w="817" w:type="dxa"/>
                  <w:noWrap w:val="0"/>
                  <w:vAlign w:val="center"/>
                </w:tcPr>
                <w:p w14:paraId="71A11BE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4B9D1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03" w:hRule="atLeast"/>
                <w:jc w:val="center"/>
              </w:trPr>
              <w:tc>
                <w:tcPr>
                  <w:tcW w:w="551" w:type="dxa"/>
                  <w:vMerge w:val="continue"/>
                  <w:noWrap w:val="0"/>
                  <w:vAlign w:val="center"/>
                </w:tcPr>
                <w:p w14:paraId="132192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1C169C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0AD755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4.1.4堆砌地选址应交通方便、运距合理，宜有良好的电力、给水和排水条件，宜位于夏季主导风向下风向。</w:t>
                  </w:r>
                </w:p>
              </w:tc>
              <w:tc>
                <w:tcPr>
                  <w:tcW w:w="3746" w:type="dxa"/>
                  <w:noWrap w:val="0"/>
                  <w:vAlign w:val="center"/>
                </w:tcPr>
                <w:p w14:paraId="62F1373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本项目选址交通方便、运距合理，有良好的电力、给水条件，无废水外排。本项目周边无环境保护目标。</w:t>
                  </w:r>
                </w:p>
              </w:tc>
              <w:tc>
                <w:tcPr>
                  <w:tcW w:w="817" w:type="dxa"/>
                  <w:noWrap w:val="0"/>
                  <w:vAlign w:val="center"/>
                </w:tcPr>
                <w:p w14:paraId="72D7ED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374C9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22B877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7467CE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044D8B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4.1.5堆砌地场址不应受洪水、潮水或内涝的威胁。同时应有可靠的防洪、排涝措施。</w:t>
                  </w:r>
                </w:p>
              </w:tc>
              <w:tc>
                <w:tcPr>
                  <w:tcW w:w="3746" w:type="dxa"/>
                  <w:noWrap w:val="0"/>
                  <w:vAlign w:val="center"/>
                </w:tcPr>
                <w:p w14:paraId="31F358A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本项目场址不受洪水、潮水或内涝的威胁。同时有可靠的防洪、排涝措施。</w:t>
                  </w:r>
                </w:p>
              </w:tc>
              <w:tc>
                <w:tcPr>
                  <w:tcW w:w="817" w:type="dxa"/>
                  <w:noWrap w:val="0"/>
                  <w:vAlign w:val="center"/>
                </w:tcPr>
                <w:p w14:paraId="094C57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1F1D1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31" w:hRule="atLeast"/>
                <w:jc w:val="center"/>
              </w:trPr>
              <w:tc>
                <w:tcPr>
                  <w:tcW w:w="551" w:type="dxa"/>
                  <w:vMerge w:val="continue"/>
                  <w:noWrap w:val="0"/>
                  <w:vAlign w:val="center"/>
                </w:tcPr>
                <w:p w14:paraId="281AEF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2C27BC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B5FEF3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4.2总体设计</w:t>
                  </w:r>
                </w:p>
                <w:p w14:paraId="34DA3B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4.2.1堆砌地主体设施工程应包括计量设施、预处理系统、垃圾坝、地基处理、地下水收集导排系统、地表水收集导排系统、场区道路、堆砌库区、封场覆盖及生态修复系统、安全与环境监测等。</w:t>
                  </w:r>
                </w:p>
              </w:tc>
              <w:tc>
                <w:tcPr>
                  <w:tcW w:w="3746" w:type="dxa"/>
                  <w:noWrap w:val="0"/>
                  <w:vAlign w:val="center"/>
                </w:tcPr>
                <w:p w14:paraId="5055821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主体设施工程包括计量设施、垃圾坝、地基处理、地下水收集导排系统、地表水收集导排系统、场区道路、堆砌库区、封场覆盖及生态修复系统、安全与环境监测等，本项目仅对符合要求的建筑垃圾进行堆填（砌），不进行预处理。</w:t>
                  </w:r>
                </w:p>
              </w:tc>
              <w:tc>
                <w:tcPr>
                  <w:tcW w:w="817" w:type="dxa"/>
                  <w:noWrap w:val="0"/>
                  <w:vAlign w:val="center"/>
                </w:tcPr>
                <w:p w14:paraId="60E520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EDFA5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79" w:hRule="atLeast"/>
                <w:jc w:val="center"/>
              </w:trPr>
              <w:tc>
                <w:tcPr>
                  <w:tcW w:w="551" w:type="dxa"/>
                  <w:vMerge w:val="continue"/>
                  <w:noWrap w:val="0"/>
                  <w:vAlign w:val="center"/>
                </w:tcPr>
                <w:p w14:paraId="20683A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E8DD1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0ABBCE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4.2.2总平面布置应根据场址地形，结合风向（夏季主导风）、地质条件、周围自然环境、外部工程条件等，并考虑施工、作业等因素，经过技术经济比较确定。</w:t>
                  </w:r>
                </w:p>
              </w:tc>
              <w:tc>
                <w:tcPr>
                  <w:tcW w:w="3746" w:type="dxa"/>
                  <w:noWrap w:val="0"/>
                  <w:vAlign w:val="center"/>
                </w:tcPr>
                <w:p w14:paraId="153B32A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总平面布置根据场址地形，结合风向（夏季主导风）、地质条件、周围自然环境、外部工程条件等，并考虑施工、作业等因素，经过技术经济比较确定。</w:t>
                  </w:r>
                </w:p>
              </w:tc>
              <w:tc>
                <w:tcPr>
                  <w:tcW w:w="817" w:type="dxa"/>
                  <w:noWrap w:val="0"/>
                  <w:vAlign w:val="center"/>
                </w:tcPr>
                <w:p w14:paraId="09DC0C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9F0BA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08" w:hRule="atLeast"/>
                <w:jc w:val="center"/>
              </w:trPr>
              <w:tc>
                <w:tcPr>
                  <w:tcW w:w="551" w:type="dxa"/>
                  <w:vMerge w:val="continue"/>
                  <w:noWrap w:val="0"/>
                  <w:vAlign w:val="center"/>
                </w:tcPr>
                <w:p w14:paraId="300D79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A1DAB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19FA9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4.2.3总平面布置应有利于减少建筑垃圾运输和处理过程中的粉尘、噪声等对周围环境的影响。</w:t>
                  </w:r>
                </w:p>
              </w:tc>
              <w:tc>
                <w:tcPr>
                  <w:tcW w:w="3746" w:type="dxa"/>
                  <w:noWrap w:val="0"/>
                  <w:vAlign w:val="center"/>
                </w:tcPr>
                <w:p w14:paraId="3302511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总平面布置有利于减少建筑垃圾运输和处理过程中的粉尘、噪声等对周围环境的影响。</w:t>
                  </w:r>
                </w:p>
              </w:tc>
              <w:tc>
                <w:tcPr>
                  <w:tcW w:w="817" w:type="dxa"/>
                  <w:noWrap w:val="0"/>
                  <w:vAlign w:val="center"/>
                </w:tcPr>
                <w:p w14:paraId="21065B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6BD29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0" w:hRule="atLeast"/>
                <w:jc w:val="center"/>
              </w:trPr>
              <w:tc>
                <w:tcPr>
                  <w:tcW w:w="551" w:type="dxa"/>
                  <w:vMerge w:val="continue"/>
                  <w:noWrap w:val="0"/>
                  <w:vAlign w:val="center"/>
                </w:tcPr>
                <w:p w14:paraId="7B8314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763FF4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C8DFCC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4.2.4宜分别设置人流和物流出入口，两出入口不得相互影响，且应做到进出车辆畅通。</w:t>
                  </w:r>
                </w:p>
              </w:tc>
              <w:tc>
                <w:tcPr>
                  <w:tcW w:w="3746" w:type="dxa"/>
                  <w:noWrap w:val="0"/>
                  <w:vAlign w:val="center"/>
                </w:tcPr>
                <w:p w14:paraId="01F504F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设置人流和物流出入口，两出入口不相互影响，进出车辆畅通。</w:t>
                  </w:r>
                </w:p>
              </w:tc>
              <w:tc>
                <w:tcPr>
                  <w:tcW w:w="817" w:type="dxa"/>
                  <w:noWrap w:val="0"/>
                  <w:vAlign w:val="center"/>
                </w:tcPr>
                <w:p w14:paraId="301436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160B9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97" w:hRule="atLeast"/>
                <w:jc w:val="center"/>
              </w:trPr>
              <w:tc>
                <w:tcPr>
                  <w:tcW w:w="551" w:type="dxa"/>
                  <w:vMerge w:val="continue"/>
                  <w:noWrap w:val="0"/>
                  <w:vAlign w:val="center"/>
                </w:tcPr>
                <w:p w14:paraId="5E56DF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5AE5A0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C97037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4.2.5分期建设的工程应在总平面布置时预留分期工程场地。</w:t>
                  </w:r>
                </w:p>
              </w:tc>
              <w:tc>
                <w:tcPr>
                  <w:tcW w:w="3746" w:type="dxa"/>
                  <w:noWrap w:val="0"/>
                  <w:vAlign w:val="center"/>
                </w:tcPr>
                <w:p w14:paraId="4B239C3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本项目不分期建设。</w:t>
                  </w:r>
                </w:p>
              </w:tc>
              <w:tc>
                <w:tcPr>
                  <w:tcW w:w="817" w:type="dxa"/>
                  <w:noWrap w:val="0"/>
                  <w:vAlign w:val="center"/>
                </w:tcPr>
                <w:p w14:paraId="64887E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5E9E0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76" w:hRule="atLeast"/>
                <w:jc w:val="center"/>
              </w:trPr>
              <w:tc>
                <w:tcPr>
                  <w:tcW w:w="551" w:type="dxa"/>
                  <w:vMerge w:val="continue"/>
                  <w:noWrap w:val="0"/>
                  <w:vAlign w:val="center"/>
                </w:tcPr>
                <w:p w14:paraId="3CB11A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5C8022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60988C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4.2.6堆砌地总平面布置时应以堆砌库区为重点进行布置，堆砌库区占地面积宜为总面积的70%~90%，不得小于60%。</w:t>
                  </w:r>
                </w:p>
              </w:tc>
              <w:tc>
                <w:tcPr>
                  <w:tcW w:w="3746" w:type="dxa"/>
                  <w:noWrap w:val="0"/>
                  <w:vAlign w:val="center"/>
                </w:tcPr>
                <w:p w14:paraId="0F7BC33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堆填（砌）地总平面布置时以堆填（砌）库区为重点进行布置，堆填（砌）库区占地面积为总面积的93%。</w:t>
                  </w:r>
                </w:p>
              </w:tc>
              <w:tc>
                <w:tcPr>
                  <w:tcW w:w="817" w:type="dxa"/>
                  <w:noWrap w:val="0"/>
                  <w:vAlign w:val="center"/>
                </w:tcPr>
                <w:p w14:paraId="78C08A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935B0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19" w:hRule="atLeast"/>
                <w:jc w:val="center"/>
              </w:trPr>
              <w:tc>
                <w:tcPr>
                  <w:tcW w:w="551" w:type="dxa"/>
                  <w:vMerge w:val="continue"/>
                  <w:noWrap w:val="0"/>
                  <w:vAlign w:val="center"/>
                </w:tcPr>
                <w:p w14:paraId="0636C9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305FC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D20E7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4.2.7堆砌地总平面布置时堆砌库区应按照分区进行布置，分区的顺序应有利于交通运输和堆砌作业。</w:t>
                  </w:r>
                </w:p>
              </w:tc>
              <w:tc>
                <w:tcPr>
                  <w:tcW w:w="3746" w:type="dxa"/>
                  <w:noWrap w:val="0"/>
                  <w:vAlign w:val="center"/>
                </w:tcPr>
                <w:p w14:paraId="55D6722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堆填（砌）地总平面布置时堆填（砌）库区按照分区进行布置，分区的顺序有利于交通运输和堆砌作业。</w:t>
                  </w:r>
                </w:p>
              </w:tc>
              <w:tc>
                <w:tcPr>
                  <w:tcW w:w="817" w:type="dxa"/>
                  <w:noWrap w:val="0"/>
                  <w:vAlign w:val="center"/>
                </w:tcPr>
                <w:p w14:paraId="3C7D8C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13C87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9" w:hRule="atLeast"/>
                <w:jc w:val="center"/>
              </w:trPr>
              <w:tc>
                <w:tcPr>
                  <w:tcW w:w="551" w:type="dxa"/>
                  <w:vMerge w:val="continue"/>
                  <w:noWrap w:val="0"/>
                  <w:vAlign w:val="center"/>
                </w:tcPr>
                <w:p w14:paraId="635743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10FD9F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06FA95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4.2.8场区管线布置应符合下列规定：</w:t>
                  </w:r>
                </w:p>
                <w:p w14:paraId="09CF124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1.应设置雨、污水分流管线，并导排通畅。</w:t>
                  </w:r>
                </w:p>
                <w:p w14:paraId="438854B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2.管线布置应避免相互干扰，各种管线应用不同颜色加以区别。</w:t>
                  </w:r>
                </w:p>
              </w:tc>
              <w:tc>
                <w:tcPr>
                  <w:tcW w:w="3746" w:type="dxa"/>
                  <w:noWrap w:val="0"/>
                  <w:vAlign w:val="center"/>
                </w:tcPr>
                <w:p w14:paraId="2EE7E6F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1.设置雨、污水分流管线，并导排通畅。</w:t>
                  </w:r>
                </w:p>
                <w:p w14:paraId="461762E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2.管线布置避免相互干扰，各种管线用不同颜色加以区别。</w:t>
                  </w:r>
                </w:p>
              </w:tc>
              <w:tc>
                <w:tcPr>
                  <w:tcW w:w="817" w:type="dxa"/>
                  <w:noWrap w:val="0"/>
                  <w:vAlign w:val="center"/>
                </w:tcPr>
                <w:p w14:paraId="0C1A11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B3294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25" w:hRule="atLeast"/>
                <w:jc w:val="center"/>
              </w:trPr>
              <w:tc>
                <w:tcPr>
                  <w:tcW w:w="551" w:type="dxa"/>
                  <w:vMerge w:val="continue"/>
                  <w:noWrap w:val="0"/>
                  <w:vAlign w:val="center"/>
                </w:tcPr>
                <w:p w14:paraId="2FB0FD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4C241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EB243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4.2.9道路的设置，应满足交通运输和消防的需求，并应与场区竖向设计、绿化及管线敷设相协调。</w:t>
                  </w:r>
                </w:p>
              </w:tc>
              <w:tc>
                <w:tcPr>
                  <w:tcW w:w="3746" w:type="dxa"/>
                  <w:noWrap w:val="0"/>
                  <w:vAlign w:val="center"/>
                </w:tcPr>
                <w:p w14:paraId="03D1DC6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按照交通运输和消防的需求设置道路，与场区竖向设计、绿化及管线敷设相协调。</w:t>
                  </w:r>
                </w:p>
              </w:tc>
              <w:tc>
                <w:tcPr>
                  <w:tcW w:w="817" w:type="dxa"/>
                  <w:noWrap w:val="0"/>
                  <w:vAlign w:val="center"/>
                </w:tcPr>
                <w:p w14:paraId="5C123D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67F82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28" w:hRule="atLeast"/>
                <w:jc w:val="center"/>
              </w:trPr>
              <w:tc>
                <w:tcPr>
                  <w:tcW w:w="551" w:type="dxa"/>
                  <w:vMerge w:val="continue"/>
                  <w:noWrap w:val="0"/>
                  <w:vAlign w:val="center"/>
                </w:tcPr>
                <w:p w14:paraId="5FE35C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4DB937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B23584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4.2.10道路路线设计应根据厂区地形、地质、处理作业顺序、各处理阶段以及预处理区、堆砌库区和管理区位置合理布置。</w:t>
                  </w:r>
                </w:p>
              </w:tc>
              <w:tc>
                <w:tcPr>
                  <w:tcW w:w="3746" w:type="dxa"/>
                  <w:noWrap w:val="0"/>
                  <w:vAlign w:val="center"/>
                </w:tcPr>
                <w:p w14:paraId="33DF9E7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本项目对符合要求的建筑垃圾进行堆填（砌），不涉及建筑垃圾处理等其他作业。</w:t>
                  </w:r>
                </w:p>
              </w:tc>
              <w:tc>
                <w:tcPr>
                  <w:tcW w:w="817" w:type="dxa"/>
                  <w:noWrap w:val="0"/>
                  <w:vAlign w:val="center"/>
                </w:tcPr>
                <w:p w14:paraId="3366BC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CBA63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795627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76256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5BCAEB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4.2.11道路应符合下列规定：</w:t>
                  </w:r>
                </w:p>
                <w:p w14:paraId="360EDF9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主要道路当为双向通行时，宽度不宜小于7m；当为单向通行时，宽度不宜小于4m。坡道中心线圆曲线半径不宜小于15m，纵坡不应大于8%。圆曲线处道路的加宽应根据通行车型确定。宜设置应急停车场，应急停车场可设在厂区物流出人口附近。</w:t>
                  </w:r>
                </w:p>
                <w:p w14:paraId="7BA5B7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2.道路应满足全天候使用并做好排水措施。</w:t>
                  </w:r>
                </w:p>
                <w:p w14:paraId="7F08FA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3.主干道路面宜采用水泥混凝土或沥青混凝土。</w:t>
                  </w:r>
                </w:p>
                <w:p w14:paraId="0917F18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堆砌地道路应根据其功能要求分为永久性道路和库区内临时性道路进行布局。永久性道路应按现行国家标准《厂矿道路设计规范》GBJ22中的露天矿山道路三级或三级以上标准设计；库区内临时性道路及回（会）车和作业平台可采用中级或低级路面，并宜有防滑、防陷设施。</w:t>
                  </w:r>
                </w:p>
              </w:tc>
              <w:tc>
                <w:tcPr>
                  <w:tcW w:w="3746" w:type="dxa"/>
                  <w:noWrap w:val="0"/>
                  <w:vAlign w:val="center"/>
                </w:tcPr>
                <w:p w14:paraId="04B7505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按要求设置道路。</w:t>
                  </w:r>
                </w:p>
              </w:tc>
              <w:tc>
                <w:tcPr>
                  <w:tcW w:w="817" w:type="dxa"/>
                  <w:noWrap w:val="0"/>
                  <w:vAlign w:val="center"/>
                </w:tcPr>
                <w:p w14:paraId="47FE32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DE7C7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9" w:hRule="atLeast"/>
                <w:jc w:val="center"/>
              </w:trPr>
              <w:tc>
                <w:tcPr>
                  <w:tcW w:w="551" w:type="dxa"/>
                  <w:vMerge w:val="continue"/>
                  <w:noWrap w:val="0"/>
                  <w:vAlign w:val="center"/>
                </w:tcPr>
                <w:p w14:paraId="35EDB4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513BE9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A3F966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4.2.12堆砌地宜对进场垃圾的重量进行计量。计量房应设置在处理工程的交通入口处，并应具有良好的通视条件。</w:t>
                  </w:r>
                </w:p>
              </w:tc>
              <w:tc>
                <w:tcPr>
                  <w:tcW w:w="3746" w:type="dxa"/>
                  <w:noWrap w:val="0"/>
                  <w:vAlign w:val="center"/>
                </w:tcPr>
                <w:p w14:paraId="1678F63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设置地磅。</w:t>
                  </w:r>
                </w:p>
              </w:tc>
              <w:tc>
                <w:tcPr>
                  <w:tcW w:w="817" w:type="dxa"/>
                  <w:noWrap w:val="0"/>
                  <w:vAlign w:val="center"/>
                </w:tcPr>
                <w:p w14:paraId="14A7F2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1D83E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85" w:hRule="atLeast"/>
                <w:jc w:val="center"/>
              </w:trPr>
              <w:tc>
                <w:tcPr>
                  <w:tcW w:w="551" w:type="dxa"/>
                  <w:vMerge w:val="continue"/>
                  <w:noWrap w:val="0"/>
                  <w:vAlign w:val="center"/>
                </w:tcPr>
                <w:p w14:paraId="67868B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5ACF1F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7F80C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4.2.13汽车衡设置数量应符合下列规定：</w:t>
                  </w:r>
                </w:p>
                <w:p w14:paraId="41D0E85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Ⅰ类处理工程设置3台或以上。</w:t>
                  </w:r>
                </w:p>
                <w:p w14:paraId="4306650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Ⅱ类、Ⅲ类处理工程设置2台~3台。</w:t>
                  </w:r>
                </w:p>
                <w:p w14:paraId="3FFABD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Ⅳ类、V类处理工程设置1台~2台。</w:t>
                  </w:r>
                </w:p>
              </w:tc>
              <w:tc>
                <w:tcPr>
                  <w:tcW w:w="3746" w:type="dxa"/>
                  <w:noWrap w:val="0"/>
                  <w:vAlign w:val="center"/>
                </w:tcPr>
                <w:p w14:paraId="322205F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w:t>
                  </w:r>
                  <w:r>
                    <w:rPr>
                      <w:rFonts w:hint="eastAsia"/>
                      <w:color w:val="auto"/>
                      <w:sz w:val="21"/>
                      <w:szCs w:val="21"/>
                      <w:highlight w:val="none"/>
                      <w:lang w:val="en-US" w:eastAsia="zh-CN"/>
                    </w:rPr>
                    <w:t>堆填（砌）</w:t>
                  </w:r>
                  <w:r>
                    <w:rPr>
                      <w:rFonts w:hint="eastAsia" w:ascii="Times New Roman" w:hAnsi="Times New Roman" w:cs="Times New Roman"/>
                      <w:color w:val="auto"/>
                      <w:sz w:val="21"/>
                      <w:szCs w:val="21"/>
                      <w:highlight w:val="none"/>
                      <w:lang w:val="en-US" w:eastAsia="zh-CN"/>
                    </w:rPr>
                    <w:t>场为</w:t>
                  </w:r>
                  <w:r>
                    <w:rPr>
                      <w:rFonts w:hint="default" w:ascii="Times New Roman" w:hAnsi="Times New Roman" w:cs="Times New Roman"/>
                      <w:color w:val="auto"/>
                      <w:sz w:val="21"/>
                      <w:szCs w:val="21"/>
                      <w:highlight w:val="none"/>
                      <w:lang w:eastAsia="zh-CN"/>
                    </w:rPr>
                    <w:t>V类</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设置1台地磅。</w:t>
                  </w:r>
                </w:p>
              </w:tc>
              <w:tc>
                <w:tcPr>
                  <w:tcW w:w="817" w:type="dxa"/>
                  <w:noWrap w:val="0"/>
                  <w:vAlign w:val="center"/>
                </w:tcPr>
                <w:p w14:paraId="1F67FC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C6F29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40" w:hRule="atLeast"/>
                <w:jc w:val="center"/>
              </w:trPr>
              <w:tc>
                <w:tcPr>
                  <w:tcW w:w="551" w:type="dxa"/>
                  <w:vMerge w:val="continue"/>
                  <w:noWrap w:val="0"/>
                  <w:vAlign w:val="center"/>
                </w:tcPr>
                <w:p w14:paraId="252AE7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48577F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AE9F90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4.2.14计量设施应具有称重、记录、打印与数据处理、传输功能，宜配置备用电源。</w:t>
                  </w:r>
                </w:p>
              </w:tc>
              <w:tc>
                <w:tcPr>
                  <w:tcW w:w="3746" w:type="dxa"/>
                  <w:noWrap w:val="0"/>
                  <w:vAlign w:val="center"/>
                </w:tcPr>
                <w:p w14:paraId="3278DDA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计量设施具有称重、记录、打印与数据处理、传输功能，配置备用电源。</w:t>
                  </w:r>
                </w:p>
              </w:tc>
              <w:tc>
                <w:tcPr>
                  <w:tcW w:w="817" w:type="dxa"/>
                  <w:noWrap w:val="0"/>
                  <w:vAlign w:val="center"/>
                </w:tcPr>
                <w:p w14:paraId="468EE1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43273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57" w:hRule="atLeast"/>
                <w:jc w:val="center"/>
              </w:trPr>
              <w:tc>
                <w:tcPr>
                  <w:tcW w:w="551" w:type="dxa"/>
                  <w:vMerge w:val="continue"/>
                  <w:noWrap w:val="0"/>
                  <w:vAlign w:val="center"/>
                </w:tcPr>
                <w:p w14:paraId="3E97B0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2E885A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4CE642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4.2.15计量地磅应采用建筑垃圾场车辆计量专用的动静态电子地磅，地磅规格宜按建筑垃圾车最大满载重量的1.3倍~1.7倍配置，称量精度不宜小于贸易计量Ⅲ级。</w:t>
                  </w:r>
                </w:p>
              </w:tc>
              <w:tc>
                <w:tcPr>
                  <w:tcW w:w="3746" w:type="dxa"/>
                  <w:noWrap w:val="0"/>
                  <w:vAlign w:val="center"/>
                </w:tcPr>
                <w:p w14:paraId="140F27C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计量地磅采用建筑垃圾场车辆计量专用的动静态电子地磅，地磅规格按建筑垃圾车最大满载重量的1.3倍~1.7倍配置，称量精度不小于贸易计量Ⅲ级</w:t>
                  </w:r>
                  <w:r>
                    <w:rPr>
                      <w:rFonts w:hint="eastAsia" w:cs="Times New Roman"/>
                      <w:color w:val="auto"/>
                      <w:sz w:val="21"/>
                      <w:szCs w:val="21"/>
                      <w:highlight w:val="none"/>
                      <w:lang w:val="en-US" w:eastAsia="zh-CN"/>
                    </w:rPr>
                    <w:t>。</w:t>
                  </w:r>
                </w:p>
              </w:tc>
              <w:tc>
                <w:tcPr>
                  <w:tcW w:w="817" w:type="dxa"/>
                  <w:noWrap w:val="0"/>
                  <w:vAlign w:val="center"/>
                </w:tcPr>
                <w:p w14:paraId="5BFD47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FD214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63" w:hRule="atLeast"/>
                <w:jc w:val="center"/>
              </w:trPr>
              <w:tc>
                <w:tcPr>
                  <w:tcW w:w="551" w:type="dxa"/>
                  <w:vMerge w:val="continue"/>
                  <w:noWrap w:val="0"/>
                  <w:vAlign w:val="center"/>
                </w:tcPr>
                <w:p w14:paraId="6C4D8A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44EC4E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83D3C5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4.2.16地磅进出车端的道路坡度不宜过大，宜设置为平坡直线段，地磅前方10m处宜设置减速装置。</w:t>
                  </w:r>
                </w:p>
              </w:tc>
              <w:tc>
                <w:tcPr>
                  <w:tcW w:w="3746" w:type="dxa"/>
                  <w:noWrap w:val="0"/>
                  <w:vAlign w:val="center"/>
                </w:tcPr>
                <w:p w14:paraId="2C6E2C2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地磅进出车端的道路设置为平坡直线段，地磅前方10m处设置减速装置。</w:t>
                  </w:r>
                </w:p>
              </w:tc>
              <w:tc>
                <w:tcPr>
                  <w:tcW w:w="817" w:type="dxa"/>
                  <w:noWrap w:val="0"/>
                  <w:vAlign w:val="center"/>
                </w:tcPr>
                <w:p w14:paraId="513C31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AA3AB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63" w:hRule="atLeast"/>
                <w:jc w:val="center"/>
              </w:trPr>
              <w:tc>
                <w:tcPr>
                  <w:tcW w:w="551" w:type="dxa"/>
                  <w:vMerge w:val="continue"/>
                  <w:noWrap w:val="0"/>
                  <w:vAlign w:val="center"/>
                </w:tcPr>
                <w:p w14:paraId="0FF686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0731C7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2A5256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4.2.17绿化布置应符合总平面布置和竖向设计要求，合理安排绿化用地。</w:t>
                  </w:r>
                </w:p>
              </w:tc>
              <w:tc>
                <w:tcPr>
                  <w:tcW w:w="3746" w:type="dxa"/>
                  <w:noWrap w:val="0"/>
                  <w:vAlign w:val="center"/>
                </w:tcPr>
                <w:p w14:paraId="69EF6C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合理安排绿化。</w:t>
                  </w:r>
                </w:p>
              </w:tc>
              <w:tc>
                <w:tcPr>
                  <w:tcW w:w="817" w:type="dxa"/>
                  <w:noWrap w:val="0"/>
                  <w:vAlign w:val="center"/>
                </w:tcPr>
                <w:p w14:paraId="1C5F5E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59ED4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5" w:hRule="atLeast"/>
                <w:jc w:val="center"/>
              </w:trPr>
              <w:tc>
                <w:tcPr>
                  <w:tcW w:w="551" w:type="dxa"/>
                  <w:vMerge w:val="continue"/>
                  <w:noWrap w:val="0"/>
                  <w:vAlign w:val="center"/>
                </w:tcPr>
                <w:p w14:paraId="121557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6C3663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9DAD1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4.2.18绿化应结合当地的自然条件，选择适宜的植物。</w:t>
                  </w:r>
                </w:p>
              </w:tc>
              <w:tc>
                <w:tcPr>
                  <w:tcW w:w="3746" w:type="dxa"/>
                  <w:noWrap w:val="0"/>
                  <w:vAlign w:val="center"/>
                </w:tcPr>
                <w:p w14:paraId="6943A65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结合当地的自然条件，选择适宜的植物。</w:t>
                  </w:r>
                </w:p>
              </w:tc>
              <w:tc>
                <w:tcPr>
                  <w:tcW w:w="817" w:type="dxa"/>
                  <w:noWrap w:val="0"/>
                  <w:vAlign w:val="center"/>
                </w:tcPr>
                <w:p w14:paraId="7B546A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1451B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193" w:hRule="atLeast"/>
                <w:jc w:val="center"/>
              </w:trPr>
              <w:tc>
                <w:tcPr>
                  <w:tcW w:w="551" w:type="dxa"/>
                  <w:vMerge w:val="continue"/>
                  <w:noWrap w:val="0"/>
                  <w:vAlign w:val="center"/>
                </w:tcPr>
                <w:p w14:paraId="75D510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0124BA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F0A5C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4.2.19建筑垃圾处理工程下列区域宜设置绿化带：</w:t>
                  </w:r>
                </w:p>
                <w:p w14:paraId="3DECBCF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1.工程出入口；</w:t>
                  </w:r>
                </w:p>
                <w:p w14:paraId="34F173A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2.生产区与管理区之间；</w:t>
                  </w:r>
                </w:p>
                <w:p w14:paraId="1438438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3.防火隔离带外；</w:t>
                  </w:r>
                </w:p>
                <w:p w14:paraId="6607926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4.受西晒的建筑物；</w:t>
                  </w:r>
                </w:p>
                <w:p w14:paraId="5A75845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5.受雨水冲刷的地段；</w:t>
                  </w:r>
                </w:p>
                <w:p w14:paraId="0FF5527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6.堆砌地永久性道路两侧。</w:t>
                  </w:r>
                </w:p>
              </w:tc>
              <w:tc>
                <w:tcPr>
                  <w:tcW w:w="3746" w:type="dxa"/>
                  <w:noWrap w:val="0"/>
                  <w:vAlign w:val="center"/>
                </w:tcPr>
                <w:p w14:paraId="6C721F8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按要求设置绿化带。</w:t>
                  </w:r>
                </w:p>
              </w:tc>
              <w:tc>
                <w:tcPr>
                  <w:tcW w:w="817" w:type="dxa"/>
                  <w:noWrap w:val="0"/>
                  <w:vAlign w:val="center"/>
                </w:tcPr>
                <w:p w14:paraId="7634AE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534FB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5086E9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1264" w:type="dxa"/>
                  <w:vMerge w:val="continue"/>
                  <w:noWrap w:val="0"/>
                  <w:vAlign w:val="center"/>
                </w:tcPr>
                <w:p w14:paraId="0E1561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F09BE1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4.2.20生产区与管理区之间以及堆砌库区周边应设置防尘、防噪措施；堆砌库区周围宜设安全防护设施。</w:t>
                  </w:r>
                </w:p>
              </w:tc>
              <w:tc>
                <w:tcPr>
                  <w:tcW w:w="3746" w:type="dxa"/>
                  <w:noWrap w:val="0"/>
                  <w:vAlign w:val="center"/>
                </w:tcPr>
                <w:p w14:paraId="64CE9D1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管理区以及堆填（砌）库区周边设置防尘、防噪措施；堆填（砌）库区周围设安全防护设施。</w:t>
                  </w:r>
                </w:p>
              </w:tc>
              <w:tc>
                <w:tcPr>
                  <w:tcW w:w="817" w:type="dxa"/>
                  <w:noWrap w:val="0"/>
                  <w:vAlign w:val="center"/>
                </w:tcPr>
                <w:p w14:paraId="619A083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D3ABA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02" w:hRule="atLeast"/>
                <w:jc w:val="center"/>
              </w:trPr>
              <w:tc>
                <w:tcPr>
                  <w:tcW w:w="551" w:type="dxa"/>
                  <w:vMerge w:val="restart"/>
                  <w:noWrap w:val="0"/>
                  <w:vAlign w:val="center"/>
                </w:tcPr>
                <w:p w14:paraId="76E86240">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30FDBC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5.堆砌</w:t>
                  </w:r>
                </w:p>
              </w:tc>
              <w:tc>
                <w:tcPr>
                  <w:tcW w:w="6831" w:type="dxa"/>
                  <w:noWrap w:val="0"/>
                  <w:vAlign w:val="center"/>
                </w:tcPr>
                <w:p w14:paraId="10E8C41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5.1一般规定</w:t>
                  </w:r>
                </w:p>
                <w:p w14:paraId="7C95F69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5.1.1堆砌物料粒径宜小于0.3m，大粒径物料宜先进行破碎预处理且级配合理方可堆砌。</w:t>
                  </w:r>
                </w:p>
              </w:tc>
              <w:tc>
                <w:tcPr>
                  <w:tcW w:w="3746" w:type="dxa"/>
                  <w:noWrap w:val="0"/>
                  <w:vAlign w:val="center"/>
                </w:tcPr>
                <w:p w14:paraId="3D35381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进入本项目堆填场地堆填（砌）的建筑垃圾</w:t>
                  </w:r>
                  <w:r>
                    <w:rPr>
                      <w:rFonts w:hint="default"/>
                      <w:color w:val="auto"/>
                      <w:sz w:val="21"/>
                      <w:szCs w:val="21"/>
                      <w:highlight w:val="none"/>
                      <w:lang w:val="en-US" w:eastAsia="zh-CN"/>
                    </w:rPr>
                    <w:t>小于0.3m</w:t>
                  </w:r>
                  <w:r>
                    <w:rPr>
                      <w:rFonts w:hint="eastAsia"/>
                      <w:color w:val="auto"/>
                      <w:sz w:val="21"/>
                      <w:szCs w:val="21"/>
                      <w:highlight w:val="none"/>
                      <w:lang w:val="en-US" w:eastAsia="zh-CN"/>
                    </w:rPr>
                    <w:t>。</w:t>
                  </w:r>
                </w:p>
              </w:tc>
              <w:tc>
                <w:tcPr>
                  <w:tcW w:w="817" w:type="dxa"/>
                  <w:noWrap w:val="0"/>
                  <w:vAlign w:val="center"/>
                </w:tcPr>
                <w:p w14:paraId="224231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6511C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0" w:hRule="atLeast"/>
                <w:jc w:val="center"/>
              </w:trPr>
              <w:tc>
                <w:tcPr>
                  <w:tcW w:w="551" w:type="dxa"/>
                  <w:vMerge w:val="continue"/>
                  <w:noWrap w:val="0"/>
                  <w:vAlign w:val="center"/>
                </w:tcPr>
                <w:p w14:paraId="31BEB91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CC3F0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987CC5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5.1.2堆砌宜选择开挖工程渣土、工程泥浆、工程垃圾等</w:t>
                  </w:r>
                  <w:r>
                    <w:rPr>
                      <w:rFonts w:hint="eastAsia"/>
                      <w:color w:val="auto"/>
                      <w:sz w:val="21"/>
                      <w:szCs w:val="21"/>
                      <w:highlight w:val="none"/>
                      <w:lang w:val="en-US" w:eastAsia="zh-CN"/>
                    </w:rPr>
                    <w:t>。</w:t>
                  </w:r>
                </w:p>
              </w:tc>
              <w:tc>
                <w:tcPr>
                  <w:tcW w:w="3746" w:type="dxa"/>
                  <w:noWrap w:val="0"/>
                  <w:vAlign w:val="center"/>
                </w:tcPr>
                <w:p w14:paraId="0CEE2BA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堆填（砌）的建筑垃圾主要为</w:t>
                  </w:r>
                  <w:r>
                    <w:rPr>
                      <w:rFonts w:hint="default"/>
                      <w:color w:val="auto"/>
                      <w:sz w:val="21"/>
                      <w:szCs w:val="21"/>
                      <w:highlight w:val="none"/>
                      <w:lang w:val="en-US" w:eastAsia="zh-CN"/>
                    </w:rPr>
                    <w:t>开挖工程渣土、工程泥浆、工程垃圾等</w:t>
                  </w:r>
                  <w:r>
                    <w:rPr>
                      <w:rFonts w:hint="eastAsia"/>
                      <w:color w:val="auto"/>
                      <w:sz w:val="21"/>
                      <w:szCs w:val="21"/>
                      <w:highlight w:val="none"/>
                      <w:lang w:val="en-US" w:eastAsia="zh-CN"/>
                    </w:rPr>
                    <w:t>。</w:t>
                  </w:r>
                </w:p>
              </w:tc>
              <w:tc>
                <w:tcPr>
                  <w:tcW w:w="817" w:type="dxa"/>
                  <w:noWrap w:val="0"/>
                  <w:vAlign w:val="center"/>
                </w:tcPr>
                <w:p w14:paraId="12A48C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87D51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899" w:hRule="atLeast"/>
                <w:jc w:val="center"/>
              </w:trPr>
              <w:tc>
                <w:tcPr>
                  <w:tcW w:w="551" w:type="dxa"/>
                  <w:vMerge w:val="continue"/>
                  <w:noWrap w:val="0"/>
                  <w:vAlign w:val="center"/>
                </w:tcPr>
                <w:p w14:paraId="1D85FE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BA423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EC7522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5.1.3工程渣土与泥浆应经预处理改善高含水率、高黏度、易流变、高持水性和低渗透系数的特性，改性后的物料含水率小于40%、相关力学指标符合标准要求后方可堆砌。</w:t>
                  </w:r>
                </w:p>
              </w:tc>
              <w:tc>
                <w:tcPr>
                  <w:tcW w:w="3746" w:type="dxa"/>
                  <w:noWrap w:val="0"/>
                  <w:vAlign w:val="center"/>
                </w:tcPr>
                <w:p w14:paraId="06EDA5A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本项目对符合要求的建筑垃圾进行堆填（砌），不含预处理。</w:t>
                  </w:r>
                </w:p>
              </w:tc>
              <w:tc>
                <w:tcPr>
                  <w:tcW w:w="817" w:type="dxa"/>
                  <w:noWrap w:val="0"/>
                  <w:vAlign w:val="center"/>
                </w:tcPr>
                <w:p w14:paraId="746491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19261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49" w:hRule="atLeast"/>
                <w:jc w:val="center"/>
              </w:trPr>
              <w:tc>
                <w:tcPr>
                  <w:tcW w:w="551" w:type="dxa"/>
                  <w:vMerge w:val="continue"/>
                  <w:noWrap w:val="0"/>
                  <w:vAlign w:val="center"/>
                </w:tcPr>
                <w:p w14:paraId="6E7838D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541FF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78F9C2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5.1.4堆砌前应清除基底的垃圾、淤泥、树根等杂物，抽除坑穴积水。</w:t>
                  </w:r>
                </w:p>
              </w:tc>
              <w:tc>
                <w:tcPr>
                  <w:tcW w:w="3746" w:type="dxa"/>
                  <w:noWrap w:val="0"/>
                  <w:vAlign w:val="center"/>
                </w:tcPr>
                <w:p w14:paraId="52EA37C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前清除基底的垃圾、淤泥、树根等杂物，</w:t>
                  </w:r>
                  <w:r>
                    <w:rPr>
                      <w:rFonts w:hint="eastAsia"/>
                      <w:color w:val="auto"/>
                      <w:sz w:val="21"/>
                      <w:szCs w:val="21"/>
                      <w:highlight w:val="none"/>
                      <w:lang w:val="en-US" w:eastAsia="zh-CN"/>
                    </w:rPr>
                    <w:t>现状场地内无积水，施工过程结合场地积水情况进行抽除。</w:t>
                  </w:r>
                </w:p>
              </w:tc>
              <w:tc>
                <w:tcPr>
                  <w:tcW w:w="817" w:type="dxa"/>
                  <w:noWrap w:val="0"/>
                  <w:vAlign w:val="center"/>
                </w:tcPr>
                <w:p w14:paraId="13E895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7EDFC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59E0FCE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AB19D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shd w:val="clear" w:color="auto" w:fill="auto"/>
                  <w:noWrap w:val="0"/>
                  <w:vAlign w:val="center"/>
                </w:tcPr>
                <w:p w14:paraId="60B2B50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 w:val="21"/>
                      <w:szCs w:val="21"/>
                      <w:highlight w:val="none"/>
                      <w:lang w:val="en-US" w:eastAsia="zh-CN"/>
                    </w:rPr>
                    <w:t>5.1.5堆砌前应验算地基承载力、堆体厚度和坡度，确保堆体稳定和安全。</w:t>
                  </w:r>
                </w:p>
              </w:tc>
              <w:tc>
                <w:tcPr>
                  <w:tcW w:w="3746" w:type="dxa"/>
                  <w:shd w:val="clear" w:color="auto" w:fill="auto"/>
                  <w:noWrap w:val="0"/>
                  <w:vAlign w:val="center"/>
                </w:tcPr>
                <w:p w14:paraId="0F74A3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堆填（砌）</w:t>
                  </w:r>
                  <w:r>
                    <w:rPr>
                      <w:rFonts w:hint="default"/>
                      <w:color w:val="auto"/>
                      <w:sz w:val="21"/>
                      <w:szCs w:val="21"/>
                      <w:highlight w:val="none"/>
                      <w:lang w:val="en-US" w:eastAsia="zh-CN"/>
                    </w:rPr>
                    <w:t>前验算地基承载力、堆体厚度和坡度，确保堆体稳定和安全。</w:t>
                  </w:r>
                </w:p>
              </w:tc>
              <w:tc>
                <w:tcPr>
                  <w:tcW w:w="817" w:type="dxa"/>
                  <w:shd w:val="clear" w:color="auto" w:fill="auto"/>
                  <w:noWrap w:val="0"/>
                  <w:vAlign w:val="center"/>
                </w:tcPr>
                <w:p w14:paraId="41369B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符合</w:t>
                  </w:r>
                </w:p>
              </w:tc>
            </w:tr>
            <w:tr w14:paraId="019544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B74153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62F6F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816D18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5.2地基与边坡处理</w:t>
                  </w:r>
                </w:p>
                <w:p w14:paraId="0BB79BD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5.2.1堆砌库区地基应是具有承载堆体负荷的自然土层或经过地基处理的稳定土层。对不能满足承载力、沉降限制及稳定性等工程建设要求的地基，应进行相应的处理。</w:t>
                  </w:r>
                </w:p>
              </w:tc>
              <w:tc>
                <w:tcPr>
                  <w:tcW w:w="3746" w:type="dxa"/>
                  <w:noWrap w:val="0"/>
                  <w:vAlign w:val="center"/>
                </w:tcPr>
                <w:p w14:paraId="58FF1E4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库区地基</w:t>
                  </w:r>
                  <w:r>
                    <w:rPr>
                      <w:rFonts w:hint="eastAsia"/>
                      <w:color w:val="auto"/>
                      <w:sz w:val="21"/>
                      <w:szCs w:val="21"/>
                      <w:highlight w:val="none"/>
                      <w:lang w:val="en-US" w:eastAsia="zh-CN"/>
                    </w:rPr>
                    <w:t>为</w:t>
                  </w:r>
                  <w:r>
                    <w:rPr>
                      <w:rFonts w:hint="default"/>
                      <w:color w:val="auto"/>
                      <w:sz w:val="21"/>
                      <w:szCs w:val="21"/>
                      <w:highlight w:val="none"/>
                      <w:lang w:val="en-US" w:eastAsia="zh-CN"/>
                    </w:rPr>
                    <w:t>具有承载堆体负荷的自然土层或经过地基处理的稳定土层</w:t>
                  </w:r>
                  <w:r>
                    <w:rPr>
                      <w:rFonts w:hint="eastAsia"/>
                      <w:color w:val="auto"/>
                      <w:sz w:val="21"/>
                      <w:szCs w:val="21"/>
                      <w:highlight w:val="none"/>
                      <w:lang w:val="en-US" w:eastAsia="zh-CN"/>
                    </w:rPr>
                    <w:t>。</w:t>
                  </w:r>
                </w:p>
              </w:tc>
              <w:tc>
                <w:tcPr>
                  <w:tcW w:w="817" w:type="dxa"/>
                  <w:noWrap w:val="0"/>
                  <w:vAlign w:val="center"/>
                </w:tcPr>
                <w:p w14:paraId="12EC0D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ABF63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1" w:hRule="atLeast"/>
                <w:jc w:val="center"/>
              </w:trPr>
              <w:tc>
                <w:tcPr>
                  <w:tcW w:w="551" w:type="dxa"/>
                  <w:vMerge w:val="continue"/>
                  <w:noWrap w:val="0"/>
                  <w:vAlign w:val="center"/>
                </w:tcPr>
                <w:p w14:paraId="5E0953B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11EC0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D1AF1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5.2.2堆砌库区地基及其他建</w:t>
                  </w:r>
                  <w:r>
                    <w:rPr>
                      <w:rFonts w:hint="eastAsia"/>
                      <w:color w:val="auto"/>
                      <w:sz w:val="21"/>
                      <w:szCs w:val="21"/>
                      <w:highlight w:val="none"/>
                      <w:lang w:val="en-US" w:eastAsia="zh-CN"/>
                    </w:rPr>
                    <w:t>（</w:t>
                  </w:r>
                  <w:r>
                    <w:rPr>
                      <w:rFonts w:hint="default"/>
                      <w:color w:val="auto"/>
                      <w:sz w:val="21"/>
                      <w:szCs w:val="21"/>
                      <w:highlight w:val="none"/>
                      <w:lang w:val="en-US" w:eastAsia="zh-CN"/>
                    </w:rPr>
                    <w:t>构</w:t>
                  </w:r>
                  <w:r>
                    <w:rPr>
                      <w:rFonts w:hint="eastAsia"/>
                      <w:color w:val="auto"/>
                      <w:sz w:val="21"/>
                      <w:szCs w:val="21"/>
                      <w:highlight w:val="none"/>
                      <w:lang w:val="en-US" w:eastAsia="zh-CN"/>
                    </w:rPr>
                    <w:t>）</w:t>
                  </w:r>
                  <w:r>
                    <w:rPr>
                      <w:rFonts w:hint="default"/>
                      <w:color w:val="auto"/>
                      <w:sz w:val="21"/>
                      <w:szCs w:val="21"/>
                      <w:highlight w:val="none"/>
                      <w:lang w:val="en-US" w:eastAsia="zh-CN"/>
                    </w:rPr>
                    <w:t>筑物地基的设计应按国家现行标准《建筑地基基础设计规范》GB50007、《建筑与市政地基基础通用规范》GB55003及《建筑地基处理技术规范》JGJ79有关规定执行。</w:t>
                  </w:r>
                </w:p>
              </w:tc>
              <w:tc>
                <w:tcPr>
                  <w:tcW w:w="3746" w:type="dxa"/>
                  <w:noWrap w:val="0"/>
                  <w:vAlign w:val="center"/>
                </w:tcPr>
                <w:p w14:paraId="36D4F3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库区地基及其他建</w:t>
                  </w:r>
                  <w:r>
                    <w:rPr>
                      <w:rFonts w:hint="eastAsia"/>
                      <w:color w:val="auto"/>
                      <w:sz w:val="21"/>
                      <w:szCs w:val="21"/>
                      <w:highlight w:val="none"/>
                      <w:lang w:val="en-US" w:eastAsia="zh-CN"/>
                    </w:rPr>
                    <w:t>（</w:t>
                  </w:r>
                  <w:r>
                    <w:rPr>
                      <w:rFonts w:hint="default"/>
                      <w:color w:val="auto"/>
                      <w:sz w:val="21"/>
                      <w:szCs w:val="21"/>
                      <w:highlight w:val="none"/>
                      <w:lang w:val="en-US" w:eastAsia="zh-CN"/>
                    </w:rPr>
                    <w:t>构</w:t>
                  </w:r>
                  <w:r>
                    <w:rPr>
                      <w:rFonts w:hint="eastAsia"/>
                      <w:color w:val="auto"/>
                      <w:sz w:val="21"/>
                      <w:szCs w:val="21"/>
                      <w:highlight w:val="none"/>
                      <w:lang w:val="en-US" w:eastAsia="zh-CN"/>
                    </w:rPr>
                    <w:t>）</w:t>
                  </w:r>
                  <w:r>
                    <w:rPr>
                      <w:rFonts w:hint="default"/>
                      <w:color w:val="auto"/>
                      <w:sz w:val="21"/>
                      <w:szCs w:val="21"/>
                      <w:highlight w:val="none"/>
                      <w:lang w:val="en-US" w:eastAsia="zh-CN"/>
                    </w:rPr>
                    <w:t>筑物地基的设计</w:t>
                  </w:r>
                  <w:r>
                    <w:rPr>
                      <w:rFonts w:hint="eastAsia"/>
                      <w:color w:val="auto"/>
                      <w:sz w:val="21"/>
                      <w:szCs w:val="21"/>
                      <w:highlight w:val="none"/>
                      <w:lang w:val="en-US" w:eastAsia="zh-CN"/>
                    </w:rPr>
                    <w:t>按相关规定执行。</w:t>
                  </w:r>
                </w:p>
              </w:tc>
              <w:tc>
                <w:tcPr>
                  <w:tcW w:w="817" w:type="dxa"/>
                  <w:noWrap w:val="0"/>
                  <w:vAlign w:val="center"/>
                </w:tcPr>
                <w:p w14:paraId="2F45FB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8D408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56" w:hRule="atLeast"/>
                <w:jc w:val="center"/>
              </w:trPr>
              <w:tc>
                <w:tcPr>
                  <w:tcW w:w="551" w:type="dxa"/>
                  <w:vMerge w:val="continue"/>
                  <w:noWrap w:val="0"/>
                  <w:vAlign w:val="center"/>
                </w:tcPr>
                <w:p w14:paraId="7E4B1CC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700A0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3B4EFB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5.2.3堆砌库区地基应进行承载力、沉降、不均匀沉降计算及最大堆高验算。</w:t>
                  </w:r>
                </w:p>
              </w:tc>
              <w:tc>
                <w:tcPr>
                  <w:tcW w:w="3746" w:type="dxa"/>
                  <w:noWrap w:val="0"/>
                  <w:vAlign w:val="center"/>
                </w:tcPr>
                <w:p w14:paraId="2DCBB96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库区地基进行承载力、沉降、不均匀沉降计算及最大堆高验算。</w:t>
                  </w:r>
                </w:p>
              </w:tc>
              <w:tc>
                <w:tcPr>
                  <w:tcW w:w="817" w:type="dxa"/>
                  <w:noWrap w:val="0"/>
                  <w:vAlign w:val="center"/>
                </w:tcPr>
                <w:p w14:paraId="33A3D5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2CAA0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4DAB0D5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5838E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FC85E6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5.2.4堆砌库区地基边坡设计应按国家现行标准《建筑边坡工程技术规范》GB50330、《水利水电工程边坡设计规范》SL386、《生活垃圾卫生填埋场岩土工程技术规范》CJJ176有关规定执行。</w:t>
                  </w:r>
                </w:p>
              </w:tc>
              <w:tc>
                <w:tcPr>
                  <w:tcW w:w="3746" w:type="dxa"/>
                  <w:noWrap w:val="0"/>
                  <w:vAlign w:val="center"/>
                </w:tcPr>
                <w:p w14:paraId="5F176B4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库区地基边坡设计</w:t>
                  </w:r>
                  <w:r>
                    <w:rPr>
                      <w:rFonts w:hint="eastAsia"/>
                      <w:color w:val="auto"/>
                      <w:sz w:val="21"/>
                      <w:szCs w:val="21"/>
                      <w:highlight w:val="none"/>
                      <w:lang w:val="en-US" w:eastAsia="zh-CN"/>
                    </w:rPr>
                    <w:t>按相关规定执行。</w:t>
                  </w:r>
                </w:p>
              </w:tc>
              <w:tc>
                <w:tcPr>
                  <w:tcW w:w="817" w:type="dxa"/>
                  <w:noWrap w:val="0"/>
                  <w:vAlign w:val="center"/>
                </w:tcPr>
                <w:p w14:paraId="4D37A4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4E9EA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294AEB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0FFC6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89F8B5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5.2.5堆砌库区库底压实度不应小于93%。堆砌库区地基边坡坡度不宜大于1：2，边坡压实度不应小于90%。</w:t>
                  </w:r>
                </w:p>
              </w:tc>
              <w:tc>
                <w:tcPr>
                  <w:tcW w:w="3746" w:type="dxa"/>
                  <w:noWrap w:val="0"/>
                  <w:vAlign w:val="center"/>
                </w:tcPr>
                <w:p w14:paraId="63E615F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库区库底压实度不小于93%。堆砌库区地基边坡坡度不大于1：2，边坡压实度不小于90%。</w:t>
                  </w:r>
                </w:p>
              </w:tc>
              <w:tc>
                <w:tcPr>
                  <w:tcW w:w="817" w:type="dxa"/>
                  <w:noWrap w:val="0"/>
                  <w:vAlign w:val="center"/>
                </w:tcPr>
                <w:p w14:paraId="556E7F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4B79E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52" w:hRule="atLeast"/>
                <w:jc w:val="center"/>
              </w:trPr>
              <w:tc>
                <w:tcPr>
                  <w:tcW w:w="551" w:type="dxa"/>
                  <w:vMerge w:val="continue"/>
                  <w:noWrap w:val="0"/>
                  <w:vAlign w:val="center"/>
                </w:tcPr>
                <w:p w14:paraId="7FB63BB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3EEC0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8A961B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5.2.6经稳定性初步判别有可能失稳的地基边坡以及初步判别难以确定稳定性状的边坡应进行稳定计算。</w:t>
                  </w:r>
                </w:p>
              </w:tc>
              <w:tc>
                <w:tcPr>
                  <w:tcW w:w="3746" w:type="dxa"/>
                  <w:noWrap w:val="0"/>
                  <w:vAlign w:val="center"/>
                </w:tcPr>
                <w:p w14:paraId="0E7E603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经稳定性初步判别有可能失稳的地基边坡以及初步判别难以确定稳定性状的边坡进行稳定计算</w:t>
                  </w:r>
                  <w:r>
                    <w:rPr>
                      <w:rFonts w:hint="eastAsia"/>
                      <w:color w:val="auto"/>
                      <w:sz w:val="21"/>
                      <w:szCs w:val="21"/>
                      <w:highlight w:val="none"/>
                      <w:lang w:val="en-US" w:eastAsia="zh-CN"/>
                    </w:rPr>
                    <w:t>。</w:t>
                  </w:r>
                </w:p>
              </w:tc>
              <w:tc>
                <w:tcPr>
                  <w:tcW w:w="817" w:type="dxa"/>
                  <w:noWrap w:val="0"/>
                  <w:vAlign w:val="center"/>
                </w:tcPr>
                <w:p w14:paraId="3ECD10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C05E6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96" w:hRule="atLeast"/>
                <w:jc w:val="center"/>
              </w:trPr>
              <w:tc>
                <w:tcPr>
                  <w:tcW w:w="551" w:type="dxa"/>
                  <w:vMerge w:val="continue"/>
                  <w:noWrap w:val="0"/>
                  <w:vAlign w:val="center"/>
                </w:tcPr>
                <w:p w14:paraId="102C5FA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1503B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2800FE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5.2.7对可能失稳的边坡，宜进行边坡支护等处理。边坡支护结构形式可根据场地地质和环境条件、边坡高度以及边坡工程安全等级等因素选定。</w:t>
                  </w:r>
                </w:p>
              </w:tc>
              <w:tc>
                <w:tcPr>
                  <w:tcW w:w="3746" w:type="dxa"/>
                  <w:noWrap w:val="0"/>
                  <w:vAlign w:val="center"/>
                </w:tcPr>
                <w:p w14:paraId="3EF956C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对可能失稳的边坡，进行边坡支护等处理。边坡支护结构形式根据场地地质和环境条件、边坡高度以及边坡工程安全等级等因素选定。</w:t>
                  </w:r>
                </w:p>
              </w:tc>
              <w:tc>
                <w:tcPr>
                  <w:tcW w:w="817" w:type="dxa"/>
                  <w:noWrap w:val="0"/>
                  <w:vAlign w:val="center"/>
                </w:tcPr>
                <w:p w14:paraId="02A967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23628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593" w:hRule="atLeast"/>
                <w:jc w:val="center"/>
              </w:trPr>
              <w:tc>
                <w:tcPr>
                  <w:tcW w:w="551" w:type="dxa"/>
                  <w:vMerge w:val="continue"/>
                  <w:noWrap w:val="0"/>
                  <w:vAlign w:val="center"/>
                </w:tcPr>
                <w:p w14:paraId="1893377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A54E9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8359E8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5.3堆砌要求</w:t>
                  </w:r>
                </w:p>
                <w:p w14:paraId="082BCD6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5.3.1填方应尽量选用同性质土料堆砌。</w:t>
                  </w:r>
                </w:p>
              </w:tc>
              <w:tc>
                <w:tcPr>
                  <w:tcW w:w="3746" w:type="dxa"/>
                  <w:noWrap w:val="0"/>
                  <w:vAlign w:val="center"/>
                </w:tcPr>
                <w:p w14:paraId="6C4B180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选用同性质土料</w:t>
                  </w:r>
                  <w:r>
                    <w:rPr>
                      <w:rFonts w:hint="eastAsia"/>
                      <w:color w:val="auto"/>
                      <w:sz w:val="21"/>
                      <w:szCs w:val="21"/>
                      <w:highlight w:val="none"/>
                      <w:lang w:val="en-US" w:eastAsia="zh-CN"/>
                    </w:rPr>
                    <w:t>堆填（砌）。</w:t>
                  </w:r>
                </w:p>
              </w:tc>
              <w:tc>
                <w:tcPr>
                  <w:tcW w:w="817" w:type="dxa"/>
                  <w:noWrap w:val="0"/>
                  <w:vAlign w:val="center"/>
                </w:tcPr>
                <w:p w14:paraId="69E637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844FD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64" w:hRule="atLeast"/>
                <w:jc w:val="center"/>
              </w:trPr>
              <w:tc>
                <w:tcPr>
                  <w:tcW w:w="551" w:type="dxa"/>
                  <w:vMerge w:val="continue"/>
                  <w:noWrap w:val="0"/>
                  <w:vAlign w:val="center"/>
                </w:tcPr>
                <w:p w14:paraId="0755E0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4C3F3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2D90DD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5.3.2堆砌地应设置有效的截排水措施，堆体应进行覆盖，防止雨水及地表水入侵，确保堆体稳定。</w:t>
                  </w:r>
                </w:p>
              </w:tc>
              <w:tc>
                <w:tcPr>
                  <w:tcW w:w="3746" w:type="dxa"/>
                  <w:noWrap w:val="0"/>
                  <w:vAlign w:val="center"/>
                </w:tcPr>
                <w:p w14:paraId="5CFD662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设置有效的截排水措施，堆体进行覆盖，防止雨水及地表水入侵，确保堆体稳定</w:t>
                  </w:r>
                  <w:r>
                    <w:rPr>
                      <w:rFonts w:hint="eastAsia"/>
                      <w:color w:val="auto"/>
                      <w:sz w:val="21"/>
                      <w:szCs w:val="21"/>
                      <w:highlight w:val="none"/>
                      <w:lang w:val="en-US" w:eastAsia="zh-CN"/>
                    </w:rPr>
                    <w:t>。</w:t>
                  </w:r>
                </w:p>
              </w:tc>
              <w:tc>
                <w:tcPr>
                  <w:tcW w:w="817" w:type="dxa"/>
                  <w:noWrap w:val="0"/>
                  <w:vAlign w:val="center"/>
                </w:tcPr>
                <w:p w14:paraId="272832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E07BD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48" w:hRule="atLeast"/>
                <w:jc w:val="center"/>
              </w:trPr>
              <w:tc>
                <w:tcPr>
                  <w:tcW w:w="551" w:type="dxa"/>
                  <w:vMerge w:val="continue"/>
                  <w:noWrap w:val="0"/>
                  <w:vAlign w:val="center"/>
                </w:tcPr>
                <w:p w14:paraId="3E5C4CE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CC5AF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FEF341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5.3.3在堆砌现场主要出入口宜设置洗车台，外出车辆宜冲洗干净后进入市政道路。</w:t>
                  </w:r>
                </w:p>
              </w:tc>
              <w:tc>
                <w:tcPr>
                  <w:tcW w:w="3746" w:type="dxa"/>
                  <w:noWrap w:val="0"/>
                  <w:vAlign w:val="center"/>
                </w:tcPr>
                <w:p w14:paraId="75B8C4D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在</w:t>
                  </w:r>
                  <w:r>
                    <w:rPr>
                      <w:rFonts w:hint="eastAsia"/>
                      <w:color w:val="auto"/>
                      <w:sz w:val="21"/>
                      <w:szCs w:val="21"/>
                      <w:highlight w:val="none"/>
                      <w:lang w:val="en-US" w:eastAsia="zh-CN"/>
                    </w:rPr>
                    <w:t>堆填（砌）</w:t>
                  </w:r>
                  <w:r>
                    <w:rPr>
                      <w:rFonts w:hint="default"/>
                      <w:color w:val="auto"/>
                      <w:sz w:val="21"/>
                      <w:szCs w:val="21"/>
                      <w:highlight w:val="none"/>
                      <w:lang w:val="en-US" w:eastAsia="zh-CN"/>
                    </w:rPr>
                    <w:t>现场主要出入口设置洗车台，外出车辆冲洗干净后进入市政道路</w:t>
                  </w:r>
                  <w:r>
                    <w:rPr>
                      <w:rFonts w:hint="eastAsia"/>
                      <w:color w:val="auto"/>
                      <w:sz w:val="21"/>
                      <w:szCs w:val="21"/>
                      <w:highlight w:val="none"/>
                      <w:lang w:val="en-US" w:eastAsia="zh-CN"/>
                    </w:rPr>
                    <w:t>。</w:t>
                  </w:r>
                </w:p>
              </w:tc>
              <w:tc>
                <w:tcPr>
                  <w:tcW w:w="817" w:type="dxa"/>
                  <w:noWrap w:val="0"/>
                  <w:vAlign w:val="center"/>
                </w:tcPr>
                <w:p w14:paraId="141532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28E6B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73D239B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CA4EB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F4093B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5.3.4堆砌施工过程中，分层厚度、压实遍数宜符合表5.3.4的规定。</w:t>
                  </w:r>
                </w:p>
                <w:p w14:paraId="7CA210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eastAsia"/>
                      <w:b/>
                      <w:bCs/>
                      <w:color w:val="auto"/>
                      <w:sz w:val="21"/>
                      <w:szCs w:val="21"/>
                      <w:highlight w:val="none"/>
                      <w:lang w:val="en-US" w:eastAsia="zh-CN"/>
                    </w:rPr>
                    <w:t>表5.3.4  堆砌施工时的分层厚度及压实遍数</w:t>
                  </w:r>
                </w:p>
                <w:tbl>
                  <w:tblPr>
                    <w:tblStyle w:val="30"/>
                    <w:tblW w:w="6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1"/>
                    <w:gridCol w:w="2211"/>
                    <w:gridCol w:w="2211"/>
                  </w:tblGrid>
                  <w:tr w14:paraId="503D4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62F85C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压实机具</w:t>
                        </w:r>
                      </w:p>
                    </w:tc>
                    <w:tc>
                      <w:tcPr>
                        <w:tcW w:w="2174" w:type="dxa"/>
                        <w:vAlign w:val="center"/>
                      </w:tcPr>
                      <w:p w14:paraId="726873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分层厚度（mm）</w:t>
                        </w:r>
                      </w:p>
                    </w:tc>
                    <w:tc>
                      <w:tcPr>
                        <w:tcW w:w="2174" w:type="dxa"/>
                        <w:vAlign w:val="center"/>
                      </w:tcPr>
                      <w:p w14:paraId="2C4B32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每层压实遍数</w:t>
                        </w:r>
                      </w:p>
                    </w:tc>
                  </w:tr>
                  <w:tr w14:paraId="60EB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68B9B7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平碾</w:t>
                        </w:r>
                      </w:p>
                    </w:tc>
                    <w:tc>
                      <w:tcPr>
                        <w:tcW w:w="2174" w:type="dxa"/>
                        <w:vAlign w:val="center"/>
                      </w:tcPr>
                      <w:p w14:paraId="281E74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250-300</w:t>
                        </w:r>
                      </w:p>
                    </w:tc>
                    <w:tc>
                      <w:tcPr>
                        <w:tcW w:w="2174" w:type="dxa"/>
                        <w:vAlign w:val="center"/>
                      </w:tcPr>
                      <w:p w14:paraId="202330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6-8</w:t>
                        </w:r>
                      </w:p>
                    </w:tc>
                  </w:tr>
                  <w:tr w14:paraId="4A8F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2129FE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振动压实机</w:t>
                        </w:r>
                      </w:p>
                    </w:tc>
                    <w:tc>
                      <w:tcPr>
                        <w:tcW w:w="2174" w:type="dxa"/>
                        <w:vAlign w:val="center"/>
                      </w:tcPr>
                      <w:p w14:paraId="7BE044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250-350</w:t>
                        </w:r>
                      </w:p>
                    </w:tc>
                    <w:tc>
                      <w:tcPr>
                        <w:tcW w:w="2174" w:type="dxa"/>
                        <w:vAlign w:val="center"/>
                      </w:tcPr>
                      <w:p w14:paraId="0AC02C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r w14:paraId="48F7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52FC63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柴油打夯机</w:t>
                        </w:r>
                      </w:p>
                    </w:tc>
                    <w:tc>
                      <w:tcPr>
                        <w:tcW w:w="2174" w:type="dxa"/>
                        <w:vAlign w:val="center"/>
                      </w:tcPr>
                      <w:p w14:paraId="091312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200-250</w:t>
                        </w:r>
                      </w:p>
                    </w:tc>
                    <w:tc>
                      <w:tcPr>
                        <w:tcW w:w="2174" w:type="dxa"/>
                        <w:vAlign w:val="center"/>
                      </w:tcPr>
                      <w:p w14:paraId="05A6E8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r w14:paraId="1FBB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4" w:type="dxa"/>
                        <w:vAlign w:val="center"/>
                      </w:tcPr>
                      <w:p w14:paraId="37286C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人工夯实</w:t>
                        </w:r>
                      </w:p>
                    </w:tc>
                    <w:tc>
                      <w:tcPr>
                        <w:tcW w:w="2174" w:type="dxa"/>
                        <w:vAlign w:val="center"/>
                      </w:tcPr>
                      <w:p w14:paraId="4BF333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&lt;200</w:t>
                        </w:r>
                      </w:p>
                    </w:tc>
                    <w:tc>
                      <w:tcPr>
                        <w:tcW w:w="2174" w:type="dxa"/>
                        <w:vAlign w:val="center"/>
                      </w:tcPr>
                      <w:p w14:paraId="177477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3-4</w:t>
                        </w:r>
                      </w:p>
                    </w:tc>
                  </w:tr>
                </w:tbl>
                <w:p w14:paraId="3CA1D77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p>
              </w:tc>
              <w:tc>
                <w:tcPr>
                  <w:tcW w:w="3746" w:type="dxa"/>
                  <w:noWrap w:val="0"/>
                  <w:vAlign w:val="center"/>
                </w:tcPr>
                <w:p w14:paraId="20DFFC6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按要求进行分层，压实。</w:t>
                  </w:r>
                </w:p>
              </w:tc>
              <w:tc>
                <w:tcPr>
                  <w:tcW w:w="817" w:type="dxa"/>
                  <w:noWrap w:val="0"/>
                  <w:vAlign w:val="center"/>
                </w:tcPr>
                <w:p w14:paraId="132CFE0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69AB6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8" w:hRule="atLeast"/>
                <w:jc w:val="center"/>
              </w:trPr>
              <w:tc>
                <w:tcPr>
                  <w:tcW w:w="551" w:type="dxa"/>
                  <w:vMerge w:val="continue"/>
                  <w:noWrap w:val="0"/>
                  <w:vAlign w:val="center"/>
                </w:tcPr>
                <w:p w14:paraId="1CDD9FD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70964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53CBD3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5.3.5堆砌作业应控制填高速率，如果堆砌速率超过1m/月，应对堆体和地基稳定性进行监测。</w:t>
                  </w:r>
                </w:p>
              </w:tc>
              <w:tc>
                <w:tcPr>
                  <w:tcW w:w="3746" w:type="dxa"/>
                  <w:noWrap w:val="0"/>
                  <w:vAlign w:val="center"/>
                </w:tcPr>
                <w:p w14:paraId="2026EA7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作业控制填高速率</w:t>
                  </w:r>
                  <w:r>
                    <w:rPr>
                      <w:rFonts w:hint="eastAsia"/>
                      <w:color w:val="auto"/>
                      <w:sz w:val="21"/>
                      <w:szCs w:val="21"/>
                      <w:highlight w:val="none"/>
                      <w:lang w:val="en-US" w:eastAsia="zh-CN"/>
                    </w:rPr>
                    <w:t>，堆填（砌）</w:t>
                  </w:r>
                  <w:r>
                    <w:rPr>
                      <w:rFonts w:hint="default"/>
                      <w:color w:val="auto"/>
                      <w:sz w:val="21"/>
                      <w:szCs w:val="21"/>
                      <w:highlight w:val="none"/>
                      <w:lang w:val="en-US" w:eastAsia="zh-CN"/>
                    </w:rPr>
                    <w:t>速率</w:t>
                  </w:r>
                  <w:r>
                    <w:rPr>
                      <w:rFonts w:hint="eastAsia"/>
                      <w:color w:val="auto"/>
                      <w:sz w:val="21"/>
                      <w:szCs w:val="21"/>
                      <w:highlight w:val="none"/>
                      <w:lang w:val="en-US" w:eastAsia="zh-CN"/>
                    </w:rPr>
                    <w:t>不</w:t>
                  </w:r>
                  <w:r>
                    <w:rPr>
                      <w:rFonts w:hint="default"/>
                      <w:color w:val="auto"/>
                      <w:sz w:val="21"/>
                      <w:szCs w:val="21"/>
                      <w:highlight w:val="none"/>
                      <w:lang w:val="en-US" w:eastAsia="zh-CN"/>
                    </w:rPr>
                    <w:t>超过</w:t>
                  </w:r>
                  <w:r>
                    <w:rPr>
                      <w:rFonts w:hint="eastAsia"/>
                      <w:color w:val="auto"/>
                      <w:sz w:val="21"/>
                      <w:szCs w:val="21"/>
                      <w:highlight w:val="none"/>
                      <w:lang w:val="en-US" w:eastAsia="zh-CN"/>
                    </w:rPr>
                    <w:t>1</w:t>
                  </w:r>
                  <w:r>
                    <w:rPr>
                      <w:rFonts w:hint="default"/>
                      <w:color w:val="auto"/>
                      <w:sz w:val="21"/>
                      <w:szCs w:val="21"/>
                      <w:highlight w:val="none"/>
                      <w:lang w:val="en-US" w:eastAsia="zh-CN"/>
                    </w:rPr>
                    <w:t>m/月</w:t>
                  </w:r>
                  <w:r>
                    <w:rPr>
                      <w:rFonts w:hint="eastAsia"/>
                      <w:color w:val="auto"/>
                      <w:sz w:val="21"/>
                      <w:szCs w:val="21"/>
                      <w:highlight w:val="none"/>
                      <w:lang w:val="en-US" w:eastAsia="zh-CN"/>
                    </w:rPr>
                    <w:t>。</w:t>
                  </w:r>
                </w:p>
              </w:tc>
              <w:tc>
                <w:tcPr>
                  <w:tcW w:w="817" w:type="dxa"/>
                  <w:noWrap w:val="0"/>
                  <w:vAlign w:val="center"/>
                </w:tcPr>
                <w:p w14:paraId="50C047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47804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169C0A6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03876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13DCBE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5.4设备要求</w:t>
                  </w:r>
                </w:p>
                <w:p w14:paraId="64B7687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5.4.1堆砌机械设备选择应符合下列规定：</w:t>
                  </w:r>
                </w:p>
                <w:p w14:paraId="55B5936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装运机械宜选择装载机、自卸车、推土机、铲运机、装载机、翻斗车等。</w:t>
                  </w:r>
                </w:p>
                <w:p w14:paraId="04F3DD0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压实机械宜选择平碾、羊足碾、振动碾、蛙式打夯机、冲击夯、振动平板等。</w:t>
                  </w:r>
                </w:p>
                <w:p w14:paraId="6A8AAB7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调节含水量机械宜选择洒水车、圆盘耙、旋耕犁等。</w:t>
                  </w:r>
                </w:p>
                <w:p w14:paraId="2DC3E68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辅助工具可包括全站仪或其他测量设备、简易土工试验设备、手推车、铁锹、筛子</w:t>
                  </w:r>
                  <w:r>
                    <w:rPr>
                      <w:rFonts w:hint="eastAsia"/>
                      <w:color w:val="auto"/>
                      <w:sz w:val="21"/>
                      <w:szCs w:val="21"/>
                      <w:highlight w:val="none"/>
                      <w:lang w:val="en-US" w:eastAsia="zh-CN"/>
                    </w:rPr>
                    <w:t>（</w:t>
                  </w:r>
                  <w:r>
                    <w:rPr>
                      <w:rFonts w:hint="default"/>
                      <w:color w:val="auto"/>
                      <w:sz w:val="21"/>
                      <w:szCs w:val="21"/>
                      <w:highlight w:val="none"/>
                      <w:lang w:val="en-US" w:eastAsia="zh-CN"/>
                    </w:rPr>
                    <w:t>孔径40mm~60mm</w:t>
                  </w:r>
                  <w:r>
                    <w:rPr>
                      <w:rFonts w:hint="eastAsia"/>
                      <w:color w:val="auto"/>
                      <w:sz w:val="21"/>
                      <w:szCs w:val="21"/>
                      <w:highlight w:val="none"/>
                      <w:lang w:val="en-US" w:eastAsia="zh-CN"/>
                    </w:rPr>
                    <w:t>）</w:t>
                  </w:r>
                  <w:r>
                    <w:rPr>
                      <w:rFonts w:hint="default"/>
                      <w:color w:val="auto"/>
                      <w:sz w:val="21"/>
                      <w:szCs w:val="21"/>
                      <w:highlight w:val="none"/>
                      <w:lang w:val="en-US" w:eastAsia="zh-CN"/>
                    </w:rPr>
                    <w:t>、木耙、钢卷尺、线、胶皮管等。</w:t>
                  </w:r>
                </w:p>
              </w:tc>
              <w:tc>
                <w:tcPr>
                  <w:tcW w:w="3746" w:type="dxa"/>
                  <w:noWrap w:val="0"/>
                  <w:vAlign w:val="center"/>
                </w:tcPr>
                <w:p w14:paraId="3547077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选择适宜的堆填（砌）机械设备。</w:t>
                  </w:r>
                </w:p>
              </w:tc>
              <w:tc>
                <w:tcPr>
                  <w:tcW w:w="817" w:type="dxa"/>
                  <w:noWrap w:val="0"/>
                  <w:vAlign w:val="center"/>
                </w:tcPr>
                <w:p w14:paraId="5470AE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0BCB6A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7" w:hRule="atLeast"/>
                <w:jc w:val="center"/>
              </w:trPr>
              <w:tc>
                <w:tcPr>
                  <w:tcW w:w="551" w:type="dxa"/>
                  <w:vMerge w:val="continue"/>
                  <w:noWrap w:val="0"/>
                  <w:vAlign w:val="center"/>
                </w:tcPr>
                <w:p w14:paraId="1EE03AF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CE91E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76D110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5.4.2装载、挖掘、运输、摊铺、压实、覆盖等作业设备应按堆砌日处理规模和作业工艺设计要求配置。</w:t>
                  </w:r>
                </w:p>
              </w:tc>
              <w:tc>
                <w:tcPr>
                  <w:tcW w:w="3746" w:type="dxa"/>
                  <w:noWrap w:val="0"/>
                  <w:vAlign w:val="center"/>
                </w:tcPr>
                <w:p w14:paraId="7D53E4B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按堆填（砌）</w:t>
                  </w:r>
                  <w:r>
                    <w:rPr>
                      <w:rFonts w:hint="default"/>
                      <w:color w:val="auto"/>
                      <w:sz w:val="21"/>
                      <w:szCs w:val="21"/>
                      <w:highlight w:val="none"/>
                      <w:lang w:val="en-US" w:eastAsia="zh-CN"/>
                    </w:rPr>
                    <w:t>日处理规模和作业工艺设计</w:t>
                  </w:r>
                  <w:r>
                    <w:rPr>
                      <w:rFonts w:hint="eastAsia"/>
                      <w:color w:val="auto"/>
                      <w:sz w:val="21"/>
                      <w:szCs w:val="21"/>
                      <w:highlight w:val="none"/>
                      <w:lang w:val="en-US" w:eastAsia="zh-CN"/>
                    </w:rPr>
                    <w:t>配备符合要求的</w:t>
                  </w:r>
                  <w:r>
                    <w:rPr>
                      <w:rFonts w:hint="default"/>
                      <w:color w:val="auto"/>
                      <w:sz w:val="21"/>
                      <w:szCs w:val="21"/>
                      <w:highlight w:val="none"/>
                      <w:lang w:val="en-US" w:eastAsia="zh-CN"/>
                    </w:rPr>
                    <w:t>作业设备</w:t>
                  </w:r>
                  <w:r>
                    <w:rPr>
                      <w:rFonts w:hint="eastAsia"/>
                      <w:color w:val="auto"/>
                      <w:sz w:val="21"/>
                      <w:szCs w:val="21"/>
                      <w:highlight w:val="none"/>
                      <w:lang w:val="en-US" w:eastAsia="zh-CN"/>
                    </w:rPr>
                    <w:t>。</w:t>
                  </w:r>
                </w:p>
              </w:tc>
              <w:tc>
                <w:tcPr>
                  <w:tcW w:w="817" w:type="dxa"/>
                  <w:noWrap w:val="0"/>
                  <w:vAlign w:val="center"/>
                </w:tcPr>
                <w:p w14:paraId="4529A4C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8EA9B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0" w:hRule="atLeast"/>
                <w:jc w:val="center"/>
              </w:trPr>
              <w:tc>
                <w:tcPr>
                  <w:tcW w:w="551" w:type="dxa"/>
                  <w:vMerge w:val="continue"/>
                  <w:noWrap w:val="0"/>
                  <w:vAlign w:val="center"/>
                </w:tcPr>
                <w:p w14:paraId="4802B8B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FB74B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9F9229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5.5垃圾坝与坝体稳定性</w:t>
                  </w:r>
                </w:p>
                <w:p w14:paraId="6403A3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5.5.1垃圾坝分类应符合下列规定：</w:t>
                  </w:r>
                </w:p>
                <w:p w14:paraId="34CA319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根据坝体材料不同，坝型可分为</w:t>
                  </w:r>
                  <w:r>
                    <w:rPr>
                      <w:rFonts w:hint="eastAsia"/>
                      <w:color w:val="auto"/>
                      <w:sz w:val="21"/>
                      <w:szCs w:val="21"/>
                      <w:highlight w:val="none"/>
                      <w:lang w:val="en-US" w:eastAsia="zh-CN"/>
                    </w:rPr>
                    <w:t>（</w:t>
                  </w:r>
                  <w:r>
                    <w:rPr>
                      <w:rFonts w:hint="default"/>
                      <w:color w:val="auto"/>
                      <w:sz w:val="21"/>
                      <w:szCs w:val="21"/>
                      <w:highlight w:val="none"/>
                      <w:lang w:val="en-US" w:eastAsia="zh-CN"/>
                    </w:rPr>
                    <w:t>黏</w:t>
                  </w:r>
                  <w:r>
                    <w:rPr>
                      <w:rFonts w:hint="eastAsia"/>
                      <w:color w:val="auto"/>
                      <w:sz w:val="21"/>
                      <w:szCs w:val="21"/>
                      <w:highlight w:val="none"/>
                      <w:lang w:val="en-US" w:eastAsia="zh-CN"/>
                    </w:rPr>
                    <w:t>）</w:t>
                  </w:r>
                  <w:r>
                    <w:rPr>
                      <w:rFonts w:hint="default"/>
                      <w:color w:val="auto"/>
                      <w:sz w:val="21"/>
                      <w:szCs w:val="21"/>
                      <w:highlight w:val="none"/>
                      <w:lang w:val="en-US" w:eastAsia="zh-CN"/>
                    </w:rPr>
                    <w:t>土坝、碾压式土石坝、浆砌石坝及混凝土坝四类。采用一种筑坝材料的应为均质坝，采用二种及以上筑坝材料的应为非均质坝。</w:t>
                  </w:r>
                </w:p>
                <w:p w14:paraId="5BC6405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根据坝体高度不同，坝高可分为低坝</w:t>
                  </w:r>
                  <w:r>
                    <w:rPr>
                      <w:rFonts w:hint="eastAsia"/>
                      <w:color w:val="auto"/>
                      <w:sz w:val="21"/>
                      <w:szCs w:val="21"/>
                      <w:highlight w:val="none"/>
                      <w:lang w:val="en-US" w:eastAsia="zh-CN"/>
                    </w:rPr>
                    <w:t>（</w:t>
                  </w:r>
                  <w:r>
                    <w:rPr>
                      <w:rFonts w:hint="default"/>
                      <w:color w:val="auto"/>
                      <w:sz w:val="21"/>
                      <w:szCs w:val="21"/>
                      <w:highlight w:val="none"/>
                      <w:lang w:val="en-US" w:eastAsia="zh-CN"/>
                    </w:rPr>
                    <w:t>低于5m</w:t>
                  </w:r>
                  <w:r>
                    <w:rPr>
                      <w:rFonts w:hint="eastAsia"/>
                      <w:color w:val="auto"/>
                      <w:sz w:val="21"/>
                      <w:szCs w:val="21"/>
                      <w:highlight w:val="none"/>
                      <w:lang w:val="en-US" w:eastAsia="zh-CN"/>
                    </w:rPr>
                    <w:t>）</w:t>
                  </w:r>
                  <w:r>
                    <w:rPr>
                      <w:rFonts w:hint="default"/>
                      <w:color w:val="auto"/>
                      <w:sz w:val="21"/>
                      <w:szCs w:val="21"/>
                      <w:highlight w:val="none"/>
                      <w:lang w:val="en-US" w:eastAsia="zh-CN"/>
                    </w:rPr>
                    <w:t>、中坝</w:t>
                  </w:r>
                  <w:r>
                    <w:rPr>
                      <w:rFonts w:hint="eastAsia"/>
                      <w:color w:val="auto"/>
                      <w:sz w:val="21"/>
                      <w:szCs w:val="21"/>
                      <w:highlight w:val="none"/>
                      <w:lang w:val="en-US" w:eastAsia="zh-CN"/>
                    </w:rPr>
                    <w:t>（</w:t>
                  </w:r>
                  <w:r>
                    <w:rPr>
                      <w:rFonts w:hint="default"/>
                      <w:color w:val="auto"/>
                      <w:sz w:val="21"/>
                      <w:szCs w:val="21"/>
                      <w:highlight w:val="none"/>
                      <w:lang w:val="en-US" w:eastAsia="zh-CN"/>
                    </w:rPr>
                    <w:t>5m~15m</w:t>
                  </w:r>
                  <w:r>
                    <w:rPr>
                      <w:rFonts w:hint="eastAsia"/>
                      <w:color w:val="auto"/>
                      <w:sz w:val="21"/>
                      <w:szCs w:val="21"/>
                      <w:highlight w:val="none"/>
                      <w:lang w:val="en-US" w:eastAsia="zh-CN"/>
                    </w:rPr>
                    <w:t>）</w:t>
                  </w:r>
                  <w:r>
                    <w:rPr>
                      <w:rFonts w:hint="default"/>
                      <w:color w:val="auto"/>
                      <w:sz w:val="21"/>
                      <w:szCs w:val="21"/>
                      <w:highlight w:val="none"/>
                      <w:lang w:val="en-US" w:eastAsia="zh-CN"/>
                    </w:rPr>
                    <w:t>及高坝</w:t>
                  </w:r>
                  <w:r>
                    <w:rPr>
                      <w:rFonts w:hint="eastAsia"/>
                      <w:color w:val="auto"/>
                      <w:sz w:val="21"/>
                      <w:szCs w:val="21"/>
                      <w:highlight w:val="none"/>
                      <w:lang w:val="en-US" w:eastAsia="zh-CN"/>
                    </w:rPr>
                    <w:t>（</w:t>
                  </w:r>
                  <w:r>
                    <w:rPr>
                      <w:rFonts w:hint="default"/>
                      <w:color w:val="auto"/>
                      <w:sz w:val="21"/>
                      <w:szCs w:val="21"/>
                      <w:highlight w:val="none"/>
                      <w:lang w:val="en-US" w:eastAsia="zh-CN"/>
                    </w:rPr>
                    <w:t>高于15m</w:t>
                  </w:r>
                  <w:r>
                    <w:rPr>
                      <w:rFonts w:hint="eastAsia"/>
                      <w:color w:val="auto"/>
                      <w:sz w:val="21"/>
                      <w:szCs w:val="21"/>
                      <w:highlight w:val="none"/>
                      <w:lang w:val="en-US" w:eastAsia="zh-CN"/>
                    </w:rPr>
                    <w:t>）</w:t>
                  </w:r>
                  <w:r>
                    <w:rPr>
                      <w:rFonts w:hint="default"/>
                      <w:color w:val="auto"/>
                      <w:sz w:val="21"/>
                      <w:szCs w:val="21"/>
                      <w:highlight w:val="none"/>
                      <w:lang w:val="en-US" w:eastAsia="zh-CN"/>
                    </w:rPr>
                    <w:t>。</w:t>
                  </w:r>
                </w:p>
                <w:p w14:paraId="1A0CF7F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根据坝体所处位置及主要作用不同，坝体位置类型分类宜</w:t>
                  </w:r>
                  <w:r>
                    <w:rPr>
                      <w:rFonts w:hint="eastAsia"/>
                      <w:color w:val="auto"/>
                      <w:sz w:val="21"/>
                      <w:szCs w:val="21"/>
                      <w:highlight w:val="none"/>
                      <w:lang w:val="en-US" w:eastAsia="zh-CN"/>
                    </w:rPr>
                    <w:t>符合5.5.1-1的要求。</w:t>
                  </w:r>
                </w:p>
                <w:p w14:paraId="634293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eastAsia"/>
                      <w:b/>
                      <w:bCs/>
                      <w:color w:val="auto"/>
                      <w:sz w:val="21"/>
                      <w:szCs w:val="21"/>
                      <w:highlight w:val="none"/>
                      <w:lang w:val="en-US" w:eastAsia="zh-CN"/>
                    </w:rPr>
                    <w:t>表5.5.1-1 坝体位置类型分类表</w:t>
                  </w:r>
                </w:p>
                <w:tbl>
                  <w:tblPr>
                    <w:tblStyle w:val="30"/>
                    <w:tblW w:w="6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318"/>
                    <w:gridCol w:w="1993"/>
                    <w:gridCol w:w="2090"/>
                  </w:tblGrid>
                  <w:tr w14:paraId="7B8D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11" w:type="dxa"/>
                        <w:vAlign w:val="center"/>
                      </w:tcPr>
                      <w:p w14:paraId="1ECAC5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坝体分类</w:t>
                        </w:r>
                      </w:p>
                    </w:tc>
                    <w:tc>
                      <w:tcPr>
                        <w:tcW w:w="1296" w:type="dxa"/>
                        <w:vAlign w:val="center"/>
                      </w:tcPr>
                      <w:p w14:paraId="6E9254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类型</w:t>
                        </w:r>
                      </w:p>
                    </w:tc>
                    <w:tc>
                      <w:tcPr>
                        <w:tcW w:w="1960" w:type="dxa"/>
                        <w:vAlign w:val="center"/>
                      </w:tcPr>
                      <w:p w14:paraId="2A97B9B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坝体位置</w:t>
                        </w:r>
                      </w:p>
                    </w:tc>
                    <w:tc>
                      <w:tcPr>
                        <w:tcW w:w="2055" w:type="dxa"/>
                        <w:vAlign w:val="center"/>
                      </w:tcPr>
                      <w:p w14:paraId="5327BD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坝体主要作用</w:t>
                        </w:r>
                      </w:p>
                    </w:tc>
                  </w:tr>
                  <w:tr w14:paraId="50B2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11" w:type="dxa"/>
                        <w:vAlign w:val="center"/>
                      </w:tcPr>
                      <w:p w14:paraId="00D080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A</w:t>
                        </w:r>
                      </w:p>
                    </w:tc>
                    <w:tc>
                      <w:tcPr>
                        <w:tcW w:w="1296" w:type="dxa"/>
                        <w:vAlign w:val="center"/>
                      </w:tcPr>
                      <w:p w14:paraId="0AA8A3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围坝</w:t>
                        </w:r>
                      </w:p>
                    </w:tc>
                    <w:tc>
                      <w:tcPr>
                        <w:tcW w:w="1960" w:type="dxa"/>
                        <w:vAlign w:val="center"/>
                      </w:tcPr>
                      <w:p w14:paraId="7A10AF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平原型库区周围</w:t>
                        </w:r>
                      </w:p>
                    </w:tc>
                    <w:tc>
                      <w:tcPr>
                        <w:tcW w:w="2055" w:type="dxa"/>
                        <w:vAlign w:val="center"/>
                      </w:tcPr>
                      <w:p w14:paraId="25B6AF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形成初始库容、防洪</w:t>
                        </w:r>
                      </w:p>
                    </w:tc>
                  </w:tr>
                  <w:tr w14:paraId="4B3E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211" w:type="dxa"/>
                        <w:vAlign w:val="center"/>
                      </w:tcPr>
                      <w:p w14:paraId="51AB8E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B</w:t>
                        </w:r>
                      </w:p>
                    </w:tc>
                    <w:tc>
                      <w:tcPr>
                        <w:tcW w:w="1296" w:type="dxa"/>
                        <w:vAlign w:val="center"/>
                      </w:tcPr>
                      <w:p w14:paraId="3AA614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截洪坝</w:t>
                        </w:r>
                      </w:p>
                    </w:tc>
                    <w:tc>
                      <w:tcPr>
                        <w:tcW w:w="1960" w:type="dxa"/>
                        <w:vAlign w:val="center"/>
                      </w:tcPr>
                      <w:p w14:paraId="6E6D6F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山谷型库区上游</w:t>
                        </w:r>
                      </w:p>
                    </w:tc>
                    <w:tc>
                      <w:tcPr>
                        <w:tcW w:w="2055" w:type="dxa"/>
                        <w:vAlign w:val="center"/>
                      </w:tcPr>
                      <w:p w14:paraId="03D653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拦截库区外地表径流并形成库容</w:t>
                        </w:r>
                      </w:p>
                    </w:tc>
                  </w:tr>
                  <w:tr w14:paraId="570D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11" w:type="dxa"/>
                        <w:vAlign w:val="center"/>
                      </w:tcPr>
                      <w:p w14:paraId="3B8544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C</w:t>
                        </w:r>
                      </w:p>
                    </w:tc>
                    <w:tc>
                      <w:tcPr>
                        <w:tcW w:w="1296" w:type="dxa"/>
                        <w:vAlign w:val="center"/>
                      </w:tcPr>
                      <w:p w14:paraId="6C1827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下游坝</w:t>
                        </w:r>
                      </w:p>
                    </w:tc>
                    <w:tc>
                      <w:tcPr>
                        <w:tcW w:w="1960" w:type="dxa"/>
                        <w:vAlign w:val="center"/>
                      </w:tcPr>
                      <w:p w14:paraId="0BB8D9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山谷型库区下游</w:t>
                        </w:r>
                      </w:p>
                    </w:tc>
                    <w:tc>
                      <w:tcPr>
                        <w:tcW w:w="2055" w:type="dxa"/>
                        <w:vAlign w:val="center"/>
                      </w:tcPr>
                      <w:p w14:paraId="494699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形成库容</w:t>
                        </w:r>
                      </w:p>
                    </w:tc>
                  </w:tr>
                  <w:tr w14:paraId="6540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11" w:type="dxa"/>
                        <w:vAlign w:val="center"/>
                      </w:tcPr>
                      <w:p w14:paraId="1BD9BE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D</w:t>
                        </w:r>
                      </w:p>
                    </w:tc>
                    <w:tc>
                      <w:tcPr>
                        <w:tcW w:w="1296" w:type="dxa"/>
                        <w:vAlign w:val="center"/>
                      </w:tcPr>
                      <w:p w14:paraId="48D134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分区坝</w:t>
                        </w:r>
                      </w:p>
                    </w:tc>
                    <w:tc>
                      <w:tcPr>
                        <w:tcW w:w="1960" w:type="dxa"/>
                        <w:vAlign w:val="center"/>
                      </w:tcPr>
                      <w:p w14:paraId="769775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堆砌库区内</w:t>
                        </w:r>
                      </w:p>
                    </w:tc>
                    <w:tc>
                      <w:tcPr>
                        <w:tcW w:w="2055" w:type="dxa"/>
                        <w:vAlign w:val="center"/>
                      </w:tcPr>
                      <w:p w14:paraId="1F4420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分隔堆砌库区</w:t>
                        </w:r>
                      </w:p>
                    </w:tc>
                  </w:tr>
                </w:tbl>
                <w:p w14:paraId="152365C5">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根据垃圾坝下游情况、失事后果、坝体类型、坝型</w:t>
                  </w:r>
                  <w:r>
                    <w:rPr>
                      <w:rFonts w:hint="eastAsia"/>
                      <w:color w:val="auto"/>
                      <w:sz w:val="21"/>
                      <w:szCs w:val="21"/>
                      <w:highlight w:val="none"/>
                      <w:lang w:val="en-US" w:eastAsia="zh-CN"/>
                    </w:rPr>
                    <w:t>（</w:t>
                  </w:r>
                  <w:r>
                    <w:rPr>
                      <w:rFonts w:hint="default"/>
                      <w:color w:val="auto"/>
                      <w:sz w:val="21"/>
                      <w:szCs w:val="21"/>
                      <w:highlight w:val="none"/>
                      <w:lang w:val="en-US" w:eastAsia="zh-CN"/>
                    </w:rPr>
                    <w:t>材料</w:t>
                  </w:r>
                  <w:r>
                    <w:rPr>
                      <w:rFonts w:hint="eastAsia"/>
                      <w:color w:val="auto"/>
                      <w:sz w:val="21"/>
                      <w:szCs w:val="21"/>
                      <w:highlight w:val="none"/>
                      <w:lang w:val="en-US" w:eastAsia="zh-CN"/>
                    </w:rPr>
                    <w:t>）</w:t>
                  </w:r>
                  <w:r>
                    <w:rPr>
                      <w:rFonts w:hint="default"/>
                      <w:color w:val="auto"/>
                      <w:sz w:val="21"/>
                      <w:szCs w:val="21"/>
                      <w:highlight w:val="none"/>
                      <w:lang w:val="en-US" w:eastAsia="zh-CN"/>
                    </w:rPr>
                    <w:t>及坝体高度不同，坝体建筑级别分类宜符合表5.5.1-2的规定。</w:t>
                  </w:r>
                </w:p>
                <w:p w14:paraId="58D491A5">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leftChars="200"/>
                    <w:jc w:val="left"/>
                    <w:textAlignment w:val="center"/>
                    <w:rPr>
                      <w:rFonts w:hint="default"/>
                      <w:color w:val="auto"/>
                      <w:sz w:val="21"/>
                      <w:szCs w:val="21"/>
                      <w:highlight w:val="none"/>
                      <w:lang w:val="en-US" w:eastAsia="zh-CN"/>
                    </w:rPr>
                  </w:pPr>
                </w:p>
                <w:p w14:paraId="467F7F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eastAsia"/>
                      <w:b/>
                      <w:bCs/>
                      <w:color w:val="auto"/>
                      <w:sz w:val="21"/>
                      <w:szCs w:val="21"/>
                      <w:highlight w:val="none"/>
                      <w:lang w:val="en-US" w:eastAsia="zh-CN"/>
                    </w:rPr>
                    <w:t>表5.5.1-2 坝体位置类型分类表</w:t>
                  </w:r>
                </w:p>
                <w:tbl>
                  <w:tblPr>
                    <w:tblStyle w:val="30"/>
                    <w:tblW w:w="6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11"/>
                    <w:gridCol w:w="1595"/>
                    <w:gridCol w:w="1557"/>
                    <w:gridCol w:w="723"/>
                    <w:gridCol w:w="1475"/>
                    <w:gridCol w:w="672"/>
                  </w:tblGrid>
                  <w:tr w14:paraId="6C8F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26" w:hRule="atLeast"/>
                      <w:jc w:val="center"/>
                    </w:trPr>
                    <w:tc>
                      <w:tcPr>
                        <w:tcW w:w="601" w:type="dxa"/>
                        <w:vAlign w:val="center"/>
                      </w:tcPr>
                      <w:p w14:paraId="5BEE49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建筑级别</w:t>
                        </w:r>
                      </w:p>
                    </w:tc>
                    <w:tc>
                      <w:tcPr>
                        <w:tcW w:w="1568" w:type="dxa"/>
                        <w:vAlign w:val="center"/>
                      </w:tcPr>
                      <w:p w14:paraId="60873C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坝下游存在的建（构）筑物及自然条件</w:t>
                        </w:r>
                      </w:p>
                    </w:tc>
                    <w:tc>
                      <w:tcPr>
                        <w:tcW w:w="1531" w:type="dxa"/>
                        <w:vAlign w:val="center"/>
                      </w:tcPr>
                      <w:p w14:paraId="0F1C61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失事后果</w:t>
                        </w:r>
                      </w:p>
                    </w:tc>
                    <w:tc>
                      <w:tcPr>
                        <w:tcW w:w="711" w:type="dxa"/>
                        <w:vAlign w:val="center"/>
                      </w:tcPr>
                      <w:p w14:paraId="2A793B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坝体类型</w:t>
                        </w:r>
                      </w:p>
                    </w:tc>
                    <w:tc>
                      <w:tcPr>
                        <w:tcW w:w="1450" w:type="dxa"/>
                        <w:vAlign w:val="center"/>
                      </w:tcPr>
                      <w:p w14:paraId="0EA73A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坝型（材料）</w:t>
                        </w:r>
                      </w:p>
                    </w:tc>
                    <w:tc>
                      <w:tcPr>
                        <w:tcW w:w="661" w:type="dxa"/>
                        <w:vAlign w:val="center"/>
                      </w:tcPr>
                      <w:p w14:paraId="03B64D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坝高</w:t>
                        </w:r>
                      </w:p>
                    </w:tc>
                  </w:tr>
                  <w:tr w14:paraId="0CFF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9" w:hRule="atLeast"/>
                      <w:jc w:val="center"/>
                    </w:trPr>
                    <w:tc>
                      <w:tcPr>
                        <w:tcW w:w="601" w:type="dxa"/>
                        <w:vMerge w:val="restart"/>
                        <w:vAlign w:val="center"/>
                      </w:tcPr>
                      <w:p w14:paraId="364D38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Ⅰ</w:t>
                        </w:r>
                      </w:p>
                    </w:tc>
                    <w:tc>
                      <w:tcPr>
                        <w:tcW w:w="1568" w:type="dxa"/>
                        <w:vMerge w:val="restart"/>
                        <w:vAlign w:val="center"/>
                      </w:tcPr>
                      <w:p w14:paraId="49608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生产设备、生活管理区</w:t>
                        </w:r>
                      </w:p>
                    </w:tc>
                    <w:tc>
                      <w:tcPr>
                        <w:tcW w:w="1531" w:type="dxa"/>
                        <w:vMerge w:val="restart"/>
                        <w:vAlign w:val="center"/>
                      </w:tcPr>
                      <w:p w14:paraId="2D1602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对生产设备造成严重破坏，对生活管理区带来严重损失</w:t>
                        </w:r>
                      </w:p>
                    </w:tc>
                    <w:tc>
                      <w:tcPr>
                        <w:tcW w:w="711" w:type="dxa"/>
                        <w:vMerge w:val="restart"/>
                        <w:vAlign w:val="center"/>
                      </w:tcPr>
                      <w:p w14:paraId="69BA7B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C</w:t>
                        </w:r>
                      </w:p>
                    </w:tc>
                    <w:tc>
                      <w:tcPr>
                        <w:tcW w:w="1450" w:type="dxa"/>
                        <w:vAlign w:val="center"/>
                      </w:tcPr>
                      <w:p w14:paraId="7DADDC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混凝土坝、浆砌石坝</w:t>
                        </w:r>
                      </w:p>
                    </w:tc>
                    <w:tc>
                      <w:tcPr>
                        <w:tcW w:w="661" w:type="dxa"/>
                        <w:vAlign w:val="center"/>
                      </w:tcPr>
                      <w:p w14:paraId="13B67B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w:t>
                        </w:r>
                        <w:r>
                          <w:rPr>
                            <w:rFonts w:hint="eastAsia"/>
                            <w:color w:val="auto"/>
                            <w:sz w:val="21"/>
                            <w:szCs w:val="21"/>
                            <w:highlight w:val="none"/>
                            <w:vertAlign w:val="baseline"/>
                            <w:lang w:val="en-US" w:eastAsia="zh-CN"/>
                          </w:rPr>
                          <w:t>20m</w:t>
                        </w:r>
                      </w:p>
                    </w:tc>
                  </w:tr>
                  <w:tr w14:paraId="5EF5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4" w:hRule="atLeast"/>
                      <w:jc w:val="center"/>
                    </w:trPr>
                    <w:tc>
                      <w:tcPr>
                        <w:tcW w:w="601" w:type="dxa"/>
                        <w:vMerge w:val="continue"/>
                        <w:vAlign w:val="center"/>
                      </w:tcPr>
                      <w:p w14:paraId="6BFDD6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68" w:type="dxa"/>
                        <w:vMerge w:val="continue"/>
                        <w:vAlign w:val="center"/>
                      </w:tcPr>
                      <w:p w14:paraId="74E250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31" w:type="dxa"/>
                        <w:vMerge w:val="continue"/>
                        <w:vAlign w:val="center"/>
                      </w:tcPr>
                      <w:p w14:paraId="2565FA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11" w:type="dxa"/>
                        <w:vMerge w:val="continue"/>
                        <w:vAlign w:val="center"/>
                      </w:tcPr>
                      <w:p w14:paraId="53BE1D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450" w:type="dxa"/>
                        <w:vAlign w:val="center"/>
                      </w:tcPr>
                      <w:p w14:paraId="2297EC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土石坝、黏土坝</w:t>
                        </w:r>
                      </w:p>
                    </w:tc>
                    <w:tc>
                      <w:tcPr>
                        <w:tcW w:w="661" w:type="dxa"/>
                        <w:vAlign w:val="center"/>
                      </w:tcPr>
                      <w:p w14:paraId="54AF95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vertAlign w:val="baseline"/>
                            <w:lang w:val="en-US" w:eastAsia="zh-CN"/>
                          </w:rPr>
                        </w:pPr>
                        <w:r>
                          <w:rPr>
                            <w:rFonts w:hint="default"/>
                            <w:color w:val="auto"/>
                            <w:sz w:val="21"/>
                            <w:szCs w:val="21"/>
                            <w:highlight w:val="none"/>
                            <w:vertAlign w:val="baseline"/>
                            <w:lang w:val="en-US" w:eastAsia="zh-CN"/>
                          </w:rPr>
                          <w:t>≥</w:t>
                        </w:r>
                        <w:r>
                          <w:rPr>
                            <w:rFonts w:hint="eastAsia"/>
                            <w:color w:val="auto"/>
                            <w:sz w:val="21"/>
                            <w:szCs w:val="21"/>
                            <w:highlight w:val="none"/>
                            <w:vertAlign w:val="baseline"/>
                            <w:lang w:val="en-US" w:eastAsia="zh-CN"/>
                          </w:rPr>
                          <w:t>15m</w:t>
                        </w:r>
                      </w:p>
                    </w:tc>
                  </w:tr>
                  <w:tr w14:paraId="764DF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4" w:hRule="atLeast"/>
                      <w:jc w:val="center"/>
                    </w:trPr>
                    <w:tc>
                      <w:tcPr>
                        <w:tcW w:w="601" w:type="dxa"/>
                        <w:vMerge w:val="restart"/>
                        <w:vAlign w:val="center"/>
                      </w:tcPr>
                      <w:p w14:paraId="3F7EA8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Ⅱ</w:t>
                        </w:r>
                      </w:p>
                    </w:tc>
                    <w:tc>
                      <w:tcPr>
                        <w:tcW w:w="1568" w:type="dxa"/>
                        <w:vMerge w:val="restart"/>
                        <w:vAlign w:val="center"/>
                      </w:tcPr>
                      <w:p w14:paraId="7BC968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生产设备</w:t>
                        </w:r>
                      </w:p>
                    </w:tc>
                    <w:tc>
                      <w:tcPr>
                        <w:tcW w:w="1531" w:type="dxa"/>
                        <w:vMerge w:val="restart"/>
                        <w:vAlign w:val="center"/>
                      </w:tcPr>
                      <w:p w14:paraId="0D8ACA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仅对生产设备造成一定破坏或影响</w:t>
                        </w:r>
                      </w:p>
                    </w:tc>
                    <w:tc>
                      <w:tcPr>
                        <w:tcW w:w="711" w:type="dxa"/>
                        <w:vMerge w:val="restart"/>
                        <w:vAlign w:val="center"/>
                      </w:tcPr>
                      <w:p w14:paraId="0D6F7B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A、B、C</w:t>
                        </w:r>
                      </w:p>
                    </w:tc>
                    <w:tc>
                      <w:tcPr>
                        <w:tcW w:w="1450" w:type="dxa"/>
                        <w:shd w:val="clear" w:color="auto" w:fill="auto"/>
                        <w:vAlign w:val="center"/>
                      </w:tcPr>
                      <w:p w14:paraId="08EAF3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混凝土坝、浆砌石坝</w:t>
                        </w:r>
                      </w:p>
                    </w:tc>
                    <w:tc>
                      <w:tcPr>
                        <w:tcW w:w="661" w:type="dxa"/>
                        <w:shd w:val="clear" w:color="auto" w:fill="auto"/>
                        <w:vAlign w:val="center"/>
                      </w:tcPr>
                      <w:p w14:paraId="20C9BA5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color w:val="auto"/>
                            <w:sz w:val="21"/>
                            <w:szCs w:val="21"/>
                            <w:highlight w:val="none"/>
                            <w:vertAlign w:val="baseline"/>
                            <w:lang w:val="en-US" w:eastAsia="zh-CN"/>
                          </w:rPr>
                          <w:t>≥</w:t>
                        </w:r>
                        <w:r>
                          <w:rPr>
                            <w:rFonts w:hint="eastAsia"/>
                            <w:color w:val="auto"/>
                            <w:sz w:val="21"/>
                            <w:szCs w:val="21"/>
                            <w:highlight w:val="none"/>
                            <w:vertAlign w:val="baseline"/>
                            <w:lang w:val="en-US" w:eastAsia="zh-CN"/>
                          </w:rPr>
                          <w:t>10m</w:t>
                        </w:r>
                      </w:p>
                    </w:tc>
                  </w:tr>
                  <w:tr w14:paraId="31EE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7" w:hRule="atLeast"/>
                      <w:jc w:val="center"/>
                    </w:trPr>
                    <w:tc>
                      <w:tcPr>
                        <w:tcW w:w="601" w:type="dxa"/>
                        <w:vMerge w:val="continue"/>
                        <w:vAlign w:val="center"/>
                      </w:tcPr>
                      <w:p w14:paraId="108E7D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68" w:type="dxa"/>
                        <w:vMerge w:val="continue"/>
                        <w:vAlign w:val="center"/>
                      </w:tcPr>
                      <w:p w14:paraId="01B8A2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31" w:type="dxa"/>
                        <w:vMerge w:val="continue"/>
                        <w:vAlign w:val="center"/>
                      </w:tcPr>
                      <w:p w14:paraId="4209C6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11" w:type="dxa"/>
                        <w:vMerge w:val="continue"/>
                        <w:vAlign w:val="center"/>
                      </w:tcPr>
                      <w:p w14:paraId="08C8C5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450" w:type="dxa"/>
                        <w:shd w:val="clear" w:color="auto" w:fill="auto"/>
                        <w:vAlign w:val="center"/>
                      </w:tcPr>
                      <w:p w14:paraId="6663EE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土石坝、黏土坝</w:t>
                        </w:r>
                      </w:p>
                    </w:tc>
                    <w:tc>
                      <w:tcPr>
                        <w:tcW w:w="661" w:type="dxa"/>
                        <w:shd w:val="clear" w:color="auto" w:fill="auto"/>
                        <w:vAlign w:val="center"/>
                      </w:tcPr>
                      <w:p w14:paraId="16EB2B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default"/>
                            <w:color w:val="auto"/>
                            <w:sz w:val="21"/>
                            <w:szCs w:val="21"/>
                            <w:highlight w:val="none"/>
                            <w:vertAlign w:val="baseline"/>
                            <w:lang w:val="en-US" w:eastAsia="zh-CN"/>
                          </w:rPr>
                          <w:t>≥</w:t>
                        </w:r>
                        <w:r>
                          <w:rPr>
                            <w:rFonts w:hint="eastAsia"/>
                            <w:color w:val="auto"/>
                            <w:sz w:val="21"/>
                            <w:szCs w:val="21"/>
                            <w:highlight w:val="none"/>
                            <w:vertAlign w:val="baseline"/>
                            <w:lang w:val="en-US" w:eastAsia="zh-CN"/>
                          </w:rPr>
                          <w:t>5m</w:t>
                        </w:r>
                      </w:p>
                    </w:tc>
                  </w:tr>
                  <w:tr w14:paraId="3B3F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4" w:hRule="atLeast"/>
                      <w:jc w:val="center"/>
                    </w:trPr>
                    <w:tc>
                      <w:tcPr>
                        <w:tcW w:w="601" w:type="dxa"/>
                        <w:vMerge w:val="restart"/>
                        <w:vAlign w:val="center"/>
                      </w:tcPr>
                      <w:p w14:paraId="4E7745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default"/>
                            <w:color w:val="auto"/>
                            <w:sz w:val="21"/>
                            <w:szCs w:val="21"/>
                            <w:highlight w:val="none"/>
                            <w:vertAlign w:val="baseline"/>
                            <w:lang w:val="en-US" w:eastAsia="zh-CN"/>
                          </w:rPr>
                          <w:t>Ⅲ</w:t>
                        </w:r>
                      </w:p>
                    </w:tc>
                    <w:tc>
                      <w:tcPr>
                        <w:tcW w:w="1568" w:type="dxa"/>
                        <w:vMerge w:val="restart"/>
                        <w:vAlign w:val="center"/>
                      </w:tcPr>
                      <w:p w14:paraId="08F4BF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农田、水利或水环境</w:t>
                        </w:r>
                      </w:p>
                    </w:tc>
                    <w:tc>
                      <w:tcPr>
                        <w:tcW w:w="1531" w:type="dxa"/>
                        <w:vMerge w:val="restart"/>
                        <w:vAlign w:val="center"/>
                      </w:tcPr>
                      <w:p w14:paraId="400E64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影响不大，破坏较小，易修复</w:t>
                        </w:r>
                      </w:p>
                    </w:tc>
                    <w:tc>
                      <w:tcPr>
                        <w:tcW w:w="711" w:type="dxa"/>
                        <w:vMerge w:val="restart"/>
                        <w:vAlign w:val="center"/>
                      </w:tcPr>
                      <w:p w14:paraId="71D679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A、D</w:t>
                        </w:r>
                      </w:p>
                    </w:tc>
                    <w:tc>
                      <w:tcPr>
                        <w:tcW w:w="1450" w:type="dxa"/>
                        <w:shd w:val="clear" w:color="auto" w:fill="auto"/>
                        <w:vAlign w:val="center"/>
                      </w:tcPr>
                      <w:p w14:paraId="44DC20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混凝土坝、浆砌石坝</w:t>
                        </w:r>
                      </w:p>
                    </w:tc>
                    <w:tc>
                      <w:tcPr>
                        <w:tcW w:w="661" w:type="dxa"/>
                        <w:vAlign w:val="center"/>
                      </w:tcPr>
                      <w:p w14:paraId="1C1CBC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&lt;10m</w:t>
                        </w:r>
                      </w:p>
                    </w:tc>
                  </w:tr>
                  <w:tr w14:paraId="4D30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4" w:hRule="atLeast"/>
                      <w:jc w:val="center"/>
                    </w:trPr>
                    <w:tc>
                      <w:tcPr>
                        <w:tcW w:w="601" w:type="dxa"/>
                        <w:vMerge w:val="continue"/>
                        <w:vAlign w:val="center"/>
                      </w:tcPr>
                      <w:p w14:paraId="3B2503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68" w:type="dxa"/>
                        <w:vMerge w:val="continue"/>
                        <w:vAlign w:val="center"/>
                      </w:tcPr>
                      <w:p w14:paraId="02649C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531" w:type="dxa"/>
                        <w:vMerge w:val="continue"/>
                        <w:vAlign w:val="center"/>
                      </w:tcPr>
                      <w:p w14:paraId="67C656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711" w:type="dxa"/>
                        <w:vMerge w:val="continue"/>
                        <w:vAlign w:val="center"/>
                      </w:tcPr>
                      <w:p w14:paraId="7B5554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450" w:type="dxa"/>
                        <w:shd w:val="clear" w:color="auto" w:fill="auto"/>
                        <w:vAlign w:val="center"/>
                      </w:tcPr>
                      <w:p w14:paraId="22CC30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土石坝、黏土坝</w:t>
                        </w:r>
                      </w:p>
                    </w:tc>
                    <w:tc>
                      <w:tcPr>
                        <w:tcW w:w="661" w:type="dxa"/>
                        <w:vAlign w:val="center"/>
                      </w:tcPr>
                      <w:p w14:paraId="72C695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&lt;5m</w:t>
                        </w:r>
                      </w:p>
                    </w:tc>
                  </w:tr>
                  <w:tr w14:paraId="14F3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2" w:hRule="atLeast"/>
                      <w:jc w:val="center"/>
                    </w:trPr>
                    <w:tc>
                      <w:tcPr>
                        <w:tcW w:w="6522" w:type="dxa"/>
                        <w:gridSpan w:val="6"/>
                        <w:tcBorders>
                          <w:left w:val="nil"/>
                          <w:bottom w:val="nil"/>
                          <w:right w:val="nil"/>
                        </w:tcBorders>
                        <w:vAlign w:val="center"/>
                      </w:tcPr>
                      <w:p w14:paraId="3E709EF1">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center"/>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注：当坝体根据表中指标分属不同级别时，其级别应按最高级别确定。</w:t>
                        </w:r>
                      </w:p>
                    </w:tc>
                  </w:tr>
                </w:tbl>
                <w:p w14:paraId="1A9F16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p>
              </w:tc>
              <w:tc>
                <w:tcPr>
                  <w:tcW w:w="3746" w:type="dxa"/>
                  <w:noWrap w:val="0"/>
                  <w:vAlign w:val="center"/>
                </w:tcPr>
                <w:p w14:paraId="3F2A1BC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利用现有废弃低洼坑塘堆填（砌）建筑垃圾，根据建设单位提供资料，项目堆填高度设计为与周边地块平齐，现状坑塘已形成坝体，本项目根据现状坝体情况进行加固改造，对坑体及周边地进行地形整治平整。为防止雨水冲刷，项目拟在周边设围堤，维护坝体安全。</w:t>
                  </w:r>
                </w:p>
              </w:tc>
              <w:tc>
                <w:tcPr>
                  <w:tcW w:w="817" w:type="dxa"/>
                  <w:noWrap w:val="0"/>
                  <w:vAlign w:val="center"/>
                </w:tcPr>
                <w:p w14:paraId="12B664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8094F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44" w:hRule="atLeast"/>
                <w:jc w:val="center"/>
              </w:trPr>
              <w:tc>
                <w:tcPr>
                  <w:tcW w:w="551" w:type="dxa"/>
                  <w:vMerge w:val="continue"/>
                  <w:noWrap w:val="0"/>
                  <w:vAlign w:val="center"/>
                </w:tcPr>
                <w:p w14:paraId="0BE2E10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02C599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829D8E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5.5.2坝址、坝高、坝型及筑坝材料选择应符合下列规定：</w:t>
                  </w:r>
                </w:p>
                <w:p w14:paraId="3D2D5BE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坝址选择应根据堆砌地岩土工程勘察及地形地貌等方面的资料，结合坝体类型、筑坝材料来源、气候条件、施工交通情况等因素，经技术经济比较确定。</w:t>
                  </w:r>
                </w:p>
                <w:p w14:paraId="36246E7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坝高选择应综合考虑堆砌堆体坡脚稳定、堆砌库容及投资等因素，经过技术经济比较确定。</w:t>
                  </w:r>
                </w:p>
                <w:p w14:paraId="1B413E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坝型选择应综合考虑地质条件、筑坝材料来源、施工条件、坝高、坝基防渗要求等因素，经技术经济比较确定。</w:t>
                  </w:r>
                </w:p>
                <w:p w14:paraId="75D690C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筑坝材料的调查和土工试验应按现行行业标准《水利水电工程天然建筑材料勘察规程》SL251和《土工试验方法标准》GB/T50123的规定执行。土石坝的坝体填筑材料应以压实度作为设计控制指标。</w:t>
                  </w:r>
                </w:p>
              </w:tc>
              <w:tc>
                <w:tcPr>
                  <w:tcW w:w="3746" w:type="dxa"/>
                  <w:noWrap w:val="0"/>
                  <w:vAlign w:val="center"/>
                </w:tcPr>
                <w:p w14:paraId="20F3E62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按要求选择</w:t>
                  </w:r>
                  <w:r>
                    <w:rPr>
                      <w:rFonts w:hint="default"/>
                      <w:color w:val="auto"/>
                      <w:sz w:val="21"/>
                      <w:szCs w:val="21"/>
                      <w:highlight w:val="none"/>
                      <w:lang w:val="en-US" w:eastAsia="zh-CN"/>
                    </w:rPr>
                    <w:t>坝址、坝高、坝型及筑坝材料</w:t>
                  </w:r>
                  <w:r>
                    <w:rPr>
                      <w:rFonts w:hint="eastAsia"/>
                      <w:color w:val="auto"/>
                      <w:sz w:val="21"/>
                      <w:szCs w:val="21"/>
                      <w:highlight w:val="none"/>
                      <w:lang w:val="en-US" w:eastAsia="zh-CN"/>
                    </w:rPr>
                    <w:t>。</w:t>
                  </w:r>
                </w:p>
              </w:tc>
              <w:tc>
                <w:tcPr>
                  <w:tcW w:w="817" w:type="dxa"/>
                  <w:noWrap w:val="0"/>
                  <w:vAlign w:val="center"/>
                </w:tcPr>
                <w:p w14:paraId="4E740D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680DB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387" w:hRule="atLeast"/>
                <w:jc w:val="center"/>
              </w:trPr>
              <w:tc>
                <w:tcPr>
                  <w:tcW w:w="551" w:type="dxa"/>
                  <w:vMerge w:val="continue"/>
                  <w:noWrap w:val="0"/>
                  <w:vAlign w:val="center"/>
                </w:tcPr>
                <w:p w14:paraId="6C58B63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3B985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E042A7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5</w:t>
                  </w:r>
                  <w:r>
                    <w:rPr>
                      <w:rFonts w:hint="default"/>
                      <w:color w:val="auto"/>
                      <w:sz w:val="21"/>
                      <w:szCs w:val="21"/>
                      <w:highlight w:val="none"/>
                      <w:lang w:val="en-US" w:eastAsia="zh-CN"/>
                    </w:rPr>
                    <w:t>.5.3坝基处理及坝体结构设计应符合下列规定：</w:t>
                  </w:r>
                </w:p>
                <w:p w14:paraId="1441B7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垃圾坝地基处理应符合国家现行标准《建筑与市政地基基础通用规范》GB55003、《建筑地基基础设计规范》GB50007、《建筑地基处理技术规范》JGJ79、《碾压式土石坝设计规范》SL274、《砌石坝设计规范》SL25、《混凝土重力坝设计规范》SL319及《碾压式土石坝施工规范》DL/T5129的相关规定。</w:t>
                  </w:r>
                </w:p>
                <w:p w14:paraId="25FCF2C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坝基处理应满足渗流控制、静力和动力稳定、允许总沉降量和不均匀沉降量等方面要求，保证垃圾坝的安全运行。</w:t>
                  </w:r>
                </w:p>
                <w:p w14:paraId="4F30275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坝坡设计方案应根据坝型、坝高、坝的建筑级别、坝体和坝基的材料性质、坝体所承受的荷载以及施工和运用条件等因素，经技术经济比较确定。</w:t>
                  </w:r>
                </w:p>
                <w:p w14:paraId="44786BB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坝顶宽度及护面材料应根据坝高、施工方式、作业车辆行驶要求、安全及抗震等因素确定。</w:t>
                  </w:r>
                </w:p>
                <w:p w14:paraId="1121449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w:t>
                  </w:r>
                  <w:r>
                    <w:rPr>
                      <w:rFonts w:hint="eastAsia"/>
                      <w:color w:val="auto"/>
                      <w:sz w:val="21"/>
                      <w:szCs w:val="21"/>
                      <w:highlight w:val="none"/>
                      <w:lang w:val="en-US" w:eastAsia="zh-CN"/>
                    </w:rPr>
                    <w:t>.</w:t>
                  </w:r>
                  <w:r>
                    <w:rPr>
                      <w:rFonts w:hint="default"/>
                      <w:color w:val="auto"/>
                      <w:sz w:val="21"/>
                      <w:szCs w:val="21"/>
                      <w:highlight w:val="none"/>
                      <w:lang w:val="en-US" w:eastAsia="zh-CN"/>
                    </w:rPr>
                    <w:t>坝坡马道的设置应根据坝面排水、施工要求、坝坡要求和坝基稳定等因素确定。</w:t>
                  </w:r>
                </w:p>
                <w:p w14:paraId="27EB010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w:t>
                  </w:r>
                  <w:r>
                    <w:rPr>
                      <w:rFonts w:hint="eastAsia"/>
                      <w:color w:val="auto"/>
                      <w:sz w:val="21"/>
                      <w:szCs w:val="21"/>
                      <w:highlight w:val="none"/>
                      <w:lang w:val="en-US" w:eastAsia="zh-CN"/>
                    </w:rPr>
                    <w:t>.</w:t>
                  </w:r>
                  <w:r>
                    <w:rPr>
                      <w:rFonts w:hint="default"/>
                      <w:color w:val="auto"/>
                      <w:sz w:val="21"/>
                      <w:szCs w:val="21"/>
                      <w:highlight w:val="none"/>
                      <w:lang w:val="en-US" w:eastAsia="zh-CN"/>
                    </w:rPr>
                    <w:t>垃圾坝护坡方式应根据坝型</w:t>
                  </w:r>
                  <w:r>
                    <w:rPr>
                      <w:rFonts w:hint="eastAsia"/>
                      <w:color w:val="auto"/>
                      <w:sz w:val="21"/>
                      <w:szCs w:val="21"/>
                      <w:highlight w:val="none"/>
                      <w:lang w:val="en-US" w:eastAsia="zh-CN"/>
                    </w:rPr>
                    <w:t>（</w:t>
                  </w:r>
                  <w:r>
                    <w:rPr>
                      <w:rFonts w:hint="default"/>
                      <w:color w:val="auto"/>
                      <w:sz w:val="21"/>
                      <w:szCs w:val="21"/>
                      <w:highlight w:val="none"/>
                      <w:lang w:val="en-US" w:eastAsia="zh-CN"/>
                    </w:rPr>
                    <w:t>材料</w:t>
                  </w:r>
                  <w:r>
                    <w:rPr>
                      <w:rFonts w:hint="eastAsia"/>
                      <w:color w:val="auto"/>
                      <w:sz w:val="21"/>
                      <w:szCs w:val="21"/>
                      <w:highlight w:val="none"/>
                      <w:lang w:val="en-US" w:eastAsia="zh-CN"/>
                    </w:rPr>
                    <w:t>）</w:t>
                  </w:r>
                  <w:r>
                    <w:rPr>
                      <w:rFonts w:hint="default"/>
                      <w:color w:val="auto"/>
                      <w:sz w:val="21"/>
                      <w:szCs w:val="21"/>
                      <w:highlight w:val="none"/>
                      <w:lang w:val="en-US" w:eastAsia="zh-CN"/>
                    </w:rPr>
                    <w:t>和坝体位置等因素确定。</w:t>
                  </w:r>
                </w:p>
                <w:p w14:paraId="6934B85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7</w:t>
                  </w:r>
                  <w:r>
                    <w:rPr>
                      <w:rFonts w:hint="eastAsia"/>
                      <w:color w:val="auto"/>
                      <w:sz w:val="21"/>
                      <w:szCs w:val="21"/>
                      <w:highlight w:val="none"/>
                      <w:lang w:val="en-US" w:eastAsia="zh-CN"/>
                    </w:rPr>
                    <w:t>.</w:t>
                  </w:r>
                  <w:r>
                    <w:rPr>
                      <w:rFonts w:hint="default"/>
                      <w:color w:val="auto"/>
                      <w:sz w:val="21"/>
                      <w:szCs w:val="21"/>
                      <w:highlight w:val="none"/>
                      <w:lang w:val="en-US" w:eastAsia="zh-CN"/>
                    </w:rPr>
                    <w:t>坝体与坝基、边坡及其他构筑物的连接应符合下列规定：</w:t>
                  </w:r>
                </w:p>
                <w:p w14:paraId="03EEB8C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1）</w:t>
                  </w:r>
                  <w:r>
                    <w:rPr>
                      <w:rFonts w:hint="default"/>
                      <w:color w:val="auto"/>
                      <w:sz w:val="21"/>
                      <w:szCs w:val="21"/>
                      <w:highlight w:val="none"/>
                      <w:lang w:val="en-US" w:eastAsia="zh-CN"/>
                    </w:rPr>
                    <w:t>连接面不应发生水力劈裂和邻近接触面岩石大量漏水；</w:t>
                  </w:r>
                </w:p>
                <w:p w14:paraId="60891C6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2）</w:t>
                  </w:r>
                  <w:r>
                    <w:rPr>
                      <w:rFonts w:hint="default"/>
                      <w:color w:val="auto"/>
                      <w:sz w:val="21"/>
                      <w:szCs w:val="21"/>
                      <w:highlight w:val="none"/>
                      <w:lang w:val="en-US" w:eastAsia="zh-CN"/>
                    </w:rPr>
                    <w:t>不应形成影响坝体稳定的软弱层面；</w:t>
                  </w:r>
                </w:p>
                <w:p w14:paraId="6638B1D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3）</w:t>
                  </w:r>
                  <w:r>
                    <w:rPr>
                      <w:rFonts w:hint="default"/>
                      <w:color w:val="auto"/>
                      <w:sz w:val="21"/>
                      <w:szCs w:val="21"/>
                      <w:highlight w:val="none"/>
                      <w:lang w:val="en-US" w:eastAsia="zh-CN"/>
                    </w:rPr>
                    <w:t>不应由于边坡形状或坡度不当引起不均匀沉降而导致坝体裂缝。</w:t>
                  </w:r>
                </w:p>
              </w:tc>
              <w:tc>
                <w:tcPr>
                  <w:tcW w:w="3746" w:type="dxa"/>
                  <w:noWrap w:val="0"/>
                  <w:vAlign w:val="center"/>
                </w:tcPr>
                <w:p w14:paraId="4630D14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w:t>
                  </w:r>
                  <w:r>
                    <w:rPr>
                      <w:rFonts w:hint="default"/>
                      <w:color w:val="auto"/>
                      <w:sz w:val="21"/>
                      <w:szCs w:val="21"/>
                      <w:highlight w:val="none"/>
                      <w:lang w:val="en-US" w:eastAsia="zh-CN"/>
                    </w:rPr>
                    <w:t>坝基处理及坝体结构设计</w:t>
                  </w:r>
                  <w:r>
                    <w:rPr>
                      <w:rFonts w:hint="eastAsia"/>
                      <w:color w:val="auto"/>
                      <w:sz w:val="21"/>
                      <w:szCs w:val="21"/>
                      <w:highlight w:val="none"/>
                      <w:lang w:val="en-US" w:eastAsia="zh-CN"/>
                    </w:rPr>
                    <w:t>。</w:t>
                  </w:r>
                </w:p>
              </w:tc>
              <w:tc>
                <w:tcPr>
                  <w:tcW w:w="817" w:type="dxa"/>
                  <w:noWrap w:val="0"/>
                  <w:vAlign w:val="center"/>
                </w:tcPr>
                <w:p w14:paraId="1DCD74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D3FCF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098" w:hRule="atLeast"/>
                <w:jc w:val="center"/>
              </w:trPr>
              <w:tc>
                <w:tcPr>
                  <w:tcW w:w="551" w:type="dxa"/>
                  <w:vMerge w:val="continue"/>
                  <w:noWrap w:val="0"/>
                  <w:vAlign w:val="center"/>
                </w:tcPr>
                <w:p w14:paraId="68CDC2F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0F5D3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43BC0B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5.5.4</w:t>
                  </w:r>
                  <w:r>
                    <w:rPr>
                      <w:rFonts w:hint="eastAsia"/>
                      <w:color w:val="auto"/>
                      <w:sz w:val="21"/>
                      <w:szCs w:val="21"/>
                      <w:highlight w:val="none"/>
                      <w:lang w:val="en-US" w:eastAsia="zh-CN"/>
                    </w:rPr>
                    <w:t>坝</w:t>
                  </w:r>
                  <w:r>
                    <w:rPr>
                      <w:rFonts w:hint="default"/>
                      <w:color w:val="auto"/>
                      <w:sz w:val="21"/>
                      <w:szCs w:val="21"/>
                      <w:highlight w:val="none"/>
                      <w:lang w:val="en-US" w:eastAsia="zh-CN"/>
                    </w:rPr>
                    <w:t>体稳定性分析应符合下列规定：</w:t>
                  </w:r>
                </w:p>
                <w:p w14:paraId="4DB72DB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垃圾坝体建筑级别为Ⅰ、Ⅱ类的，在初步设计阶段应进行坝体安全稳定性分析计算。</w:t>
                  </w:r>
                </w:p>
                <w:p w14:paraId="0FAE40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坝体稳定性分析的抗剪强度计算，宜按现行行业标准《碾压式土石坝设计规范》SL274、《砌石坝设计规范》SL25及《混凝土重力坝设计规范》SL319的有关规定执行。</w:t>
                  </w:r>
                </w:p>
              </w:tc>
              <w:tc>
                <w:tcPr>
                  <w:tcW w:w="3746" w:type="dxa"/>
                  <w:noWrap w:val="0"/>
                  <w:vAlign w:val="center"/>
                </w:tcPr>
                <w:p w14:paraId="2EB15B0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按要求进行坝</w:t>
                  </w:r>
                  <w:r>
                    <w:rPr>
                      <w:rFonts w:hint="default"/>
                      <w:color w:val="auto"/>
                      <w:sz w:val="21"/>
                      <w:szCs w:val="21"/>
                      <w:highlight w:val="none"/>
                      <w:lang w:val="en-US" w:eastAsia="zh-CN"/>
                    </w:rPr>
                    <w:t>体稳定性分析</w:t>
                  </w:r>
                  <w:r>
                    <w:rPr>
                      <w:rFonts w:hint="eastAsia"/>
                      <w:color w:val="auto"/>
                      <w:sz w:val="21"/>
                      <w:szCs w:val="21"/>
                      <w:highlight w:val="none"/>
                      <w:lang w:val="en-US" w:eastAsia="zh-CN"/>
                    </w:rPr>
                    <w:t>。</w:t>
                  </w:r>
                </w:p>
              </w:tc>
              <w:tc>
                <w:tcPr>
                  <w:tcW w:w="817" w:type="dxa"/>
                  <w:noWrap w:val="0"/>
                  <w:vAlign w:val="center"/>
                </w:tcPr>
                <w:p w14:paraId="3D47DD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1BF0F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90" w:hRule="atLeast"/>
                <w:jc w:val="center"/>
              </w:trPr>
              <w:tc>
                <w:tcPr>
                  <w:tcW w:w="551" w:type="dxa"/>
                  <w:vMerge w:val="continue"/>
                  <w:noWrap w:val="0"/>
                  <w:vAlign w:val="center"/>
                </w:tcPr>
                <w:p w14:paraId="3E7B62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64980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66589C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5.6地下水收集导排系统</w:t>
                  </w:r>
                </w:p>
                <w:p w14:paraId="5FFECA3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5.6.1根据堆砌地场址水文地质情况，当可能发生地下水对基础层稳定破坏时，应设置地下水收集导排系统。</w:t>
                  </w:r>
                </w:p>
              </w:tc>
              <w:tc>
                <w:tcPr>
                  <w:tcW w:w="3746" w:type="dxa"/>
                  <w:noWrap w:val="0"/>
                  <w:vAlign w:val="center"/>
                </w:tcPr>
                <w:p w14:paraId="59F2AC2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根据</w:t>
                  </w:r>
                  <w:r>
                    <w:rPr>
                      <w:rFonts w:hint="eastAsia"/>
                      <w:color w:val="auto"/>
                      <w:sz w:val="21"/>
                      <w:szCs w:val="21"/>
                      <w:highlight w:val="none"/>
                      <w:lang w:val="en-US" w:eastAsia="zh-CN"/>
                    </w:rPr>
                    <w:t>堆填（砌）</w:t>
                  </w:r>
                  <w:r>
                    <w:rPr>
                      <w:rFonts w:hint="default"/>
                      <w:color w:val="auto"/>
                      <w:sz w:val="21"/>
                      <w:szCs w:val="21"/>
                      <w:highlight w:val="none"/>
                      <w:lang w:val="en-US" w:eastAsia="zh-CN"/>
                    </w:rPr>
                    <w:t>地场址水文地质情况，当可能发生地下水对基础层稳定破坏时，设置地下水收集导排系统</w:t>
                  </w:r>
                  <w:r>
                    <w:rPr>
                      <w:rFonts w:hint="eastAsia"/>
                      <w:color w:val="auto"/>
                      <w:sz w:val="21"/>
                      <w:szCs w:val="21"/>
                      <w:highlight w:val="none"/>
                      <w:lang w:val="en-US" w:eastAsia="zh-CN"/>
                    </w:rPr>
                    <w:t>。</w:t>
                  </w:r>
                </w:p>
              </w:tc>
              <w:tc>
                <w:tcPr>
                  <w:tcW w:w="817" w:type="dxa"/>
                  <w:noWrap w:val="0"/>
                  <w:vAlign w:val="center"/>
                </w:tcPr>
                <w:p w14:paraId="25B121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9B2A3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93" w:hRule="atLeast"/>
                <w:jc w:val="center"/>
              </w:trPr>
              <w:tc>
                <w:tcPr>
                  <w:tcW w:w="551" w:type="dxa"/>
                  <w:vMerge w:val="continue"/>
                  <w:noWrap w:val="0"/>
                  <w:vAlign w:val="center"/>
                </w:tcPr>
                <w:p w14:paraId="399BD2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7DFA8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23F5BC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5.6.2地下水水量的计算宜根据堆砌地场址的地下水水力特征和不同埋藏条件分不同情况计算。</w:t>
                  </w:r>
                </w:p>
              </w:tc>
              <w:tc>
                <w:tcPr>
                  <w:tcW w:w="3746" w:type="dxa"/>
                  <w:noWrap w:val="0"/>
                  <w:vAlign w:val="center"/>
                </w:tcPr>
                <w:p w14:paraId="0A354C3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地下水水量的计算根据</w:t>
                  </w:r>
                  <w:r>
                    <w:rPr>
                      <w:rFonts w:hint="eastAsia"/>
                      <w:color w:val="auto"/>
                      <w:sz w:val="21"/>
                      <w:szCs w:val="21"/>
                      <w:highlight w:val="none"/>
                      <w:lang w:val="en-US" w:eastAsia="zh-CN"/>
                    </w:rPr>
                    <w:t>堆填（砌）</w:t>
                  </w:r>
                  <w:r>
                    <w:rPr>
                      <w:rFonts w:hint="default"/>
                      <w:color w:val="auto"/>
                      <w:sz w:val="21"/>
                      <w:szCs w:val="21"/>
                      <w:highlight w:val="none"/>
                      <w:lang w:val="en-US" w:eastAsia="zh-CN"/>
                    </w:rPr>
                    <w:t>地场址的地下水水力特征和不同埋藏条件分不同情况计算。</w:t>
                  </w:r>
                </w:p>
              </w:tc>
              <w:tc>
                <w:tcPr>
                  <w:tcW w:w="817" w:type="dxa"/>
                  <w:noWrap w:val="0"/>
                  <w:vAlign w:val="center"/>
                </w:tcPr>
                <w:p w14:paraId="3CB616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1F1A0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489" w:hRule="atLeast"/>
                <w:jc w:val="center"/>
              </w:trPr>
              <w:tc>
                <w:tcPr>
                  <w:tcW w:w="551" w:type="dxa"/>
                  <w:vMerge w:val="continue"/>
                  <w:noWrap w:val="0"/>
                  <w:vAlign w:val="center"/>
                </w:tcPr>
                <w:p w14:paraId="0A01F7F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65516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4089BDC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5.7地表水收集导排系统</w:t>
                  </w:r>
                </w:p>
                <w:p w14:paraId="436A9F4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5.7.1堆砌地防洪系统应符合下列规定：</w:t>
                  </w:r>
                </w:p>
                <w:p w14:paraId="50303D2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堆砌地防洪系统设计应符合现行国家标准《防洪标准》GB 50201、《城市防洪工程设计规范》GB/T50805的相关规定。</w:t>
                  </w:r>
                </w:p>
                <w:p w14:paraId="59FD363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堆砌地防洪系统可根据地形设置截洪坝、截洪沟以及跌水和陡坡、集水池、洪水提升泵站、穿坝涵管等构筑物。洪水流量可采用小流域经验公式计算。</w:t>
                  </w:r>
                </w:p>
                <w:p w14:paraId="7B91468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当堆砌库区外汇水面积较大时，宜根据地形设置数条不同高程的截洪沟。</w:t>
                  </w:r>
                </w:p>
                <w:p w14:paraId="63E75B2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4</w:t>
                  </w:r>
                  <w:r>
                    <w:rPr>
                      <w:rFonts w:hint="eastAsia"/>
                      <w:color w:val="auto"/>
                      <w:sz w:val="21"/>
                      <w:szCs w:val="21"/>
                      <w:highlight w:val="none"/>
                      <w:lang w:val="en-US" w:eastAsia="zh-CN"/>
                    </w:rPr>
                    <w:t>.</w:t>
                  </w:r>
                  <w:r>
                    <w:rPr>
                      <w:rFonts w:hint="default"/>
                      <w:color w:val="auto"/>
                      <w:sz w:val="21"/>
                      <w:szCs w:val="21"/>
                      <w:highlight w:val="none"/>
                      <w:lang w:val="en-US" w:eastAsia="zh-CN"/>
                    </w:rPr>
                    <w:t>堆砌地外无自然水体或排水沟渠时，截洪沟出水口宜根据场外地形走向、地表径流流向、地表水体位置等设置排水管渠。</w:t>
                  </w:r>
                </w:p>
              </w:tc>
              <w:tc>
                <w:tcPr>
                  <w:tcW w:w="3746" w:type="dxa"/>
                  <w:noWrap w:val="0"/>
                  <w:vAlign w:val="center"/>
                </w:tcPr>
                <w:p w14:paraId="4EBFFF4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地表水收集导排系统由在</w:t>
                  </w:r>
                  <w:r>
                    <w:rPr>
                      <w:rFonts w:hint="eastAsia"/>
                      <w:color w:val="auto"/>
                      <w:sz w:val="21"/>
                      <w:szCs w:val="21"/>
                      <w:highlight w:val="none"/>
                      <w:lang w:val="en-US" w:eastAsia="zh-CN"/>
                    </w:rPr>
                    <w:t>堆填（砌）</w:t>
                  </w:r>
                  <w:r>
                    <w:rPr>
                      <w:rFonts w:hint="default"/>
                      <w:color w:val="auto"/>
                      <w:sz w:val="21"/>
                      <w:szCs w:val="21"/>
                      <w:highlight w:val="none"/>
                      <w:lang w:val="en-US" w:eastAsia="zh-CN"/>
                    </w:rPr>
                    <w:t>区外周边设置截洪沟、雨水收集明渠以及排放沟组成。可阻止库外侧雨水进入堆填库区，</w:t>
                  </w:r>
                  <w:r>
                    <w:rPr>
                      <w:rFonts w:hint="eastAsia"/>
                      <w:color w:val="auto"/>
                      <w:sz w:val="21"/>
                      <w:szCs w:val="21"/>
                      <w:highlight w:val="none"/>
                      <w:lang w:val="en-US" w:eastAsia="zh-CN"/>
                    </w:rPr>
                    <w:t>场区雨水</w:t>
                  </w:r>
                  <w:r>
                    <w:rPr>
                      <w:rFonts w:hint="default"/>
                      <w:color w:val="auto"/>
                      <w:sz w:val="21"/>
                      <w:szCs w:val="21"/>
                      <w:highlight w:val="none"/>
                      <w:lang w:val="en-US" w:eastAsia="zh-CN"/>
                    </w:rPr>
                    <w:t>经雨水收集明渠收集。雨水经截洪沟、雨水收集明渠收集后引入沉砂池，消除水流能量和沉淀后排入周边雨水沟渠。其中，截洪沟和沉砂池均采用浆砌石砌筑，沟底铺设厚度15厘米的C15混凝土垫层；明渠为370厚砖砌墙</w:t>
                  </w:r>
                  <w:r>
                    <w:rPr>
                      <w:rFonts w:hint="eastAsia"/>
                      <w:color w:val="auto"/>
                      <w:sz w:val="21"/>
                      <w:szCs w:val="21"/>
                      <w:highlight w:val="none"/>
                      <w:lang w:val="en-US" w:eastAsia="zh-CN"/>
                    </w:rPr>
                    <w:t>。</w:t>
                  </w:r>
                </w:p>
              </w:tc>
              <w:tc>
                <w:tcPr>
                  <w:tcW w:w="817" w:type="dxa"/>
                  <w:noWrap w:val="0"/>
                  <w:vAlign w:val="center"/>
                </w:tcPr>
                <w:p w14:paraId="79FE75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D822F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78" w:hRule="atLeast"/>
                <w:jc w:val="center"/>
              </w:trPr>
              <w:tc>
                <w:tcPr>
                  <w:tcW w:w="551" w:type="dxa"/>
                  <w:vMerge w:val="continue"/>
                  <w:noWrap w:val="0"/>
                  <w:vAlign w:val="center"/>
                </w:tcPr>
                <w:p w14:paraId="341C69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FE632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252FCD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5.7.2封场后雨水应通过堆体表面排水沟排入截洪沟等排水设施。</w:t>
                  </w:r>
                </w:p>
              </w:tc>
              <w:tc>
                <w:tcPr>
                  <w:tcW w:w="3746" w:type="dxa"/>
                  <w:noWrap w:val="0"/>
                  <w:vAlign w:val="center"/>
                </w:tcPr>
                <w:p w14:paraId="10E7014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封场后雨水通过堆体表面排水沟排入截洪沟等排水设施</w:t>
                  </w:r>
                  <w:r>
                    <w:rPr>
                      <w:rFonts w:hint="eastAsia"/>
                      <w:color w:val="auto"/>
                      <w:sz w:val="21"/>
                      <w:szCs w:val="21"/>
                      <w:highlight w:val="none"/>
                      <w:lang w:val="en-US" w:eastAsia="zh-CN"/>
                    </w:rPr>
                    <w:t>。</w:t>
                  </w:r>
                </w:p>
              </w:tc>
              <w:tc>
                <w:tcPr>
                  <w:tcW w:w="817" w:type="dxa"/>
                  <w:noWrap w:val="0"/>
                  <w:vAlign w:val="center"/>
                </w:tcPr>
                <w:p w14:paraId="08CCE2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7DEEE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5" w:hRule="atLeast"/>
                <w:jc w:val="center"/>
              </w:trPr>
              <w:tc>
                <w:tcPr>
                  <w:tcW w:w="551" w:type="dxa"/>
                  <w:vMerge w:val="continue"/>
                  <w:noWrap w:val="0"/>
                  <w:vAlign w:val="center"/>
                </w:tcPr>
                <w:p w14:paraId="2960003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4029C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946CBD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5.8封场覆盖及生态修复系统</w:t>
                  </w:r>
                </w:p>
                <w:p w14:paraId="1C1B1F1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5.8.1堆砌地封场设计应考虑堆体整形与边坡处理、封场覆盖结构类型、堆砌地生态恢复、土地利用与水土保持、堆体的稳定性等因素。</w:t>
                  </w:r>
                </w:p>
              </w:tc>
              <w:tc>
                <w:tcPr>
                  <w:tcW w:w="3746" w:type="dxa"/>
                  <w:noWrap w:val="0"/>
                  <w:vAlign w:val="center"/>
                </w:tcPr>
                <w:p w14:paraId="28B16AA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地封场设计考虑堆体整形与边坡处理、封场覆盖结构类型、</w:t>
                  </w:r>
                  <w:r>
                    <w:rPr>
                      <w:rFonts w:hint="eastAsia"/>
                      <w:color w:val="auto"/>
                      <w:sz w:val="21"/>
                      <w:szCs w:val="21"/>
                      <w:highlight w:val="none"/>
                      <w:lang w:val="en-US" w:eastAsia="zh-CN"/>
                    </w:rPr>
                    <w:t>堆填（砌）</w:t>
                  </w:r>
                  <w:r>
                    <w:rPr>
                      <w:rFonts w:hint="default"/>
                      <w:color w:val="auto"/>
                      <w:sz w:val="21"/>
                      <w:szCs w:val="21"/>
                      <w:highlight w:val="none"/>
                      <w:lang w:val="en-US" w:eastAsia="zh-CN"/>
                    </w:rPr>
                    <w:t>地生态恢复、土地利用与水土保持、堆体的稳定性等因素。</w:t>
                  </w:r>
                </w:p>
              </w:tc>
              <w:tc>
                <w:tcPr>
                  <w:tcW w:w="817" w:type="dxa"/>
                  <w:noWrap w:val="0"/>
                  <w:vAlign w:val="center"/>
                </w:tcPr>
                <w:p w14:paraId="6BC64A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D375F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77" w:hRule="atLeast"/>
                <w:jc w:val="center"/>
              </w:trPr>
              <w:tc>
                <w:tcPr>
                  <w:tcW w:w="551" w:type="dxa"/>
                  <w:vMerge w:val="continue"/>
                  <w:noWrap w:val="0"/>
                  <w:vAlign w:val="center"/>
                </w:tcPr>
                <w:p w14:paraId="7719167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8A9A3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39F764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5.8.2堆砌地封场堆体整形设计应满足封场覆盖层的铺设和封场后生态恢复与土地利用的要求。</w:t>
                  </w:r>
                </w:p>
              </w:tc>
              <w:tc>
                <w:tcPr>
                  <w:tcW w:w="3746" w:type="dxa"/>
                  <w:noWrap w:val="0"/>
                  <w:vAlign w:val="center"/>
                </w:tcPr>
                <w:p w14:paraId="66574E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地封场堆体整形设计满足封场覆盖层的铺设和封场后生态恢复与土地利用的要求</w:t>
                  </w:r>
                  <w:r>
                    <w:rPr>
                      <w:rFonts w:hint="eastAsia"/>
                      <w:color w:val="auto"/>
                      <w:sz w:val="21"/>
                      <w:szCs w:val="21"/>
                      <w:highlight w:val="none"/>
                      <w:lang w:val="en-US" w:eastAsia="zh-CN"/>
                    </w:rPr>
                    <w:t>。</w:t>
                  </w:r>
                </w:p>
              </w:tc>
              <w:tc>
                <w:tcPr>
                  <w:tcW w:w="817" w:type="dxa"/>
                  <w:noWrap w:val="0"/>
                  <w:vAlign w:val="center"/>
                </w:tcPr>
                <w:p w14:paraId="4A8F20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740CF5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48" w:hRule="atLeast"/>
                <w:jc w:val="center"/>
              </w:trPr>
              <w:tc>
                <w:tcPr>
                  <w:tcW w:w="551" w:type="dxa"/>
                  <w:vMerge w:val="continue"/>
                  <w:noWrap w:val="0"/>
                  <w:vAlign w:val="center"/>
                </w:tcPr>
                <w:p w14:paraId="25F7F7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3B851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5311B9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5.8.3堆体整形顶面坡度不宜小于5%。边坡大于10%时宜采用多级台阶，台阶间边坡坡度不宜大于1：3，台阶宽度不宜小于2m。堆体高度应根据堆体稳定性计算确定。</w:t>
                  </w:r>
                </w:p>
              </w:tc>
              <w:tc>
                <w:tcPr>
                  <w:tcW w:w="3746" w:type="dxa"/>
                  <w:noWrap w:val="0"/>
                  <w:vAlign w:val="center"/>
                </w:tcPr>
                <w:p w14:paraId="719CB31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堆体整形顶面坡度不小于5%。边坡大于10%时采用多级台阶，台阶间边坡坡度不大于1：3，台阶宽度不小于2m。堆体高度根据堆体稳定性计算确定</w:t>
                  </w:r>
                  <w:r>
                    <w:rPr>
                      <w:rFonts w:hint="eastAsia"/>
                      <w:color w:val="auto"/>
                      <w:sz w:val="21"/>
                      <w:szCs w:val="21"/>
                      <w:highlight w:val="none"/>
                      <w:lang w:val="en-US" w:eastAsia="zh-CN"/>
                    </w:rPr>
                    <w:t>。</w:t>
                  </w:r>
                </w:p>
              </w:tc>
              <w:tc>
                <w:tcPr>
                  <w:tcW w:w="817" w:type="dxa"/>
                  <w:noWrap w:val="0"/>
                  <w:vAlign w:val="center"/>
                </w:tcPr>
                <w:p w14:paraId="498356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17472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0" w:hRule="atLeast"/>
                <w:jc w:val="center"/>
              </w:trPr>
              <w:tc>
                <w:tcPr>
                  <w:tcW w:w="551" w:type="dxa"/>
                  <w:vMerge w:val="continue"/>
                  <w:noWrap w:val="0"/>
                  <w:vAlign w:val="center"/>
                </w:tcPr>
                <w:p w14:paraId="7343D59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2E36C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DE50A7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5.8.4堆砌地封场覆盖结构宜按图5.8.4的规定，并应符合下列规定：</w:t>
                  </w:r>
                </w:p>
                <w:p w14:paraId="3388B98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r>
                    <w:rPr>
                      <w:color w:val="auto"/>
                      <w:highlight w:val="none"/>
                    </w:rPr>
                    <w:drawing>
                      <wp:inline distT="0" distB="0" distL="114300" distR="114300">
                        <wp:extent cx="2553335" cy="1367790"/>
                        <wp:effectExtent l="0" t="0" r="18415" b="3810"/>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pic:cNvPicPr>
                              </pic:nvPicPr>
                              <pic:blipFill>
                                <a:blip r:embed="rId11"/>
                                <a:srcRect t="5923" b="3028"/>
                                <a:stretch>
                                  <a:fillRect/>
                                </a:stretch>
                              </pic:blipFill>
                              <pic:spPr>
                                <a:xfrm>
                                  <a:off x="0" y="0"/>
                                  <a:ext cx="2553335" cy="1367790"/>
                                </a:xfrm>
                                <a:prstGeom prst="rect">
                                  <a:avLst/>
                                </a:prstGeom>
                                <a:noFill/>
                                <a:ln>
                                  <a:noFill/>
                                </a:ln>
                              </pic:spPr>
                            </pic:pic>
                          </a:graphicData>
                        </a:graphic>
                      </wp:inline>
                    </w:drawing>
                  </w:r>
                </w:p>
                <w:p w14:paraId="7F2E70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2"/>
                      <w:szCs w:val="22"/>
                      <w:highlight w:val="none"/>
                      <w:lang w:val="en-US" w:eastAsia="zh-CN"/>
                    </w:rPr>
                  </w:pPr>
                  <w:r>
                    <w:rPr>
                      <w:rFonts w:hint="default"/>
                      <w:color w:val="auto"/>
                      <w:sz w:val="22"/>
                      <w:szCs w:val="22"/>
                      <w:highlight w:val="none"/>
                      <w:lang w:val="en-US" w:eastAsia="zh-CN"/>
                    </w:rPr>
                    <w:t>1—垃圾层；2—防渗层；3—排水层；4—植被层。</w:t>
                  </w:r>
                </w:p>
                <w:p w14:paraId="7FBC30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b/>
                      <w:bCs/>
                      <w:color w:val="auto"/>
                      <w:sz w:val="21"/>
                      <w:szCs w:val="21"/>
                      <w:highlight w:val="none"/>
                      <w:lang w:val="en-US" w:eastAsia="zh-CN"/>
                    </w:rPr>
                  </w:pPr>
                  <w:r>
                    <w:rPr>
                      <w:rFonts w:hint="default"/>
                      <w:b/>
                      <w:bCs/>
                      <w:color w:val="auto"/>
                      <w:sz w:val="21"/>
                      <w:szCs w:val="21"/>
                      <w:highlight w:val="none"/>
                      <w:lang w:val="en-US" w:eastAsia="zh-CN"/>
                    </w:rPr>
                    <w:t>图5.8.4 封场覆盖系统示意</w:t>
                  </w:r>
                </w:p>
                <w:p w14:paraId="23EECCE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b w:val="0"/>
                      <w:bCs w:val="0"/>
                      <w:color w:val="auto"/>
                      <w:sz w:val="21"/>
                      <w:szCs w:val="21"/>
                      <w:highlight w:val="none"/>
                      <w:lang w:val="en-US" w:eastAsia="zh-CN"/>
                    </w:rPr>
                  </w:pPr>
                  <w:r>
                    <w:rPr>
                      <w:rFonts w:hint="eastAsia"/>
                      <w:b w:val="0"/>
                      <w:bCs w:val="0"/>
                      <w:color w:val="auto"/>
                      <w:sz w:val="21"/>
                      <w:szCs w:val="21"/>
                      <w:highlight w:val="none"/>
                      <w:lang w:val="en-US" w:eastAsia="zh-CN"/>
                    </w:rPr>
                    <w:t>1.</w:t>
                  </w:r>
                  <w:r>
                    <w:rPr>
                      <w:rFonts w:hint="default"/>
                      <w:b w:val="0"/>
                      <w:bCs w:val="0"/>
                      <w:color w:val="auto"/>
                      <w:sz w:val="21"/>
                      <w:szCs w:val="21"/>
                      <w:highlight w:val="none"/>
                      <w:lang w:val="en-US" w:eastAsia="zh-CN"/>
                    </w:rPr>
                    <w:t>防渗层宜采用黏土或替代土层，可采用高密度聚乙烯HDPE土工膜或线性低密度聚乙烯LLDPE土工膜。采用黏土或替代土层的渗透系数不宜大于1.0×10</w:t>
                  </w:r>
                  <w:r>
                    <w:rPr>
                      <w:rFonts w:hint="default"/>
                      <w:b w:val="0"/>
                      <w:bCs w:val="0"/>
                      <w:color w:val="auto"/>
                      <w:sz w:val="21"/>
                      <w:szCs w:val="21"/>
                      <w:highlight w:val="none"/>
                      <w:vertAlign w:val="superscript"/>
                      <w:lang w:val="en-US" w:eastAsia="zh-CN"/>
                    </w:rPr>
                    <w:t>-7</w:t>
                  </w:r>
                  <w:r>
                    <w:rPr>
                      <w:rFonts w:hint="default"/>
                      <w:b w:val="0"/>
                      <w:bCs w:val="0"/>
                      <w:color w:val="auto"/>
                      <w:sz w:val="21"/>
                      <w:szCs w:val="21"/>
                      <w:highlight w:val="none"/>
                      <w:lang w:val="en-US" w:eastAsia="zh-CN"/>
                    </w:rPr>
                    <w:t>cm/s，厚度不应小于30cm；采用高密度聚乙烯（HDPE）土工膜或线性低密度聚乙烯（LLDPE）土工膜，厚度不应小于1mm，膜上应敷设非织造土工布，规格不宜小于300g/m</w:t>
                  </w:r>
                  <w:r>
                    <w:rPr>
                      <w:rFonts w:hint="default"/>
                      <w:b w:val="0"/>
                      <w:bCs w:val="0"/>
                      <w:color w:val="auto"/>
                      <w:sz w:val="21"/>
                      <w:szCs w:val="21"/>
                      <w:highlight w:val="none"/>
                      <w:vertAlign w:val="superscript"/>
                      <w:lang w:val="en-US" w:eastAsia="zh-CN"/>
                    </w:rPr>
                    <w:t>2</w:t>
                  </w:r>
                  <w:r>
                    <w:rPr>
                      <w:rFonts w:hint="default"/>
                      <w:b w:val="0"/>
                      <w:bCs w:val="0"/>
                      <w:color w:val="auto"/>
                      <w:sz w:val="21"/>
                      <w:szCs w:val="21"/>
                      <w:highlight w:val="none"/>
                      <w:lang w:val="en-US" w:eastAsia="zh-CN"/>
                    </w:rPr>
                    <w:t>；膜下应敷设防渗保护层。</w:t>
                  </w:r>
                </w:p>
                <w:p w14:paraId="5E55A50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center"/>
                    <w:rPr>
                      <w:rFonts w:hint="default"/>
                      <w:b w:val="0"/>
                      <w:bCs w:val="0"/>
                      <w:color w:val="auto"/>
                      <w:sz w:val="21"/>
                      <w:szCs w:val="21"/>
                      <w:highlight w:val="none"/>
                      <w:lang w:val="en-US" w:eastAsia="zh-CN"/>
                    </w:rPr>
                  </w:pPr>
                  <w:r>
                    <w:rPr>
                      <w:rFonts w:hint="default"/>
                      <w:b w:val="0"/>
                      <w:bCs w:val="0"/>
                      <w:color w:val="auto"/>
                      <w:sz w:val="21"/>
                      <w:szCs w:val="21"/>
                      <w:highlight w:val="none"/>
                      <w:lang w:val="en-US" w:eastAsia="zh-CN"/>
                    </w:rPr>
                    <w:t>2</w:t>
                  </w:r>
                  <w:r>
                    <w:rPr>
                      <w:rFonts w:hint="eastAsia"/>
                      <w:b w:val="0"/>
                      <w:bCs w:val="0"/>
                      <w:color w:val="auto"/>
                      <w:sz w:val="21"/>
                      <w:szCs w:val="21"/>
                      <w:highlight w:val="none"/>
                      <w:lang w:val="en-US" w:eastAsia="zh-CN"/>
                    </w:rPr>
                    <w:t>.</w:t>
                  </w:r>
                  <w:r>
                    <w:rPr>
                      <w:rFonts w:hint="default"/>
                      <w:b w:val="0"/>
                      <w:bCs w:val="0"/>
                      <w:color w:val="auto"/>
                      <w:sz w:val="21"/>
                      <w:szCs w:val="21"/>
                      <w:highlight w:val="none"/>
                      <w:lang w:val="en-US" w:eastAsia="zh-CN"/>
                    </w:rPr>
                    <w:t>对于排水层，堆体顶面宜采用粗粒或多孔材料，厚度不宜小于30cm，边坡宜采用土工复合排水网，厚度不应小于5mm。</w:t>
                  </w:r>
                </w:p>
                <w:p w14:paraId="53A0A88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b/>
                      <w:bCs/>
                      <w:color w:val="auto"/>
                      <w:sz w:val="21"/>
                      <w:szCs w:val="21"/>
                      <w:highlight w:val="none"/>
                      <w:lang w:val="en-US" w:eastAsia="zh-CN"/>
                    </w:rPr>
                  </w:pPr>
                  <w:r>
                    <w:rPr>
                      <w:rFonts w:hint="default"/>
                      <w:b w:val="0"/>
                      <w:bCs w:val="0"/>
                      <w:color w:val="auto"/>
                      <w:sz w:val="21"/>
                      <w:szCs w:val="21"/>
                      <w:highlight w:val="none"/>
                      <w:lang w:val="en-US" w:eastAsia="zh-CN"/>
                    </w:rPr>
                    <w:t>3</w:t>
                  </w:r>
                  <w:r>
                    <w:rPr>
                      <w:rFonts w:hint="eastAsia"/>
                      <w:b w:val="0"/>
                      <w:bCs w:val="0"/>
                      <w:color w:val="auto"/>
                      <w:sz w:val="21"/>
                      <w:szCs w:val="21"/>
                      <w:highlight w:val="none"/>
                      <w:lang w:val="en-US" w:eastAsia="zh-CN"/>
                    </w:rPr>
                    <w:t>.</w:t>
                  </w:r>
                  <w:r>
                    <w:rPr>
                      <w:rFonts w:hint="default"/>
                      <w:b w:val="0"/>
                      <w:bCs w:val="0"/>
                      <w:color w:val="auto"/>
                      <w:sz w:val="21"/>
                      <w:szCs w:val="21"/>
                      <w:highlight w:val="none"/>
                      <w:lang w:val="en-US" w:eastAsia="zh-CN"/>
                    </w:rPr>
                    <w:t>植被层应采用自然土加表层营养土，厚度应根据种植植物的根系深浅确定，自然土厚度不宜小于35cm，营养土厚度不宜小于15cm，植被层压实度不宜小于80%。</w:t>
                  </w:r>
                </w:p>
              </w:tc>
              <w:tc>
                <w:tcPr>
                  <w:tcW w:w="3746" w:type="dxa"/>
                  <w:noWrap w:val="0"/>
                  <w:vAlign w:val="center"/>
                </w:tcPr>
                <w:p w14:paraId="085DC1F0">
                  <w:pPr>
                    <w:pStyle w:val="35"/>
                    <w:keepNext w:val="0"/>
                    <w:keepLines w:val="0"/>
                    <w:pageBreakBefore w:val="0"/>
                    <w:widowControl w:val="0"/>
                    <w:kinsoku/>
                    <w:wordWrap/>
                    <w:overflowPunct/>
                    <w:topLinePunct w:val="0"/>
                    <w:autoSpaceDE/>
                    <w:autoSpaceDN/>
                    <w:bidi w:val="0"/>
                    <w:adjustRightInd/>
                    <w:snapToGrid/>
                    <w:spacing w:before="0" w:after="0"/>
                    <w:jc w:val="left"/>
                    <w:textAlignment w:val="auto"/>
                    <w:rPr>
                      <w:rFonts w:hint="eastAsia" w:ascii="Times New Roman" w:hAnsi="Times New Roman" w:cs="Times New Roman"/>
                      <w:color w:val="auto"/>
                      <w:kern w:val="1"/>
                      <w:sz w:val="21"/>
                      <w:szCs w:val="21"/>
                      <w:highlight w:val="none"/>
                      <w:lang w:val="en-US" w:eastAsia="zh-CN" w:bidi="ar-SA"/>
                    </w:rPr>
                  </w:pPr>
                  <w:r>
                    <w:rPr>
                      <w:rFonts w:hint="eastAsia"/>
                      <w:color w:val="auto"/>
                      <w:sz w:val="21"/>
                      <w:szCs w:val="21"/>
                      <w:highlight w:val="none"/>
                      <w:lang w:val="en-US" w:eastAsia="zh-CN"/>
                    </w:rPr>
                    <w:t>按照《建筑垃圾堆砌地建设标准》（DB13（J）T8464-2022）要求进行封场覆盖。根据建设单位提供资料，</w:t>
                  </w:r>
                  <w:r>
                    <w:rPr>
                      <w:rFonts w:hint="eastAsia" w:ascii="Times New Roman" w:hAnsi="Times New Roman" w:eastAsia="宋体" w:cs="Times New Roman"/>
                      <w:color w:val="auto"/>
                      <w:kern w:val="1"/>
                      <w:sz w:val="21"/>
                      <w:szCs w:val="21"/>
                      <w:highlight w:val="none"/>
                      <w:lang w:val="en-US" w:eastAsia="zh-CN" w:bidi="ar-SA"/>
                    </w:rPr>
                    <w:t>项目设计堆填高度与周边地块平齐，</w:t>
                  </w:r>
                  <w:r>
                    <w:rPr>
                      <w:rFonts w:hint="eastAsia" w:ascii="Times New Roman" w:hAnsi="Times New Roman" w:cs="Times New Roman"/>
                      <w:color w:val="auto"/>
                      <w:kern w:val="1"/>
                      <w:sz w:val="21"/>
                      <w:szCs w:val="21"/>
                      <w:highlight w:val="none"/>
                      <w:lang w:val="en-US" w:eastAsia="zh-CN" w:bidi="ar-SA"/>
                    </w:rPr>
                    <w:t>不涉及边坡，</w:t>
                  </w:r>
                  <w:r>
                    <w:rPr>
                      <w:rFonts w:hint="eastAsia" w:ascii="Times New Roman" w:hAnsi="Times New Roman" w:eastAsia="宋体" w:cs="Times New Roman"/>
                      <w:color w:val="auto"/>
                      <w:kern w:val="1"/>
                      <w:sz w:val="21"/>
                      <w:szCs w:val="21"/>
                      <w:highlight w:val="none"/>
                      <w:lang w:val="en-US" w:eastAsia="zh-CN" w:bidi="ar-SA"/>
                    </w:rPr>
                    <w:t>因此，建筑垃圾堆填</w:t>
                  </w:r>
                  <w:r>
                    <w:rPr>
                      <w:rFonts w:hint="default" w:ascii="Times New Roman" w:hAnsi="Times New Roman" w:eastAsia="宋体" w:cs="Times New Roman"/>
                      <w:color w:val="auto"/>
                      <w:kern w:val="1"/>
                      <w:sz w:val="21"/>
                      <w:szCs w:val="21"/>
                      <w:highlight w:val="none"/>
                      <w:lang w:val="en-US" w:eastAsia="zh-CN" w:bidi="ar-SA"/>
                    </w:rPr>
                    <w:t>接近设计标高时</w:t>
                  </w:r>
                  <w:r>
                    <w:rPr>
                      <w:rFonts w:hint="eastAsia" w:ascii="Times New Roman" w:hAnsi="Times New Roman" w:cs="Times New Roman"/>
                      <w:color w:val="auto"/>
                      <w:kern w:val="1"/>
                      <w:sz w:val="21"/>
                      <w:szCs w:val="21"/>
                      <w:highlight w:val="none"/>
                      <w:lang w:val="en-US" w:eastAsia="zh-CN" w:bidi="ar-SA"/>
                    </w:rPr>
                    <w:t>进行封场。</w:t>
                  </w:r>
                  <w:r>
                    <w:rPr>
                      <w:rFonts w:hint="eastAsia" w:cs="Times New Roman"/>
                      <w:color w:val="auto"/>
                      <w:kern w:val="1"/>
                      <w:sz w:val="21"/>
                      <w:szCs w:val="21"/>
                      <w:highlight w:val="none"/>
                      <w:lang w:val="en-US" w:eastAsia="zh-CN" w:bidi="ar-SA"/>
                    </w:rPr>
                    <w:t>堆填（砌）</w:t>
                  </w:r>
                  <w:r>
                    <w:rPr>
                      <w:rFonts w:hint="default" w:ascii="Times New Roman" w:hAnsi="Times New Roman" w:eastAsia="宋体" w:cs="Times New Roman"/>
                      <w:color w:val="auto"/>
                      <w:kern w:val="1"/>
                      <w:sz w:val="21"/>
                      <w:szCs w:val="21"/>
                      <w:highlight w:val="none"/>
                      <w:lang w:val="en-US" w:eastAsia="zh-CN" w:bidi="ar-SA"/>
                    </w:rPr>
                    <w:t>场封场覆盖结构各层应由下至上依次为</w:t>
                  </w:r>
                  <w:r>
                    <w:rPr>
                      <w:rFonts w:hint="eastAsia"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防渗层、排水层与植被层。堆填场封场覆盖应符合下列规定</w:t>
                  </w:r>
                  <w:r>
                    <w:rPr>
                      <w:rFonts w:hint="eastAsia" w:ascii="Times New Roman" w:hAnsi="Times New Roman" w:cs="Times New Roman"/>
                      <w:color w:val="auto"/>
                      <w:kern w:val="1"/>
                      <w:sz w:val="21"/>
                      <w:szCs w:val="21"/>
                      <w:highlight w:val="none"/>
                      <w:lang w:val="en-US" w:eastAsia="zh-CN" w:bidi="ar-SA"/>
                    </w:rPr>
                    <w:t>：</w:t>
                  </w:r>
                </w:p>
                <w:p w14:paraId="7A82901B">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eastAsia" w:ascii="Times New Roman" w:hAnsi="Times New Roman"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1.</w:t>
                  </w:r>
                  <w:r>
                    <w:rPr>
                      <w:rFonts w:hint="default" w:ascii="Times New Roman" w:hAnsi="Times New Roman" w:eastAsia="宋体" w:cs="Times New Roman"/>
                      <w:color w:val="auto"/>
                      <w:kern w:val="1"/>
                      <w:sz w:val="21"/>
                      <w:szCs w:val="21"/>
                      <w:highlight w:val="none"/>
                      <w:lang w:val="en-US" w:eastAsia="zh-CN" w:bidi="ar-SA"/>
                    </w:rPr>
                    <w:t>防渗层</w:t>
                  </w:r>
                  <w:r>
                    <w:rPr>
                      <w:rFonts w:hint="eastAsia" w:ascii="Times New Roman" w:hAnsi="Times New Roman"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采用黏土层，采用黏土层的渗透系数不应大于1.0×10</w:t>
                  </w:r>
                  <w:r>
                    <w:rPr>
                      <w:rFonts w:hint="default" w:ascii="Times New Roman" w:hAnsi="Times New Roman" w:eastAsia="宋体" w:cs="Times New Roman"/>
                      <w:color w:val="auto"/>
                      <w:kern w:val="1"/>
                      <w:sz w:val="21"/>
                      <w:szCs w:val="21"/>
                      <w:highlight w:val="none"/>
                      <w:vertAlign w:val="superscript"/>
                      <w:lang w:val="en-US" w:eastAsia="zh-CN" w:bidi="ar-SA"/>
                    </w:rPr>
                    <w:t>-7</w:t>
                  </w:r>
                  <w:r>
                    <w:rPr>
                      <w:rFonts w:hint="default" w:ascii="Times New Roman" w:hAnsi="Times New Roman" w:eastAsia="宋体" w:cs="Times New Roman"/>
                      <w:color w:val="auto"/>
                      <w:kern w:val="1"/>
                      <w:sz w:val="21"/>
                      <w:szCs w:val="21"/>
                      <w:highlight w:val="none"/>
                      <w:lang w:val="en-US" w:eastAsia="zh-CN" w:bidi="ar-SA"/>
                    </w:rPr>
                    <w:t>cm/s，厚度为30cm</w:t>
                  </w:r>
                  <w:r>
                    <w:rPr>
                      <w:rFonts w:hint="eastAsia" w:ascii="Times New Roman" w:hAnsi="Times New Roman" w:cs="Times New Roman"/>
                      <w:color w:val="auto"/>
                      <w:kern w:val="1"/>
                      <w:sz w:val="21"/>
                      <w:szCs w:val="21"/>
                      <w:highlight w:val="none"/>
                      <w:lang w:val="en-US" w:eastAsia="zh-CN" w:bidi="ar-SA"/>
                    </w:rPr>
                    <w:t>；</w:t>
                  </w:r>
                </w:p>
                <w:p w14:paraId="2CC3A4EE">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2.</w:t>
                  </w:r>
                  <w:r>
                    <w:rPr>
                      <w:rFonts w:hint="default" w:ascii="Times New Roman" w:hAnsi="Times New Roman" w:eastAsia="宋体" w:cs="Times New Roman"/>
                      <w:color w:val="auto"/>
                      <w:kern w:val="1"/>
                      <w:sz w:val="21"/>
                      <w:szCs w:val="21"/>
                      <w:highlight w:val="none"/>
                      <w:lang w:val="en-US" w:eastAsia="zh-CN" w:bidi="ar-SA"/>
                    </w:rPr>
                    <w:t>排水层</w:t>
                  </w:r>
                  <w:r>
                    <w:rPr>
                      <w:rFonts w:hint="eastAsia" w:ascii="Times New Roman" w:hAnsi="Times New Roman"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采用卵石，厚度为30cm</w:t>
                  </w:r>
                  <w:r>
                    <w:rPr>
                      <w:rFonts w:hint="eastAsia" w:cs="Times New Roman"/>
                      <w:color w:val="auto"/>
                      <w:kern w:val="1"/>
                      <w:sz w:val="21"/>
                      <w:szCs w:val="21"/>
                      <w:highlight w:val="none"/>
                      <w:lang w:val="en-US" w:eastAsia="zh-CN" w:bidi="ar-SA"/>
                    </w:rPr>
                    <w:t>，</w:t>
                  </w:r>
                  <w:r>
                    <w:rPr>
                      <w:rFonts w:hint="default"/>
                      <w:b w:val="0"/>
                      <w:bCs w:val="0"/>
                      <w:color w:val="auto"/>
                      <w:sz w:val="21"/>
                      <w:szCs w:val="21"/>
                      <w:highlight w:val="none"/>
                      <w:lang w:val="en-US" w:eastAsia="zh-CN"/>
                    </w:rPr>
                    <w:t>边坡采用土工复合排水网，厚度</w:t>
                  </w:r>
                  <w:r>
                    <w:rPr>
                      <w:rFonts w:hint="eastAsia"/>
                      <w:b w:val="0"/>
                      <w:bCs w:val="0"/>
                      <w:color w:val="auto"/>
                      <w:sz w:val="21"/>
                      <w:szCs w:val="21"/>
                      <w:highlight w:val="none"/>
                      <w:lang w:val="en-US" w:eastAsia="zh-CN"/>
                    </w:rPr>
                    <w:t>为</w:t>
                  </w:r>
                  <w:r>
                    <w:rPr>
                      <w:rFonts w:hint="default"/>
                      <w:b w:val="0"/>
                      <w:bCs w:val="0"/>
                      <w:color w:val="auto"/>
                      <w:sz w:val="21"/>
                      <w:szCs w:val="21"/>
                      <w:highlight w:val="none"/>
                      <w:lang w:val="en-US" w:eastAsia="zh-CN"/>
                    </w:rPr>
                    <w:t>5mm</w:t>
                  </w:r>
                  <w:r>
                    <w:rPr>
                      <w:rFonts w:hint="eastAsia" w:ascii="Times New Roman" w:hAnsi="Times New Roman" w:cs="Times New Roman"/>
                      <w:color w:val="auto"/>
                      <w:kern w:val="1"/>
                      <w:sz w:val="21"/>
                      <w:szCs w:val="21"/>
                      <w:highlight w:val="none"/>
                      <w:lang w:val="en-US" w:eastAsia="zh-CN" w:bidi="ar-SA"/>
                    </w:rPr>
                    <w:t>；</w:t>
                  </w:r>
                </w:p>
                <w:p w14:paraId="51BBEC15">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left"/>
                    <w:textAlignment w:val="center"/>
                    <w:rPr>
                      <w:rFonts w:hint="default"/>
                      <w:color w:val="auto"/>
                      <w:sz w:val="21"/>
                      <w:szCs w:val="21"/>
                      <w:highlight w:val="none"/>
                      <w:lang w:val="en-US" w:eastAsia="zh-CN"/>
                    </w:rPr>
                  </w:pPr>
                  <w:r>
                    <w:rPr>
                      <w:rFonts w:hint="eastAsia" w:ascii="Times New Roman" w:hAnsi="Times New Roman" w:cs="Times New Roman"/>
                      <w:color w:val="auto"/>
                      <w:kern w:val="1"/>
                      <w:sz w:val="21"/>
                      <w:szCs w:val="21"/>
                      <w:highlight w:val="none"/>
                      <w:lang w:val="en-US" w:eastAsia="zh-CN" w:bidi="ar-SA"/>
                    </w:rPr>
                    <w:t>3</w:t>
                  </w:r>
                  <w:r>
                    <w:rPr>
                      <w:rFonts w:hint="eastAsia"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植被层</w:t>
                  </w:r>
                  <w:r>
                    <w:rPr>
                      <w:rFonts w:hint="eastAsia" w:ascii="Times New Roman" w:hAnsi="Times New Roman" w:cs="Times New Roman"/>
                      <w:color w:val="auto"/>
                      <w:kern w:val="1"/>
                      <w:sz w:val="21"/>
                      <w:szCs w:val="21"/>
                      <w:highlight w:val="none"/>
                      <w:lang w:val="en-US" w:eastAsia="zh-CN" w:bidi="ar-SA"/>
                    </w:rPr>
                    <w:t>：采用自然土加表层营养土回填，自然土厚度为35cm，营养土厚度为15cm，植被层压实度大于80%</w:t>
                  </w:r>
                  <w:r>
                    <w:rPr>
                      <w:rFonts w:hint="default" w:ascii="Times New Roman" w:hAnsi="Times New Roman" w:eastAsia="宋体" w:cs="Times New Roman"/>
                      <w:color w:val="auto"/>
                      <w:kern w:val="1"/>
                      <w:sz w:val="21"/>
                      <w:szCs w:val="21"/>
                      <w:highlight w:val="none"/>
                      <w:lang w:val="en-US" w:eastAsia="zh-CN" w:bidi="ar-SA"/>
                    </w:rPr>
                    <w:t>。回填至设计标高后回填体采用植被覆盖封闭。具体覆土厚度根据土壤特性和复垦方向要求确定</w:t>
                  </w:r>
                  <w:r>
                    <w:rPr>
                      <w:rFonts w:hint="eastAsia" w:ascii="Times New Roman" w:hAnsi="Times New Roman" w:cs="Times New Roman"/>
                      <w:color w:val="auto"/>
                      <w:kern w:val="1"/>
                      <w:sz w:val="21"/>
                      <w:szCs w:val="21"/>
                      <w:highlight w:val="none"/>
                      <w:lang w:val="en-US" w:eastAsia="zh-CN" w:bidi="ar-SA"/>
                    </w:rPr>
                    <w:t>。</w:t>
                  </w:r>
                </w:p>
              </w:tc>
              <w:tc>
                <w:tcPr>
                  <w:tcW w:w="817" w:type="dxa"/>
                  <w:noWrap w:val="0"/>
                  <w:vAlign w:val="center"/>
                </w:tcPr>
                <w:p w14:paraId="6C756F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E9FFD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82" w:hRule="atLeast"/>
                <w:jc w:val="center"/>
              </w:trPr>
              <w:tc>
                <w:tcPr>
                  <w:tcW w:w="551" w:type="dxa"/>
                  <w:vMerge w:val="continue"/>
                  <w:noWrap w:val="0"/>
                  <w:vAlign w:val="center"/>
                </w:tcPr>
                <w:p w14:paraId="1F7644C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5935F9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1840EB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5.8.5堆砌地封场覆盖后，应及时采用植被逐步实施生态恢复，并应与周边环境相协调</w:t>
                  </w:r>
                  <w:r>
                    <w:rPr>
                      <w:rFonts w:hint="eastAsia"/>
                      <w:color w:val="auto"/>
                      <w:sz w:val="21"/>
                      <w:szCs w:val="21"/>
                      <w:highlight w:val="none"/>
                      <w:lang w:val="en-US" w:eastAsia="zh-CN"/>
                    </w:rPr>
                    <w:t>。</w:t>
                  </w:r>
                </w:p>
              </w:tc>
              <w:tc>
                <w:tcPr>
                  <w:tcW w:w="3746" w:type="dxa"/>
                  <w:noWrap w:val="0"/>
                  <w:vAlign w:val="center"/>
                </w:tcPr>
                <w:p w14:paraId="02AE10A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地封场覆盖后，及时采用植被逐步实施生态恢复，</w:t>
                  </w:r>
                  <w:r>
                    <w:rPr>
                      <w:rFonts w:hint="eastAsia"/>
                      <w:color w:val="auto"/>
                      <w:sz w:val="21"/>
                      <w:szCs w:val="21"/>
                      <w:highlight w:val="none"/>
                      <w:lang w:val="en-US" w:eastAsia="zh-CN"/>
                    </w:rPr>
                    <w:t>并</w:t>
                  </w:r>
                  <w:r>
                    <w:rPr>
                      <w:rFonts w:hint="default"/>
                      <w:color w:val="auto"/>
                      <w:sz w:val="21"/>
                      <w:szCs w:val="21"/>
                      <w:highlight w:val="none"/>
                      <w:lang w:val="en-US" w:eastAsia="zh-CN"/>
                    </w:rPr>
                    <w:t>与周边环境相协调</w:t>
                  </w:r>
                  <w:r>
                    <w:rPr>
                      <w:rFonts w:hint="eastAsia"/>
                      <w:color w:val="auto"/>
                      <w:sz w:val="21"/>
                      <w:szCs w:val="21"/>
                      <w:highlight w:val="none"/>
                      <w:lang w:val="en-US" w:eastAsia="zh-CN"/>
                    </w:rPr>
                    <w:t>。</w:t>
                  </w:r>
                </w:p>
              </w:tc>
              <w:tc>
                <w:tcPr>
                  <w:tcW w:w="817" w:type="dxa"/>
                  <w:noWrap w:val="0"/>
                  <w:vAlign w:val="center"/>
                </w:tcPr>
                <w:p w14:paraId="3C8510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EEE93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45" w:hRule="atLeast"/>
                <w:jc w:val="center"/>
              </w:trPr>
              <w:tc>
                <w:tcPr>
                  <w:tcW w:w="551" w:type="dxa"/>
                  <w:vMerge w:val="continue"/>
                  <w:noWrap w:val="0"/>
                  <w:vAlign w:val="center"/>
                </w:tcPr>
                <w:p w14:paraId="150D1A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76039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D79179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5.8.6堆砌地封场后应继续进行环境与安全监测等运行管理，直至填埋体达到稳定。</w:t>
                  </w:r>
                </w:p>
              </w:tc>
              <w:tc>
                <w:tcPr>
                  <w:tcW w:w="3746" w:type="dxa"/>
                  <w:noWrap w:val="0"/>
                  <w:vAlign w:val="center"/>
                </w:tcPr>
                <w:p w14:paraId="6F6236A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地封场后继续进行环境与安全监测等运行管理，直至</w:t>
                  </w:r>
                  <w:r>
                    <w:rPr>
                      <w:rFonts w:hint="eastAsia"/>
                      <w:color w:val="auto"/>
                      <w:sz w:val="21"/>
                      <w:szCs w:val="21"/>
                      <w:highlight w:val="none"/>
                      <w:lang w:val="en-US" w:eastAsia="zh-CN"/>
                    </w:rPr>
                    <w:t>堆填</w:t>
                  </w:r>
                  <w:r>
                    <w:rPr>
                      <w:rFonts w:hint="default"/>
                      <w:color w:val="auto"/>
                      <w:sz w:val="21"/>
                      <w:szCs w:val="21"/>
                      <w:highlight w:val="none"/>
                      <w:lang w:val="en-US" w:eastAsia="zh-CN"/>
                    </w:rPr>
                    <w:t>体达到稳定。</w:t>
                  </w:r>
                </w:p>
              </w:tc>
              <w:tc>
                <w:tcPr>
                  <w:tcW w:w="817" w:type="dxa"/>
                  <w:noWrap w:val="0"/>
                  <w:vAlign w:val="center"/>
                </w:tcPr>
                <w:p w14:paraId="4EA7BD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ACC1F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0297BEA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3AC68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729E26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5.8.7堆砌地封场后宜进行水土保持的相关维护工作。</w:t>
                  </w:r>
                </w:p>
              </w:tc>
              <w:tc>
                <w:tcPr>
                  <w:tcW w:w="3746" w:type="dxa"/>
                  <w:noWrap w:val="0"/>
                  <w:vAlign w:val="center"/>
                </w:tcPr>
                <w:p w14:paraId="7EE3E04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地封场后进行水土保持的相关维护工作</w:t>
                  </w:r>
                  <w:r>
                    <w:rPr>
                      <w:rFonts w:hint="eastAsia"/>
                      <w:color w:val="auto"/>
                      <w:sz w:val="21"/>
                      <w:szCs w:val="21"/>
                      <w:highlight w:val="none"/>
                      <w:lang w:val="en-US" w:eastAsia="zh-CN"/>
                    </w:rPr>
                    <w:t>。</w:t>
                  </w:r>
                </w:p>
              </w:tc>
              <w:tc>
                <w:tcPr>
                  <w:tcW w:w="817" w:type="dxa"/>
                  <w:noWrap w:val="0"/>
                  <w:vAlign w:val="center"/>
                </w:tcPr>
                <w:p w14:paraId="1B8123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57A33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25" w:hRule="atLeast"/>
                <w:jc w:val="center"/>
              </w:trPr>
              <w:tc>
                <w:tcPr>
                  <w:tcW w:w="551" w:type="dxa"/>
                  <w:vMerge w:val="continue"/>
                  <w:noWrap w:val="0"/>
                  <w:vAlign w:val="center"/>
                </w:tcPr>
                <w:p w14:paraId="2ACE61B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BC204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845C56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5.8.8堆砌地封场后的土地利用前应做出场地稳定化鉴定、土地利用论证，并经环境卫生、岩土、环保等部门鉴定。</w:t>
                  </w:r>
                </w:p>
              </w:tc>
              <w:tc>
                <w:tcPr>
                  <w:tcW w:w="3746" w:type="dxa"/>
                  <w:noWrap w:val="0"/>
                  <w:vAlign w:val="center"/>
                </w:tcPr>
                <w:p w14:paraId="44F51D3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地封场后的土地利用做出场地稳定化鉴定、土地利用论证，并经环境卫生、岩土、环保等部门鉴定</w:t>
                  </w:r>
                  <w:r>
                    <w:rPr>
                      <w:rFonts w:hint="eastAsia"/>
                      <w:color w:val="auto"/>
                      <w:sz w:val="21"/>
                      <w:szCs w:val="21"/>
                      <w:highlight w:val="none"/>
                      <w:lang w:val="en-US" w:eastAsia="zh-CN"/>
                    </w:rPr>
                    <w:t>。</w:t>
                  </w:r>
                </w:p>
              </w:tc>
              <w:tc>
                <w:tcPr>
                  <w:tcW w:w="817" w:type="dxa"/>
                  <w:noWrap w:val="0"/>
                  <w:vAlign w:val="center"/>
                </w:tcPr>
                <w:p w14:paraId="4E32070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B906D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817" w:hRule="atLeast"/>
                <w:jc w:val="center"/>
              </w:trPr>
              <w:tc>
                <w:tcPr>
                  <w:tcW w:w="551" w:type="dxa"/>
                  <w:vMerge w:val="continue"/>
                  <w:noWrap w:val="0"/>
                  <w:vAlign w:val="center"/>
                </w:tcPr>
                <w:p w14:paraId="49439F8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C9BFA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6F388F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5.9堆砌堆体稳定性</w:t>
                  </w:r>
                </w:p>
                <w:p w14:paraId="174FCCD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5.9.1堆砌堆体的稳定性应考虑封场覆盖、堆体边坡及堆体沉降的稳定。</w:t>
                  </w:r>
                </w:p>
              </w:tc>
              <w:tc>
                <w:tcPr>
                  <w:tcW w:w="3746" w:type="dxa"/>
                  <w:noWrap w:val="0"/>
                  <w:vAlign w:val="center"/>
                </w:tcPr>
                <w:p w14:paraId="417562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堆体的稳定性考虑封场覆盖、堆体边坡及堆体沉降的稳定</w:t>
                  </w:r>
                  <w:r>
                    <w:rPr>
                      <w:rFonts w:hint="eastAsia"/>
                      <w:color w:val="auto"/>
                      <w:sz w:val="21"/>
                      <w:szCs w:val="21"/>
                      <w:highlight w:val="none"/>
                      <w:lang w:val="en-US" w:eastAsia="zh-CN"/>
                    </w:rPr>
                    <w:t>。</w:t>
                  </w:r>
                </w:p>
              </w:tc>
              <w:tc>
                <w:tcPr>
                  <w:tcW w:w="817" w:type="dxa"/>
                  <w:noWrap w:val="0"/>
                  <w:vAlign w:val="center"/>
                </w:tcPr>
                <w:p w14:paraId="652379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E756A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202CEF2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096FF4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8DA35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5.9.2封场覆盖应进行滑动稳定性分析，确保封场覆盖层的安全稳定。</w:t>
                  </w:r>
                </w:p>
              </w:tc>
              <w:tc>
                <w:tcPr>
                  <w:tcW w:w="3746" w:type="dxa"/>
                  <w:noWrap w:val="0"/>
                  <w:vAlign w:val="center"/>
                </w:tcPr>
                <w:p w14:paraId="59C7AED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封场覆盖进行滑动稳定性分析，确保封场覆盖层的安全稳定。</w:t>
                  </w:r>
                </w:p>
              </w:tc>
              <w:tc>
                <w:tcPr>
                  <w:tcW w:w="817" w:type="dxa"/>
                  <w:noWrap w:val="0"/>
                  <w:vAlign w:val="center"/>
                </w:tcPr>
                <w:p w14:paraId="2F5057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30ED8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14" w:hRule="atLeast"/>
                <w:jc w:val="center"/>
              </w:trPr>
              <w:tc>
                <w:tcPr>
                  <w:tcW w:w="551" w:type="dxa"/>
                  <w:vMerge w:val="continue"/>
                  <w:noWrap w:val="0"/>
                  <w:vAlign w:val="center"/>
                </w:tcPr>
                <w:p w14:paraId="72CCA08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E3E93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4B994D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5.9.3堆砌堆体边坡的稳定性计算宜按照现行国家标准《建筑边坡工程技术规范》GB50330中土坡计算方法的有关规定执行。</w:t>
                  </w:r>
                </w:p>
              </w:tc>
              <w:tc>
                <w:tcPr>
                  <w:tcW w:w="3746" w:type="dxa"/>
                  <w:noWrap w:val="0"/>
                  <w:vAlign w:val="center"/>
                </w:tcPr>
                <w:p w14:paraId="1C5E8C3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堆体边坡的稳定性计算按照现行国家标准《建筑边坡工程技术规范》GB50330中土坡计算方法的有关规定执行。</w:t>
                  </w:r>
                </w:p>
              </w:tc>
              <w:tc>
                <w:tcPr>
                  <w:tcW w:w="817" w:type="dxa"/>
                  <w:noWrap w:val="0"/>
                  <w:vAlign w:val="center"/>
                </w:tcPr>
                <w:p w14:paraId="63768B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2DEC0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07" w:hRule="atLeast"/>
                <w:jc w:val="center"/>
              </w:trPr>
              <w:tc>
                <w:tcPr>
                  <w:tcW w:w="551" w:type="dxa"/>
                  <w:vMerge w:val="continue"/>
                  <w:noWrap w:val="0"/>
                  <w:vAlign w:val="center"/>
                </w:tcPr>
                <w:p w14:paraId="6D103DE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01B846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333319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5.9.4堆体沉降稳定宜根据沉降速率与封场年限来判断。</w:t>
                  </w:r>
                </w:p>
              </w:tc>
              <w:tc>
                <w:tcPr>
                  <w:tcW w:w="3746" w:type="dxa"/>
                  <w:noWrap w:val="0"/>
                  <w:vAlign w:val="center"/>
                </w:tcPr>
                <w:p w14:paraId="20B7038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堆体沉降稳定根据沉降速率与封场年限来判断。</w:t>
                  </w:r>
                </w:p>
              </w:tc>
              <w:tc>
                <w:tcPr>
                  <w:tcW w:w="817" w:type="dxa"/>
                  <w:noWrap w:val="0"/>
                  <w:vAlign w:val="center"/>
                </w:tcPr>
                <w:p w14:paraId="065982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3241F0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324" w:hRule="atLeast"/>
                <w:jc w:val="center"/>
              </w:trPr>
              <w:tc>
                <w:tcPr>
                  <w:tcW w:w="551" w:type="dxa"/>
                  <w:vMerge w:val="continue"/>
                  <w:noWrap w:val="0"/>
                  <w:vAlign w:val="center"/>
                </w:tcPr>
                <w:p w14:paraId="14C6A7C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6E51E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78649E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5.9.5堆砌地运行期间宜设置堆体变形监测设备设施，对堆砌堆体典型断面的沉降、水平移动情况进行监测，根据监测结果对滑移等危险征兆采取应急控制措施。堆体变形监测宜按照现行行业标准《生活垃圾卫生填埋场岩土工程技术规范》CJJ 176中有关规定执行。</w:t>
                  </w:r>
                </w:p>
              </w:tc>
              <w:tc>
                <w:tcPr>
                  <w:tcW w:w="3746" w:type="dxa"/>
                  <w:noWrap w:val="0"/>
                  <w:vAlign w:val="center"/>
                </w:tcPr>
                <w:p w14:paraId="606A8BE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地运行期间设置堆体变形监测设备设施，对</w:t>
                  </w:r>
                  <w:r>
                    <w:rPr>
                      <w:rFonts w:hint="eastAsia"/>
                      <w:color w:val="auto"/>
                      <w:sz w:val="21"/>
                      <w:szCs w:val="21"/>
                      <w:highlight w:val="none"/>
                      <w:lang w:val="en-US" w:eastAsia="zh-CN"/>
                    </w:rPr>
                    <w:t>堆填（砌）</w:t>
                  </w:r>
                  <w:r>
                    <w:rPr>
                      <w:rFonts w:hint="default"/>
                      <w:color w:val="auto"/>
                      <w:sz w:val="21"/>
                      <w:szCs w:val="21"/>
                      <w:highlight w:val="none"/>
                      <w:lang w:val="en-US" w:eastAsia="zh-CN"/>
                    </w:rPr>
                    <w:t>堆体典型断面的沉降、水平移动情况进行监测，根据监测结果对滑移等危险征兆采取应急控制措施。堆体变形监测按照现行行业标准《生活垃圾卫生填埋场岩土工程技术规范》CJJ 176中有关规定执行。</w:t>
                  </w:r>
                </w:p>
              </w:tc>
              <w:tc>
                <w:tcPr>
                  <w:tcW w:w="817" w:type="dxa"/>
                  <w:noWrap w:val="0"/>
                  <w:vAlign w:val="center"/>
                </w:tcPr>
                <w:p w14:paraId="22F384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92978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90" w:hRule="atLeast"/>
                <w:jc w:val="center"/>
              </w:trPr>
              <w:tc>
                <w:tcPr>
                  <w:tcW w:w="551" w:type="dxa"/>
                  <w:vMerge w:val="continue"/>
                  <w:noWrap w:val="0"/>
                  <w:vAlign w:val="center"/>
                </w:tcPr>
                <w:p w14:paraId="3F39B9D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99A8D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7DC6D1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5.10堆砌作业与管理</w:t>
                  </w:r>
                </w:p>
                <w:p w14:paraId="58FC606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5.10.1堆砌地作业人员应经过技术培训和安全教育，应熟悉堆砌</w:t>
                  </w:r>
                  <w:r>
                    <w:rPr>
                      <w:rFonts w:hint="eastAsia"/>
                      <w:color w:val="auto"/>
                      <w:sz w:val="21"/>
                      <w:szCs w:val="21"/>
                      <w:highlight w:val="none"/>
                      <w:lang w:val="en-US" w:eastAsia="zh-CN"/>
                    </w:rPr>
                    <w:t>作</w:t>
                  </w:r>
                  <w:r>
                    <w:rPr>
                      <w:rFonts w:hint="default"/>
                      <w:color w:val="auto"/>
                      <w:sz w:val="21"/>
                      <w:szCs w:val="21"/>
                      <w:highlight w:val="none"/>
                      <w:lang w:val="en-US" w:eastAsia="zh-CN"/>
                    </w:rPr>
                    <w:t>业要求及安全知识。运行管理人员应熟悉堆砌作业工艺、技术指标的安全管理。</w:t>
                  </w:r>
                </w:p>
              </w:tc>
              <w:tc>
                <w:tcPr>
                  <w:tcW w:w="3746" w:type="dxa"/>
                  <w:noWrap w:val="0"/>
                  <w:vAlign w:val="center"/>
                </w:tcPr>
                <w:p w14:paraId="79DCAA3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地作业人员</w:t>
                  </w:r>
                  <w:r>
                    <w:rPr>
                      <w:rFonts w:hint="eastAsia"/>
                      <w:color w:val="auto"/>
                      <w:sz w:val="21"/>
                      <w:szCs w:val="21"/>
                      <w:highlight w:val="none"/>
                      <w:lang w:val="en-US" w:eastAsia="zh-CN"/>
                    </w:rPr>
                    <w:t>进行</w:t>
                  </w:r>
                  <w:r>
                    <w:rPr>
                      <w:rFonts w:hint="default"/>
                      <w:color w:val="auto"/>
                      <w:sz w:val="21"/>
                      <w:szCs w:val="21"/>
                      <w:highlight w:val="none"/>
                      <w:lang w:val="en-US" w:eastAsia="zh-CN"/>
                    </w:rPr>
                    <w:t>技术培训和安全教育，熟悉</w:t>
                  </w:r>
                  <w:r>
                    <w:rPr>
                      <w:rFonts w:hint="eastAsia"/>
                      <w:color w:val="auto"/>
                      <w:sz w:val="21"/>
                      <w:szCs w:val="21"/>
                      <w:highlight w:val="none"/>
                      <w:lang w:val="en-US" w:eastAsia="zh-CN"/>
                    </w:rPr>
                    <w:t>堆填（砌）作</w:t>
                  </w:r>
                  <w:r>
                    <w:rPr>
                      <w:rFonts w:hint="default"/>
                      <w:color w:val="auto"/>
                      <w:sz w:val="21"/>
                      <w:szCs w:val="21"/>
                      <w:highlight w:val="none"/>
                      <w:lang w:val="en-US" w:eastAsia="zh-CN"/>
                    </w:rPr>
                    <w:t>业要求及安全知识。运行管理人员熟悉堆砌作业工艺、技术指标的安全管理</w:t>
                  </w:r>
                  <w:r>
                    <w:rPr>
                      <w:rFonts w:hint="eastAsia"/>
                      <w:color w:val="auto"/>
                      <w:sz w:val="21"/>
                      <w:szCs w:val="21"/>
                      <w:highlight w:val="none"/>
                      <w:lang w:val="en-US" w:eastAsia="zh-CN"/>
                    </w:rPr>
                    <w:t>。</w:t>
                  </w:r>
                </w:p>
              </w:tc>
              <w:tc>
                <w:tcPr>
                  <w:tcW w:w="817" w:type="dxa"/>
                  <w:noWrap w:val="0"/>
                  <w:vAlign w:val="center"/>
                </w:tcPr>
                <w:p w14:paraId="1AFB13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F634E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87" w:hRule="atLeast"/>
                <w:jc w:val="center"/>
              </w:trPr>
              <w:tc>
                <w:tcPr>
                  <w:tcW w:w="551" w:type="dxa"/>
                  <w:vMerge w:val="continue"/>
                  <w:noWrap w:val="0"/>
                  <w:vAlign w:val="center"/>
                </w:tcPr>
                <w:p w14:paraId="27CFC87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ECF58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2A3CE2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5.10.2堆砌作业规程应完备，并应制定应急预案。</w:t>
                  </w:r>
                </w:p>
              </w:tc>
              <w:tc>
                <w:tcPr>
                  <w:tcW w:w="3746" w:type="dxa"/>
                  <w:noWrap w:val="0"/>
                  <w:vAlign w:val="center"/>
                </w:tcPr>
                <w:p w14:paraId="40464A0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作业规程完备，并制定应急预案</w:t>
                  </w:r>
                  <w:r>
                    <w:rPr>
                      <w:rFonts w:hint="eastAsia"/>
                      <w:color w:val="auto"/>
                      <w:sz w:val="21"/>
                      <w:szCs w:val="21"/>
                      <w:highlight w:val="none"/>
                      <w:lang w:val="en-US" w:eastAsia="zh-CN"/>
                    </w:rPr>
                    <w:t>。</w:t>
                  </w:r>
                </w:p>
              </w:tc>
              <w:tc>
                <w:tcPr>
                  <w:tcW w:w="817" w:type="dxa"/>
                  <w:noWrap w:val="0"/>
                  <w:vAlign w:val="center"/>
                </w:tcPr>
                <w:p w14:paraId="0EAA38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38713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31" w:hRule="atLeast"/>
                <w:jc w:val="center"/>
              </w:trPr>
              <w:tc>
                <w:tcPr>
                  <w:tcW w:w="551" w:type="dxa"/>
                  <w:vMerge w:val="continue"/>
                  <w:noWrap w:val="0"/>
                  <w:vAlign w:val="center"/>
                </w:tcPr>
                <w:p w14:paraId="35F0F7D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67D6A2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4DAFAC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5.10.3应制订分区分单元堆砌作业计划。</w:t>
                  </w:r>
                </w:p>
              </w:tc>
              <w:tc>
                <w:tcPr>
                  <w:tcW w:w="3746" w:type="dxa"/>
                  <w:noWrap w:val="0"/>
                  <w:vAlign w:val="center"/>
                </w:tcPr>
                <w:p w14:paraId="09FCCB1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制订分区分单元</w:t>
                  </w:r>
                  <w:r>
                    <w:rPr>
                      <w:rFonts w:hint="eastAsia"/>
                      <w:color w:val="auto"/>
                      <w:sz w:val="21"/>
                      <w:szCs w:val="21"/>
                      <w:highlight w:val="none"/>
                      <w:lang w:val="en-US" w:eastAsia="zh-CN"/>
                    </w:rPr>
                    <w:t>堆填（砌）</w:t>
                  </w:r>
                  <w:r>
                    <w:rPr>
                      <w:rFonts w:hint="default"/>
                      <w:color w:val="auto"/>
                      <w:sz w:val="21"/>
                      <w:szCs w:val="21"/>
                      <w:highlight w:val="none"/>
                      <w:lang w:val="en-US" w:eastAsia="zh-CN"/>
                    </w:rPr>
                    <w:t>作业计划</w:t>
                  </w:r>
                  <w:r>
                    <w:rPr>
                      <w:rFonts w:hint="eastAsia"/>
                      <w:color w:val="auto"/>
                      <w:sz w:val="21"/>
                      <w:szCs w:val="21"/>
                      <w:highlight w:val="none"/>
                      <w:lang w:val="en-US" w:eastAsia="zh-CN"/>
                    </w:rPr>
                    <w:t>。</w:t>
                  </w:r>
                </w:p>
              </w:tc>
              <w:tc>
                <w:tcPr>
                  <w:tcW w:w="817" w:type="dxa"/>
                  <w:noWrap w:val="0"/>
                  <w:vAlign w:val="center"/>
                </w:tcPr>
                <w:p w14:paraId="0839D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2AB1E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25" w:hRule="atLeast"/>
                <w:jc w:val="center"/>
              </w:trPr>
              <w:tc>
                <w:tcPr>
                  <w:tcW w:w="551" w:type="dxa"/>
                  <w:vMerge w:val="continue"/>
                  <w:noWrap w:val="0"/>
                  <w:vAlign w:val="center"/>
                </w:tcPr>
                <w:p w14:paraId="16C53F0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D93C4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69D0D7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5.10.4堆砌物进入堆砌地应进行检查和计量。垃圾运输车辆离开堆砌地前宜冲洗轮胎和底盘。</w:t>
                  </w:r>
                </w:p>
              </w:tc>
              <w:tc>
                <w:tcPr>
                  <w:tcW w:w="3746" w:type="dxa"/>
                  <w:noWrap w:val="0"/>
                  <w:vAlign w:val="center"/>
                </w:tcPr>
                <w:p w14:paraId="063D3DD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物进入</w:t>
                  </w:r>
                  <w:r>
                    <w:rPr>
                      <w:rFonts w:hint="eastAsia"/>
                      <w:color w:val="auto"/>
                      <w:sz w:val="21"/>
                      <w:szCs w:val="21"/>
                      <w:highlight w:val="none"/>
                      <w:lang w:val="en-US" w:eastAsia="zh-CN"/>
                    </w:rPr>
                    <w:t>堆填（砌）</w:t>
                  </w:r>
                  <w:r>
                    <w:rPr>
                      <w:rFonts w:hint="default"/>
                      <w:color w:val="auto"/>
                      <w:sz w:val="21"/>
                      <w:szCs w:val="21"/>
                      <w:highlight w:val="none"/>
                      <w:lang w:val="en-US" w:eastAsia="zh-CN"/>
                    </w:rPr>
                    <w:t>地进行检查和计量。垃圾运输车辆离开堆砌地前冲洗轮胎和底盘。</w:t>
                  </w:r>
                </w:p>
              </w:tc>
              <w:tc>
                <w:tcPr>
                  <w:tcW w:w="817" w:type="dxa"/>
                  <w:noWrap w:val="0"/>
                  <w:vAlign w:val="center"/>
                </w:tcPr>
                <w:p w14:paraId="1C3C3C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7BEAB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09" w:hRule="atLeast"/>
                <w:jc w:val="center"/>
              </w:trPr>
              <w:tc>
                <w:tcPr>
                  <w:tcW w:w="551" w:type="dxa"/>
                  <w:vMerge w:val="continue"/>
                  <w:noWrap w:val="0"/>
                  <w:vAlign w:val="center"/>
                </w:tcPr>
                <w:p w14:paraId="144BC03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3D192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D5BE9B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5.10.5装运机械作业前应检查各工作装置、行走机构、各部安全防护装置，确认齐全完好，方可启动工作。</w:t>
                  </w:r>
                </w:p>
              </w:tc>
              <w:tc>
                <w:tcPr>
                  <w:tcW w:w="3746" w:type="dxa"/>
                  <w:noWrap w:val="0"/>
                  <w:vAlign w:val="center"/>
                </w:tcPr>
                <w:p w14:paraId="392793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装运机械作业前检查各工作装置、行走机构、各部安全防护装置，确认齐全完好，方可启动工作。</w:t>
                  </w:r>
                </w:p>
              </w:tc>
              <w:tc>
                <w:tcPr>
                  <w:tcW w:w="817" w:type="dxa"/>
                  <w:noWrap w:val="0"/>
                  <w:vAlign w:val="center"/>
                </w:tcPr>
                <w:p w14:paraId="5CF567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75918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62" w:hRule="atLeast"/>
                <w:jc w:val="center"/>
              </w:trPr>
              <w:tc>
                <w:tcPr>
                  <w:tcW w:w="551" w:type="dxa"/>
                  <w:vMerge w:val="continue"/>
                  <w:noWrap w:val="0"/>
                  <w:vAlign w:val="center"/>
                </w:tcPr>
                <w:p w14:paraId="5BB8CFF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10E393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28CF623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5.10.6自卸汽车就位后应拉紧手制动器。自卸汽车卸料时，车厢上空和附近应无障碍物，严禁在斜坡侧向倾卸，不得距离基坑边缘过近卸料，防止车辆倾覆。自卸汽车卸料后，车厢必须及时复位，不得在倾斜情况下行驶，严禁车厢内载人。</w:t>
                  </w:r>
                </w:p>
              </w:tc>
              <w:tc>
                <w:tcPr>
                  <w:tcW w:w="3746" w:type="dxa"/>
                  <w:noWrap w:val="0"/>
                  <w:vAlign w:val="center"/>
                </w:tcPr>
                <w:p w14:paraId="6B2EEA1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自卸汽车就位后拉紧手制动器。自卸汽车卸料时，车厢上空和附近无障碍物，严禁在斜坡侧向倾卸，不得距离基坑边缘过近卸料，防止车辆倾覆。自卸汽车卸料后，车厢必须及时复位，不得在倾斜情况下行驶，严禁车厢内载人。</w:t>
                  </w:r>
                </w:p>
              </w:tc>
              <w:tc>
                <w:tcPr>
                  <w:tcW w:w="817" w:type="dxa"/>
                  <w:noWrap w:val="0"/>
                  <w:vAlign w:val="center"/>
                </w:tcPr>
                <w:p w14:paraId="16801A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D268B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4" w:hRule="atLeast"/>
                <w:jc w:val="center"/>
              </w:trPr>
              <w:tc>
                <w:tcPr>
                  <w:tcW w:w="551" w:type="dxa"/>
                  <w:vMerge w:val="continue"/>
                  <w:noWrap w:val="0"/>
                  <w:vAlign w:val="center"/>
                </w:tcPr>
                <w:p w14:paraId="2C169BB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8729E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B82753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5.10.7堆砌应采用单元、分层作业，堆砌单元作业工序应为卸车、分层摊铺、压实，达到规定高度后应进行覆盖、再压实。堆砌单元作业时应控制堆砌作业面面积。</w:t>
                  </w:r>
                </w:p>
              </w:tc>
              <w:tc>
                <w:tcPr>
                  <w:tcW w:w="3746" w:type="dxa"/>
                  <w:noWrap w:val="0"/>
                  <w:vAlign w:val="center"/>
                </w:tcPr>
                <w:p w14:paraId="3263C54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采用单元、分层作业，堆砌单元作业工序为卸车、分层摊铺、压实，达到规定高度后进行覆盖、再压实。</w:t>
                  </w:r>
                  <w:r>
                    <w:rPr>
                      <w:rFonts w:hint="eastAsia"/>
                      <w:color w:val="auto"/>
                      <w:sz w:val="21"/>
                      <w:szCs w:val="21"/>
                      <w:highlight w:val="none"/>
                      <w:lang w:val="en-US" w:eastAsia="zh-CN"/>
                    </w:rPr>
                    <w:t>堆填（砌）</w:t>
                  </w:r>
                  <w:r>
                    <w:rPr>
                      <w:rFonts w:hint="default"/>
                      <w:color w:val="auto"/>
                      <w:sz w:val="21"/>
                      <w:szCs w:val="21"/>
                      <w:highlight w:val="none"/>
                      <w:lang w:val="en-US" w:eastAsia="zh-CN"/>
                    </w:rPr>
                    <w:t>单元作业时控制堆砌作业面面积。</w:t>
                  </w:r>
                </w:p>
              </w:tc>
              <w:tc>
                <w:tcPr>
                  <w:tcW w:w="817" w:type="dxa"/>
                  <w:noWrap w:val="0"/>
                  <w:vAlign w:val="center"/>
                </w:tcPr>
                <w:p w14:paraId="38CDAB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D4DCD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44CC501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0F8977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5F8047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5.10.8每层垃圾摊铺厚度应根据堆砌作业设备的压实性能、压实次数确定，厚度不宜超过60cm，且宜从作业单元的边坡底部到顶部摊铺。</w:t>
                  </w:r>
                </w:p>
              </w:tc>
              <w:tc>
                <w:tcPr>
                  <w:tcW w:w="3746" w:type="dxa"/>
                  <w:noWrap w:val="0"/>
                  <w:vAlign w:val="center"/>
                </w:tcPr>
                <w:p w14:paraId="34CEE21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按要求进行堆填（砌）</w:t>
                  </w:r>
                  <w:r>
                    <w:rPr>
                      <w:rFonts w:hint="default"/>
                      <w:color w:val="auto"/>
                      <w:sz w:val="21"/>
                      <w:szCs w:val="21"/>
                      <w:highlight w:val="none"/>
                      <w:lang w:val="en-US" w:eastAsia="zh-CN"/>
                    </w:rPr>
                    <w:t>。</w:t>
                  </w:r>
                </w:p>
              </w:tc>
              <w:tc>
                <w:tcPr>
                  <w:tcW w:w="817" w:type="dxa"/>
                  <w:noWrap w:val="0"/>
                  <w:vAlign w:val="center"/>
                </w:tcPr>
                <w:p w14:paraId="12CD1D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1FBF2A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74" w:hRule="atLeast"/>
                <w:jc w:val="center"/>
              </w:trPr>
              <w:tc>
                <w:tcPr>
                  <w:tcW w:w="551" w:type="dxa"/>
                  <w:vMerge w:val="continue"/>
                  <w:noWrap w:val="0"/>
                  <w:vAlign w:val="center"/>
                </w:tcPr>
                <w:p w14:paraId="3DC6A72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EF5EA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125545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5.10.9每一单元的建筑垃圾高度宜为2m～4m，最高不应超过6m。单元作业宽度按堆砌作业设备的宽度及高峰期同时进行作业的车辆数确定，最小宽度不宜小于6m。单元的坡度不宜大于1:3。</w:t>
                  </w:r>
                </w:p>
              </w:tc>
              <w:tc>
                <w:tcPr>
                  <w:tcW w:w="3746" w:type="dxa"/>
                  <w:noWrap w:val="0"/>
                  <w:vAlign w:val="center"/>
                </w:tcPr>
                <w:p w14:paraId="35D6B47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按要求进行堆填（砌）</w:t>
                  </w:r>
                  <w:r>
                    <w:rPr>
                      <w:rFonts w:hint="default"/>
                      <w:color w:val="auto"/>
                      <w:sz w:val="21"/>
                      <w:szCs w:val="21"/>
                      <w:highlight w:val="none"/>
                      <w:lang w:val="en-US" w:eastAsia="zh-CN"/>
                    </w:rPr>
                    <w:t>。</w:t>
                  </w:r>
                </w:p>
              </w:tc>
              <w:tc>
                <w:tcPr>
                  <w:tcW w:w="817" w:type="dxa"/>
                  <w:noWrap w:val="0"/>
                  <w:vAlign w:val="center"/>
                </w:tcPr>
                <w:p w14:paraId="70C890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12BF2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05" w:hRule="atLeast"/>
                <w:jc w:val="center"/>
              </w:trPr>
              <w:tc>
                <w:tcPr>
                  <w:tcW w:w="551" w:type="dxa"/>
                  <w:vMerge w:val="continue"/>
                  <w:noWrap w:val="0"/>
                  <w:vAlign w:val="center"/>
                </w:tcPr>
                <w:p w14:paraId="23DE0B9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73DF8D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7D5BC86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5.10.10每一单元作业完成后，应进行覆盖。采用高密度聚乙烯土工膜（HDPE）或线型低密度聚乙烯膜（LLDPE）覆盖时，膜的厚度宜为0.5mm，采用土覆盖的厚度宜为20cm～30cm，采用喷涂覆盖的涂层干化后厚度宜为6mm～10mm。</w:t>
                  </w:r>
                </w:p>
              </w:tc>
              <w:tc>
                <w:tcPr>
                  <w:tcW w:w="3746" w:type="dxa"/>
                  <w:noWrap w:val="0"/>
                  <w:vAlign w:val="center"/>
                </w:tcPr>
                <w:p w14:paraId="02E4018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本项目单元作业完成后采用土覆盖，厚度不小于20cm。</w:t>
                  </w:r>
                </w:p>
              </w:tc>
              <w:tc>
                <w:tcPr>
                  <w:tcW w:w="817" w:type="dxa"/>
                  <w:noWrap w:val="0"/>
                  <w:vAlign w:val="center"/>
                </w:tcPr>
                <w:p w14:paraId="444583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2F29C7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423" w:hRule="atLeast"/>
                <w:jc w:val="center"/>
              </w:trPr>
              <w:tc>
                <w:tcPr>
                  <w:tcW w:w="551" w:type="dxa"/>
                  <w:vMerge w:val="continue"/>
                  <w:noWrap w:val="0"/>
                  <w:vAlign w:val="center"/>
                </w:tcPr>
                <w:p w14:paraId="5579071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04212C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596B08A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w:t>
                  </w:r>
                  <w:r>
                    <w:rPr>
                      <w:rFonts w:hint="eastAsia"/>
                      <w:color w:val="auto"/>
                      <w:sz w:val="21"/>
                      <w:szCs w:val="21"/>
                      <w:highlight w:val="none"/>
                      <w:lang w:val="en-US" w:eastAsia="zh-CN"/>
                    </w:rPr>
                    <w:t>1</w:t>
                  </w:r>
                  <w:r>
                    <w:rPr>
                      <w:rFonts w:hint="default"/>
                      <w:color w:val="auto"/>
                      <w:sz w:val="21"/>
                      <w:szCs w:val="21"/>
                      <w:highlight w:val="none"/>
                      <w:lang w:val="en-US" w:eastAsia="zh-CN"/>
                    </w:rPr>
                    <w:t>作业场所应采取抑尘措施。</w:t>
                  </w:r>
                </w:p>
              </w:tc>
              <w:tc>
                <w:tcPr>
                  <w:tcW w:w="3746" w:type="dxa"/>
                  <w:noWrap w:val="0"/>
                  <w:vAlign w:val="center"/>
                </w:tcPr>
                <w:p w14:paraId="60BA563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作业场所采取抑尘措施。</w:t>
                  </w:r>
                </w:p>
              </w:tc>
              <w:tc>
                <w:tcPr>
                  <w:tcW w:w="817" w:type="dxa"/>
                  <w:noWrap w:val="0"/>
                  <w:vAlign w:val="center"/>
                </w:tcPr>
                <w:p w14:paraId="05564F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77A08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011" w:hRule="atLeast"/>
                <w:jc w:val="center"/>
              </w:trPr>
              <w:tc>
                <w:tcPr>
                  <w:tcW w:w="551" w:type="dxa"/>
                  <w:vMerge w:val="continue"/>
                  <w:noWrap w:val="0"/>
                  <w:vAlign w:val="center"/>
                </w:tcPr>
                <w:p w14:paraId="697A4ED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4D8909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039905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5.10.12当每一作业区完成阶段性高度后，暂时不在其上继续进行堆砌时，应进行中间覆盖，覆盖层厚度应根据覆盖材料确定，黏土覆盖层厚度宜大于30cm，膜厚度不宜小于0.75mm。</w:t>
                  </w:r>
                </w:p>
              </w:tc>
              <w:tc>
                <w:tcPr>
                  <w:tcW w:w="3746" w:type="dxa"/>
                  <w:noWrap w:val="0"/>
                  <w:vAlign w:val="center"/>
                </w:tcPr>
                <w:p w14:paraId="4F51840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当每一作业区完成阶段性高度后，暂时不在其上继续进行堆砌时，进行中间覆盖，覆盖层厚度根据覆盖材料确定。</w:t>
                  </w:r>
                </w:p>
              </w:tc>
              <w:tc>
                <w:tcPr>
                  <w:tcW w:w="817" w:type="dxa"/>
                  <w:noWrap w:val="0"/>
                  <w:vAlign w:val="center"/>
                </w:tcPr>
                <w:p w14:paraId="2D5A2C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3EE77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08B1AC6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3C5C64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99D53F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5.10.13堆砌地场内设施、设备应定期检查维护，发现异常应及时修复。</w:t>
                  </w:r>
                </w:p>
              </w:tc>
              <w:tc>
                <w:tcPr>
                  <w:tcW w:w="3746" w:type="dxa"/>
                  <w:noWrap w:val="0"/>
                  <w:vAlign w:val="center"/>
                </w:tcPr>
                <w:p w14:paraId="1A0CF08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堆填（砌）</w:t>
                  </w:r>
                  <w:r>
                    <w:rPr>
                      <w:rFonts w:hint="default"/>
                      <w:color w:val="auto"/>
                      <w:sz w:val="21"/>
                      <w:szCs w:val="21"/>
                      <w:highlight w:val="none"/>
                      <w:lang w:val="en-US" w:eastAsia="zh-CN"/>
                    </w:rPr>
                    <w:t>地场内设施、设备定期检查维护，发现异常应及时修复。</w:t>
                  </w:r>
                </w:p>
              </w:tc>
              <w:tc>
                <w:tcPr>
                  <w:tcW w:w="817" w:type="dxa"/>
                  <w:noWrap w:val="0"/>
                  <w:vAlign w:val="center"/>
                </w:tcPr>
                <w:p w14:paraId="08B9C8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B5DDB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7C76B70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25A352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11ABD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5.10.14堆砌地管理应落实以下内容：</w:t>
                  </w:r>
                </w:p>
                <w:p w14:paraId="4B900C0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 有基础砌筑、有限高要求、有围墙、有标识、有监控、有人管、有制度、有防污措施、有修复方案。</w:t>
                  </w:r>
                </w:p>
                <w:p w14:paraId="5E7AC3F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 出入道路要硬化、监控冲洗要到位、喷淋保洁要保障、作业现场要覆盖、降噪措施要完备、分类处置要规范、安全稳定性要检测、安全责任要落实。</w:t>
                  </w:r>
                </w:p>
                <w:p w14:paraId="4D648D9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 落实各项安全加固措施，做好地基设计，定期对堆体稳定性进行检测，防止出现塌陷和滑坡事故。</w:t>
                  </w:r>
                </w:p>
              </w:tc>
              <w:tc>
                <w:tcPr>
                  <w:tcW w:w="3746" w:type="dxa"/>
                  <w:noWrap w:val="0"/>
                  <w:vAlign w:val="center"/>
                </w:tcPr>
                <w:p w14:paraId="02005A6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按要求管理。</w:t>
                  </w:r>
                </w:p>
              </w:tc>
              <w:tc>
                <w:tcPr>
                  <w:tcW w:w="817" w:type="dxa"/>
                  <w:noWrap w:val="0"/>
                  <w:vAlign w:val="center"/>
                </w:tcPr>
                <w:p w14:paraId="75A433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684A87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0" w:hRule="atLeast"/>
                <w:jc w:val="center"/>
              </w:trPr>
              <w:tc>
                <w:tcPr>
                  <w:tcW w:w="551" w:type="dxa"/>
                  <w:vMerge w:val="continue"/>
                  <w:noWrap w:val="0"/>
                  <w:vAlign w:val="center"/>
                </w:tcPr>
                <w:p w14:paraId="738B949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FF790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19F7C00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5.10.15堆砌地作业过程的安全卫生管理应符合现行国家标准《生产过程安全卫生要求总则》GB/T12801的有关规定。</w:t>
                  </w:r>
                </w:p>
              </w:tc>
              <w:tc>
                <w:tcPr>
                  <w:tcW w:w="3746" w:type="dxa"/>
                  <w:noWrap w:val="0"/>
                  <w:vAlign w:val="center"/>
                </w:tcPr>
                <w:p w14:paraId="365571F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w:t>
                  </w:r>
                  <w:r>
                    <w:rPr>
                      <w:rFonts w:hint="default"/>
                      <w:color w:val="auto"/>
                      <w:sz w:val="21"/>
                      <w:szCs w:val="21"/>
                      <w:highlight w:val="none"/>
                      <w:lang w:val="en-US" w:eastAsia="zh-CN"/>
                    </w:rPr>
                    <w:t>安全卫生管理</w:t>
                  </w:r>
                  <w:r>
                    <w:rPr>
                      <w:rFonts w:hint="eastAsia"/>
                      <w:color w:val="auto"/>
                      <w:sz w:val="21"/>
                      <w:szCs w:val="21"/>
                      <w:highlight w:val="none"/>
                      <w:lang w:val="en-US" w:eastAsia="zh-CN"/>
                    </w:rPr>
                    <w:t>。</w:t>
                  </w:r>
                </w:p>
              </w:tc>
              <w:tc>
                <w:tcPr>
                  <w:tcW w:w="817" w:type="dxa"/>
                  <w:noWrap w:val="0"/>
                  <w:vAlign w:val="center"/>
                </w:tcPr>
                <w:p w14:paraId="27B8A9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70FC9F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9" w:hRule="atLeast"/>
                <w:jc w:val="center"/>
              </w:trPr>
              <w:tc>
                <w:tcPr>
                  <w:tcW w:w="551" w:type="dxa"/>
                  <w:vMerge w:val="continue"/>
                  <w:noWrap w:val="0"/>
                  <w:vAlign w:val="center"/>
                </w:tcPr>
                <w:p w14:paraId="664A2C9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348FA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04DCCC4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5.10.16堆砌地应按建设、运行、封场、跟踪监测、场地再利用等阶段进行管理。</w:t>
                  </w:r>
                </w:p>
              </w:tc>
              <w:tc>
                <w:tcPr>
                  <w:tcW w:w="3746" w:type="dxa"/>
                  <w:noWrap w:val="0"/>
                  <w:vAlign w:val="center"/>
                </w:tcPr>
                <w:p w14:paraId="6D2EE50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按要求进行</w:t>
                  </w:r>
                  <w:r>
                    <w:rPr>
                      <w:rFonts w:hint="default"/>
                      <w:color w:val="auto"/>
                      <w:sz w:val="21"/>
                      <w:szCs w:val="21"/>
                      <w:highlight w:val="none"/>
                      <w:lang w:val="en-US" w:eastAsia="zh-CN"/>
                    </w:rPr>
                    <w:t>管理</w:t>
                  </w:r>
                  <w:r>
                    <w:rPr>
                      <w:rFonts w:hint="eastAsia"/>
                      <w:color w:val="auto"/>
                      <w:sz w:val="21"/>
                      <w:szCs w:val="21"/>
                      <w:highlight w:val="none"/>
                      <w:lang w:val="en-US" w:eastAsia="zh-CN"/>
                    </w:rPr>
                    <w:t>。</w:t>
                  </w:r>
                </w:p>
              </w:tc>
              <w:tc>
                <w:tcPr>
                  <w:tcW w:w="817" w:type="dxa"/>
                  <w:noWrap w:val="0"/>
                  <w:vAlign w:val="center"/>
                </w:tcPr>
                <w:p w14:paraId="0D3D4F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8F833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72" w:hRule="atLeast"/>
                <w:jc w:val="center"/>
              </w:trPr>
              <w:tc>
                <w:tcPr>
                  <w:tcW w:w="551" w:type="dxa"/>
                  <w:vMerge w:val="continue"/>
                  <w:noWrap w:val="0"/>
                  <w:vAlign w:val="center"/>
                </w:tcPr>
                <w:p w14:paraId="14A1118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74D28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340723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5.10.17堆砌地建设的有关文件资料，应按国家有关规定进行整理与保管。</w:t>
                  </w:r>
                </w:p>
              </w:tc>
              <w:tc>
                <w:tcPr>
                  <w:tcW w:w="3746" w:type="dxa"/>
                  <w:noWrap w:val="0"/>
                  <w:vAlign w:val="center"/>
                </w:tcPr>
                <w:p w14:paraId="3235AA0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w:t>
                  </w:r>
                  <w:r>
                    <w:rPr>
                      <w:rFonts w:hint="default"/>
                      <w:color w:val="auto"/>
                      <w:sz w:val="21"/>
                      <w:szCs w:val="21"/>
                      <w:highlight w:val="none"/>
                      <w:lang w:val="en-US" w:eastAsia="zh-CN"/>
                    </w:rPr>
                    <w:t>整理与保管有关文件资料</w:t>
                  </w:r>
                  <w:r>
                    <w:rPr>
                      <w:rFonts w:hint="eastAsia"/>
                      <w:color w:val="auto"/>
                      <w:sz w:val="21"/>
                      <w:szCs w:val="21"/>
                      <w:highlight w:val="none"/>
                      <w:lang w:val="en-US" w:eastAsia="zh-CN"/>
                    </w:rPr>
                    <w:t>。</w:t>
                  </w:r>
                </w:p>
              </w:tc>
              <w:tc>
                <w:tcPr>
                  <w:tcW w:w="817" w:type="dxa"/>
                  <w:noWrap w:val="0"/>
                  <w:vAlign w:val="center"/>
                </w:tcPr>
                <w:p w14:paraId="7DAB42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4ACCA7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299" w:hRule="atLeast"/>
                <w:jc w:val="center"/>
              </w:trPr>
              <w:tc>
                <w:tcPr>
                  <w:tcW w:w="551" w:type="dxa"/>
                  <w:vMerge w:val="continue"/>
                  <w:noWrap w:val="0"/>
                  <w:vAlign w:val="center"/>
                </w:tcPr>
                <w:p w14:paraId="698C9A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continue"/>
                  <w:noWrap w:val="0"/>
                  <w:vAlign w:val="center"/>
                </w:tcPr>
                <w:p w14:paraId="583049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p>
              </w:tc>
              <w:tc>
                <w:tcPr>
                  <w:tcW w:w="6831" w:type="dxa"/>
                  <w:noWrap w:val="0"/>
                  <w:vAlign w:val="center"/>
                </w:tcPr>
                <w:p w14:paraId="60B3A32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5.10.18 堆砌地日常运行管理中应记录进场垃圾运输车号、车辆数量、建筑垃圾量、材料消耗等，记录积累的技术资料应完整，统一归档保管。堆砌作业管理宜采用计算机网络管理。堆砌地的计量应达到国家三级计量认证。</w:t>
                  </w:r>
                </w:p>
              </w:tc>
              <w:tc>
                <w:tcPr>
                  <w:tcW w:w="3746" w:type="dxa"/>
                  <w:noWrap w:val="0"/>
                  <w:vAlign w:val="center"/>
                </w:tcPr>
                <w:p w14:paraId="5DB4BF7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eastAsia"/>
                      <w:color w:val="auto"/>
                      <w:sz w:val="21"/>
                      <w:szCs w:val="21"/>
                      <w:highlight w:val="none"/>
                      <w:lang w:val="en-US" w:eastAsia="zh-CN"/>
                    </w:rPr>
                    <w:t>按要求</w:t>
                  </w:r>
                  <w:r>
                    <w:rPr>
                      <w:rFonts w:hint="default"/>
                      <w:color w:val="auto"/>
                      <w:sz w:val="21"/>
                      <w:szCs w:val="21"/>
                      <w:highlight w:val="none"/>
                      <w:lang w:val="en-US" w:eastAsia="zh-CN"/>
                    </w:rPr>
                    <w:t>记录进场垃圾运输车号、车辆数量、建筑垃圾量、材料消耗等</w:t>
                  </w:r>
                  <w:r>
                    <w:rPr>
                      <w:rFonts w:hint="eastAsia"/>
                      <w:color w:val="auto"/>
                      <w:sz w:val="21"/>
                      <w:szCs w:val="21"/>
                      <w:highlight w:val="none"/>
                      <w:lang w:val="en-US" w:eastAsia="zh-CN"/>
                    </w:rPr>
                    <w:t>，并保管。</w:t>
                  </w:r>
                </w:p>
              </w:tc>
              <w:tc>
                <w:tcPr>
                  <w:tcW w:w="817" w:type="dxa"/>
                  <w:noWrap w:val="0"/>
                  <w:vAlign w:val="center"/>
                </w:tcPr>
                <w:p w14:paraId="5987BB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0B4F99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970" w:hRule="atLeast"/>
                <w:jc w:val="center"/>
              </w:trPr>
              <w:tc>
                <w:tcPr>
                  <w:tcW w:w="551" w:type="dxa"/>
                  <w:vMerge w:val="restart"/>
                  <w:noWrap w:val="0"/>
                  <w:vAlign w:val="center"/>
                </w:tcPr>
                <w:p w14:paraId="10A4E121">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leftChars="0" w:firstLine="0" w:firstLineChars="0"/>
                    <w:jc w:val="center"/>
                    <w:textAlignment w:val="center"/>
                    <w:rPr>
                      <w:rFonts w:eastAsia="宋体"/>
                      <w:color w:val="auto"/>
                      <w:sz w:val="21"/>
                      <w:szCs w:val="21"/>
                      <w:highlight w:val="none"/>
                    </w:rPr>
                  </w:pPr>
                </w:p>
              </w:tc>
              <w:tc>
                <w:tcPr>
                  <w:tcW w:w="1264" w:type="dxa"/>
                  <w:vMerge w:val="restart"/>
                  <w:noWrap w:val="0"/>
                  <w:vAlign w:val="center"/>
                </w:tcPr>
                <w:p w14:paraId="370B46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6.环境保护与安全卫生</w:t>
                  </w:r>
                </w:p>
              </w:tc>
              <w:tc>
                <w:tcPr>
                  <w:tcW w:w="6831" w:type="dxa"/>
                  <w:noWrap w:val="0"/>
                  <w:vAlign w:val="center"/>
                </w:tcPr>
                <w:p w14:paraId="447EF4C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6.1环境保护</w:t>
                  </w:r>
                </w:p>
                <w:p w14:paraId="3BD9EFC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6.1.1建筑垃圾处理全过程噪声控制应符合下列规定：</w:t>
                  </w:r>
                </w:p>
                <w:p w14:paraId="5E0C8C7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建筑垃圾堆砌地作业车辆应选取低噪声车辆，车辆在车厢开启、关闭、卸料时产生的噪声不应超过82dB（A）；</w:t>
                  </w:r>
                </w:p>
                <w:p w14:paraId="26D3A50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场界噪声应符合现行国家标准《工业企业厂界环境噪声排放标准》GB12348的规定。</w:t>
                  </w:r>
                </w:p>
              </w:tc>
              <w:tc>
                <w:tcPr>
                  <w:tcW w:w="3746" w:type="dxa"/>
                  <w:noWrap w:val="0"/>
                  <w:vAlign w:val="center"/>
                </w:tcPr>
                <w:p w14:paraId="4F3C37F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作业车辆选取低噪声车辆，车辆在车厢开启、关闭、卸料时产生的噪声不超过82dB（A）；</w:t>
                  </w:r>
                </w:p>
                <w:p w14:paraId="25EFD98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场界噪声符合现行国家标准《工业企业厂界环境噪声排放标准》GB12348的规定。</w:t>
                  </w:r>
                </w:p>
              </w:tc>
              <w:tc>
                <w:tcPr>
                  <w:tcW w:w="817" w:type="dxa"/>
                  <w:noWrap w:val="0"/>
                  <w:vAlign w:val="center"/>
                </w:tcPr>
                <w:p w14:paraId="64715B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eastAsia"/>
                      <w:color w:val="auto"/>
                      <w:sz w:val="21"/>
                      <w:szCs w:val="21"/>
                      <w:highlight w:val="none"/>
                      <w:lang w:val="en-US" w:eastAsia="zh-CN"/>
                    </w:rPr>
                  </w:pPr>
                  <w:r>
                    <w:rPr>
                      <w:rFonts w:hint="eastAsia"/>
                      <w:color w:val="auto"/>
                      <w:sz w:val="21"/>
                      <w:szCs w:val="21"/>
                      <w:highlight w:val="none"/>
                      <w:lang w:val="en-US" w:eastAsia="zh-CN"/>
                    </w:rPr>
                    <w:t>符合</w:t>
                  </w:r>
                </w:p>
              </w:tc>
            </w:tr>
            <w:tr w14:paraId="5A4370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2574" w:hRule="atLeast"/>
                <w:jc w:val="center"/>
              </w:trPr>
              <w:tc>
                <w:tcPr>
                  <w:tcW w:w="551" w:type="dxa"/>
                  <w:vMerge w:val="continue"/>
                  <w:noWrap w:val="0"/>
                  <w:vAlign w:val="center"/>
                </w:tcPr>
                <w:p w14:paraId="1C5886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15286C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831" w:type="dxa"/>
                  <w:noWrap w:val="0"/>
                  <w:vAlign w:val="center"/>
                </w:tcPr>
                <w:p w14:paraId="60ECA8B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6.1.2建筑垃圾堆砌地的环境影响评价及环境污染防治应符合下列规定：</w:t>
                  </w:r>
                </w:p>
                <w:p w14:paraId="02D9286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w:t>
                  </w:r>
                  <w:r>
                    <w:rPr>
                      <w:rFonts w:hint="default"/>
                      <w:color w:val="auto"/>
                      <w:sz w:val="21"/>
                      <w:szCs w:val="21"/>
                      <w:highlight w:val="none"/>
                      <w:lang w:val="en-US" w:eastAsia="zh-CN"/>
                    </w:rPr>
                    <w:t>应对建设项目的环境影响作出评价；</w:t>
                  </w:r>
                </w:p>
                <w:p w14:paraId="49F0043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建设项目的环境污染防治设施，应与主体工程同时设计、同时施工、同时投产使用；</w:t>
                  </w:r>
                </w:p>
                <w:p w14:paraId="3B1D349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建筑垃圾处理作业过程中产生的各种污染物的防治与排放，应贯彻执行国家现行的环境保护法规和有关标准的规定。</w:t>
                  </w:r>
                </w:p>
              </w:tc>
              <w:tc>
                <w:tcPr>
                  <w:tcW w:w="3746" w:type="dxa"/>
                  <w:noWrap w:val="0"/>
                  <w:vAlign w:val="center"/>
                </w:tcPr>
                <w:p w14:paraId="7E523AB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1</w:t>
                  </w:r>
                  <w:r>
                    <w:rPr>
                      <w:rFonts w:hint="eastAsia"/>
                      <w:color w:val="auto"/>
                      <w:sz w:val="21"/>
                      <w:szCs w:val="21"/>
                      <w:highlight w:val="none"/>
                      <w:lang w:val="en-US" w:eastAsia="zh-CN"/>
                    </w:rPr>
                    <w:t>.按要求对</w:t>
                  </w:r>
                  <w:r>
                    <w:rPr>
                      <w:rFonts w:hint="default"/>
                      <w:color w:val="auto"/>
                      <w:sz w:val="21"/>
                      <w:szCs w:val="21"/>
                      <w:highlight w:val="none"/>
                      <w:lang w:val="en-US" w:eastAsia="zh-CN"/>
                    </w:rPr>
                    <w:t>建设项目的环境影响作出评价；</w:t>
                  </w:r>
                </w:p>
                <w:p w14:paraId="2BC4F40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2</w:t>
                  </w:r>
                  <w:r>
                    <w:rPr>
                      <w:rFonts w:hint="eastAsia"/>
                      <w:color w:val="auto"/>
                      <w:sz w:val="21"/>
                      <w:szCs w:val="21"/>
                      <w:highlight w:val="none"/>
                      <w:lang w:val="en-US" w:eastAsia="zh-CN"/>
                    </w:rPr>
                    <w:t>.</w:t>
                  </w:r>
                  <w:r>
                    <w:rPr>
                      <w:rFonts w:hint="default"/>
                      <w:color w:val="auto"/>
                      <w:sz w:val="21"/>
                      <w:szCs w:val="21"/>
                      <w:highlight w:val="none"/>
                      <w:lang w:val="en-US" w:eastAsia="zh-CN"/>
                    </w:rPr>
                    <w:t>建设项目的环境污染防治设施，与主体工程同时设计、同时施工、同时投产使用；</w:t>
                  </w:r>
                </w:p>
                <w:p w14:paraId="4D0B3965">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3</w:t>
                  </w:r>
                  <w:r>
                    <w:rPr>
                      <w:rFonts w:hint="eastAsia"/>
                      <w:color w:val="auto"/>
                      <w:sz w:val="21"/>
                      <w:szCs w:val="21"/>
                      <w:highlight w:val="none"/>
                      <w:lang w:val="en-US" w:eastAsia="zh-CN"/>
                    </w:rPr>
                    <w:t>.</w:t>
                  </w:r>
                  <w:r>
                    <w:rPr>
                      <w:rFonts w:hint="default"/>
                      <w:color w:val="auto"/>
                      <w:sz w:val="21"/>
                      <w:szCs w:val="21"/>
                      <w:highlight w:val="none"/>
                      <w:lang w:val="en-US" w:eastAsia="zh-CN"/>
                    </w:rPr>
                    <w:t>建筑垃圾处理作业过程中产生的各种污染物的防治与排放，贯彻执行国家现行的环境保护法规和有关标准的规定。</w:t>
                  </w:r>
                </w:p>
              </w:tc>
              <w:tc>
                <w:tcPr>
                  <w:tcW w:w="817" w:type="dxa"/>
                  <w:noWrap w:val="0"/>
                  <w:vAlign w:val="center"/>
                </w:tcPr>
                <w:p w14:paraId="6861C0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2698E4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0" w:hRule="atLeast"/>
                <w:jc w:val="center"/>
              </w:trPr>
              <w:tc>
                <w:tcPr>
                  <w:tcW w:w="551" w:type="dxa"/>
                  <w:vMerge w:val="continue"/>
                  <w:noWrap w:val="0"/>
                  <w:vAlign w:val="center"/>
                </w:tcPr>
                <w:p w14:paraId="57E42C2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1264" w:type="dxa"/>
                  <w:vMerge w:val="continue"/>
                  <w:noWrap w:val="0"/>
                  <w:vAlign w:val="center"/>
                </w:tcPr>
                <w:p w14:paraId="226488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6831" w:type="dxa"/>
                  <w:noWrap w:val="0"/>
                  <w:vAlign w:val="center"/>
                </w:tcPr>
                <w:p w14:paraId="2EC1216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6.2安全卫生</w:t>
                  </w:r>
                </w:p>
                <w:p w14:paraId="1D88632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6.2.1应对建筑垃圾堆砌地作业人员进行劳动安全卫生保护专业培训。</w:t>
                  </w:r>
                </w:p>
              </w:tc>
              <w:tc>
                <w:tcPr>
                  <w:tcW w:w="3746" w:type="dxa"/>
                  <w:noWrap w:val="0"/>
                  <w:vAlign w:val="center"/>
                </w:tcPr>
                <w:p w14:paraId="77EDB2D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对建筑垃圾</w:t>
                  </w:r>
                  <w:r>
                    <w:rPr>
                      <w:rFonts w:hint="eastAsia"/>
                      <w:color w:val="auto"/>
                      <w:sz w:val="21"/>
                      <w:szCs w:val="21"/>
                      <w:highlight w:val="none"/>
                      <w:lang w:val="en-US" w:eastAsia="zh-CN"/>
                    </w:rPr>
                    <w:t>堆填（砌）</w:t>
                  </w:r>
                  <w:r>
                    <w:rPr>
                      <w:rFonts w:hint="default"/>
                      <w:color w:val="auto"/>
                      <w:sz w:val="21"/>
                      <w:szCs w:val="21"/>
                      <w:highlight w:val="none"/>
                      <w:lang w:val="en-US" w:eastAsia="zh-CN"/>
                    </w:rPr>
                    <w:t>地作业人员进行劳动安全卫生保护专业培训</w:t>
                  </w:r>
                  <w:r>
                    <w:rPr>
                      <w:rFonts w:hint="eastAsia"/>
                      <w:color w:val="auto"/>
                      <w:sz w:val="21"/>
                      <w:szCs w:val="21"/>
                      <w:highlight w:val="none"/>
                      <w:lang w:val="en-US" w:eastAsia="zh-CN"/>
                    </w:rPr>
                    <w:t>。</w:t>
                  </w:r>
                </w:p>
              </w:tc>
              <w:tc>
                <w:tcPr>
                  <w:tcW w:w="817" w:type="dxa"/>
                  <w:noWrap w:val="0"/>
                  <w:vAlign w:val="center"/>
                </w:tcPr>
                <w:p w14:paraId="32851C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1CBF60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07" w:hRule="atLeast"/>
                <w:jc w:val="center"/>
              </w:trPr>
              <w:tc>
                <w:tcPr>
                  <w:tcW w:w="551" w:type="dxa"/>
                  <w:vMerge w:val="continue"/>
                  <w:noWrap w:val="0"/>
                  <w:vAlign w:val="center"/>
                </w:tcPr>
                <w:p w14:paraId="1429F4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1264" w:type="dxa"/>
                  <w:vMerge w:val="continue"/>
                  <w:noWrap w:val="0"/>
                  <w:vAlign w:val="center"/>
                </w:tcPr>
                <w:p w14:paraId="156695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color w:val="auto"/>
                      <w:highlight w:val="none"/>
                    </w:rPr>
                  </w:pPr>
                </w:p>
              </w:tc>
              <w:tc>
                <w:tcPr>
                  <w:tcW w:w="6831" w:type="dxa"/>
                  <w:noWrap w:val="0"/>
                  <w:vAlign w:val="center"/>
                </w:tcPr>
                <w:p w14:paraId="5DBBC79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6.2.2建筑垃圾堆砌地应按规定配置作业机械、劳动工具与职业病防护用品。</w:t>
                  </w:r>
                </w:p>
              </w:tc>
              <w:tc>
                <w:tcPr>
                  <w:tcW w:w="3746" w:type="dxa"/>
                  <w:noWrap w:val="0"/>
                  <w:vAlign w:val="center"/>
                </w:tcPr>
                <w:p w14:paraId="1935272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按规定配置作业机械、劳动工具与职业病防护用品。</w:t>
                  </w:r>
                </w:p>
              </w:tc>
              <w:tc>
                <w:tcPr>
                  <w:tcW w:w="817" w:type="dxa"/>
                  <w:noWrap w:val="0"/>
                  <w:vAlign w:val="center"/>
                </w:tcPr>
                <w:p w14:paraId="1BA520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156FF2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338" w:hRule="atLeast"/>
                <w:jc w:val="center"/>
              </w:trPr>
              <w:tc>
                <w:tcPr>
                  <w:tcW w:w="551" w:type="dxa"/>
                  <w:vMerge w:val="continue"/>
                  <w:noWrap w:val="0"/>
                  <w:vAlign w:val="center"/>
                </w:tcPr>
                <w:p w14:paraId="0B0591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1264" w:type="dxa"/>
                  <w:vMerge w:val="continue"/>
                  <w:noWrap w:val="0"/>
                  <w:vAlign w:val="center"/>
                </w:tcPr>
                <w:p w14:paraId="41FDC2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6831" w:type="dxa"/>
                  <w:noWrap w:val="0"/>
                  <w:vAlign w:val="center"/>
                </w:tcPr>
                <w:p w14:paraId="7DA5B92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6.2.3应在建筑垃圾堆砌地现场设置劳动防护用品贮存室，定期进行盘库和补充；应定期对使用过的劳动防护用品进行清洗和消毒；应及时更换有破损的劳动防护用品。</w:t>
                  </w:r>
                </w:p>
              </w:tc>
              <w:tc>
                <w:tcPr>
                  <w:tcW w:w="3746" w:type="dxa"/>
                  <w:noWrap w:val="0"/>
                  <w:vAlign w:val="center"/>
                </w:tcPr>
                <w:p w14:paraId="39DB7DF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在建筑垃圾</w:t>
                  </w:r>
                  <w:r>
                    <w:rPr>
                      <w:rFonts w:hint="eastAsia"/>
                      <w:color w:val="auto"/>
                      <w:sz w:val="21"/>
                      <w:szCs w:val="21"/>
                      <w:highlight w:val="none"/>
                      <w:lang w:val="en-US" w:eastAsia="zh-CN"/>
                    </w:rPr>
                    <w:t>堆填（砌）</w:t>
                  </w:r>
                  <w:r>
                    <w:rPr>
                      <w:rFonts w:hint="default"/>
                      <w:color w:val="auto"/>
                      <w:sz w:val="21"/>
                      <w:szCs w:val="21"/>
                      <w:highlight w:val="none"/>
                      <w:lang w:val="en-US" w:eastAsia="zh-CN"/>
                    </w:rPr>
                    <w:t>地现场设置劳动防护用品贮存室，定期进行盘库和补充；定期对使用过的劳动防护用品进行清洗和消毒；及时更换有破损的劳动防护用品。</w:t>
                  </w:r>
                </w:p>
              </w:tc>
              <w:tc>
                <w:tcPr>
                  <w:tcW w:w="817" w:type="dxa"/>
                  <w:noWrap w:val="0"/>
                  <w:vAlign w:val="center"/>
                </w:tcPr>
                <w:p w14:paraId="159E11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4D96E7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698" w:hRule="atLeast"/>
                <w:jc w:val="center"/>
              </w:trPr>
              <w:tc>
                <w:tcPr>
                  <w:tcW w:w="551" w:type="dxa"/>
                  <w:vMerge w:val="continue"/>
                  <w:noWrap w:val="0"/>
                  <w:vAlign w:val="center"/>
                </w:tcPr>
                <w:p w14:paraId="075C7D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1264" w:type="dxa"/>
                  <w:vMerge w:val="continue"/>
                  <w:noWrap w:val="0"/>
                  <w:vAlign w:val="center"/>
                </w:tcPr>
                <w:p w14:paraId="7DDCB3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6831" w:type="dxa"/>
                  <w:noWrap w:val="0"/>
                  <w:vAlign w:val="center"/>
                </w:tcPr>
                <w:p w14:paraId="59EC5DE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6.2.4 建筑垃圾堆砌地应设道路行车指示、安全标志及环境卫生设施设置标志。</w:t>
                  </w:r>
                </w:p>
              </w:tc>
              <w:tc>
                <w:tcPr>
                  <w:tcW w:w="3746" w:type="dxa"/>
                  <w:noWrap w:val="0"/>
                  <w:vAlign w:val="center"/>
                </w:tcPr>
                <w:p w14:paraId="1695C85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设道路行车指示、安全标志及环境卫生设施设置标志。</w:t>
                  </w:r>
                </w:p>
              </w:tc>
              <w:tc>
                <w:tcPr>
                  <w:tcW w:w="817" w:type="dxa"/>
                  <w:noWrap w:val="0"/>
                  <w:vAlign w:val="center"/>
                </w:tcPr>
                <w:p w14:paraId="07C4FD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r w14:paraId="211F6F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687" w:hRule="atLeast"/>
                <w:jc w:val="center"/>
              </w:trPr>
              <w:tc>
                <w:tcPr>
                  <w:tcW w:w="551" w:type="dxa"/>
                  <w:vMerge w:val="continue"/>
                  <w:noWrap w:val="0"/>
                  <w:vAlign w:val="center"/>
                </w:tcPr>
                <w:p w14:paraId="2BCECC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1264" w:type="dxa"/>
                  <w:vMerge w:val="continue"/>
                  <w:noWrap w:val="0"/>
                  <w:vAlign w:val="center"/>
                </w:tcPr>
                <w:p w14:paraId="0A53D7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p>
              </w:tc>
              <w:tc>
                <w:tcPr>
                  <w:tcW w:w="6831" w:type="dxa"/>
                  <w:noWrap w:val="0"/>
                  <w:vAlign w:val="center"/>
                </w:tcPr>
                <w:p w14:paraId="3658A10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6.2.5 建筑垃圾堆砌地现场的劳动卫生应按现行国家标准《工业企业设计卫生标准》GBZ1、《生产过程安全卫生要求总则》GB/T 12801的有关规定执行，并应结合作业特点采取有利于职业病防治和保护作业人员健康的措施。</w:t>
                  </w:r>
                </w:p>
              </w:tc>
              <w:tc>
                <w:tcPr>
                  <w:tcW w:w="3746" w:type="dxa"/>
                  <w:noWrap w:val="0"/>
                  <w:vAlign w:val="center"/>
                </w:tcPr>
                <w:p w14:paraId="211B028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color w:val="auto"/>
                      <w:sz w:val="21"/>
                      <w:szCs w:val="21"/>
                      <w:highlight w:val="none"/>
                      <w:lang w:val="en-US" w:eastAsia="zh-CN"/>
                    </w:rPr>
                  </w:pPr>
                  <w:r>
                    <w:rPr>
                      <w:rFonts w:hint="default"/>
                      <w:color w:val="auto"/>
                      <w:sz w:val="21"/>
                      <w:szCs w:val="21"/>
                      <w:highlight w:val="none"/>
                      <w:lang w:val="en-US" w:eastAsia="zh-CN"/>
                    </w:rPr>
                    <w:t>劳动卫生按现行国家标准《工业企业设计卫生标准》GBZ1、《生产过程安全卫生要求总则》GB/T 12801的有关规定执行，并结合作业特点采取有利于职业病防治和保护作业人员健康的措施。</w:t>
                  </w:r>
                </w:p>
              </w:tc>
              <w:tc>
                <w:tcPr>
                  <w:tcW w:w="817" w:type="dxa"/>
                  <w:noWrap w:val="0"/>
                  <w:vAlign w:val="center"/>
                </w:tcPr>
                <w:p w14:paraId="05A423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color w:val="auto"/>
                      <w:sz w:val="21"/>
                      <w:szCs w:val="21"/>
                      <w:highlight w:val="none"/>
                      <w:lang w:val="en-US" w:eastAsia="zh-CN"/>
                    </w:rPr>
                  </w:pPr>
                  <w:r>
                    <w:rPr>
                      <w:rFonts w:hint="eastAsia"/>
                      <w:color w:val="auto"/>
                      <w:sz w:val="21"/>
                      <w:szCs w:val="21"/>
                      <w:highlight w:val="none"/>
                      <w:lang w:val="en-US" w:eastAsia="zh-CN"/>
                    </w:rPr>
                    <w:t>符合</w:t>
                  </w:r>
                </w:p>
              </w:tc>
            </w:tr>
          </w:tbl>
          <w:p w14:paraId="5ED4FBFB">
            <w:pPr>
              <w:bidi w:val="0"/>
              <w:rPr>
                <w:rFonts w:hint="eastAsia"/>
                <w:color w:val="auto"/>
                <w:highlight w:val="none"/>
                <w:lang w:val="en-US" w:eastAsia="zh-CN"/>
              </w:rPr>
            </w:pPr>
            <w:r>
              <w:rPr>
                <w:rFonts w:hint="eastAsia"/>
                <w:color w:val="auto"/>
                <w:highlight w:val="none"/>
                <w:lang w:val="en-US" w:eastAsia="zh-CN"/>
              </w:rPr>
              <w:t>由上表可知，本项目符合《建筑垃圾堆砌地建设标准》（DB13（J）T8464-2022）中相关要求。</w:t>
            </w:r>
          </w:p>
          <w:p w14:paraId="4CEB9D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firstLine="0" w:firstLineChars="0"/>
              <w:jc w:val="left"/>
              <w:textAlignment w:val="auto"/>
              <w:rPr>
                <w:rFonts w:hint="eastAsia"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8</w:t>
            </w:r>
            <w:r>
              <w:rPr>
                <w:rFonts w:hint="eastAsia" w:ascii="Times New Roman" w:hAnsi="Times New Roman" w:cs="Times New Roman"/>
                <w:b/>
                <w:bCs/>
                <w:color w:val="auto"/>
                <w:sz w:val="24"/>
                <w:szCs w:val="24"/>
                <w:highlight w:val="none"/>
                <w:lang w:val="en-US" w:eastAsia="zh-CN"/>
              </w:rPr>
              <w:t>.与《关于进一步加强城市建筑垃圾治理的意见》</w:t>
            </w:r>
            <w:r>
              <w:rPr>
                <w:rFonts w:hint="eastAsia" w:cs="Times New Roman"/>
                <w:b/>
                <w:bCs/>
                <w:color w:val="auto"/>
                <w:sz w:val="24"/>
                <w:szCs w:val="24"/>
                <w:highlight w:val="none"/>
                <w:lang w:val="en-US" w:eastAsia="zh-CN"/>
              </w:rPr>
              <w:t>（</w:t>
            </w:r>
            <w:r>
              <w:rPr>
                <w:rFonts w:hint="eastAsia" w:ascii="Times New Roman" w:hAnsi="Times New Roman" w:cs="Times New Roman"/>
                <w:b/>
                <w:bCs/>
                <w:color w:val="auto"/>
                <w:sz w:val="24"/>
                <w:szCs w:val="24"/>
                <w:highlight w:val="none"/>
                <w:lang w:val="en-US" w:eastAsia="zh-CN"/>
              </w:rPr>
              <w:t>国办函[2025]57号</w:t>
            </w:r>
            <w:r>
              <w:rPr>
                <w:rFonts w:hint="eastAsia" w:cs="Times New Roman"/>
                <w:b/>
                <w:bCs/>
                <w:color w:val="auto"/>
                <w:sz w:val="24"/>
                <w:szCs w:val="24"/>
                <w:highlight w:val="none"/>
                <w:lang w:val="en-US" w:eastAsia="zh-CN"/>
              </w:rPr>
              <w:t>）</w:t>
            </w:r>
            <w:r>
              <w:rPr>
                <w:rFonts w:hint="eastAsia" w:ascii="Times New Roman" w:hAnsi="Times New Roman" w:cs="Times New Roman"/>
                <w:b/>
                <w:bCs/>
                <w:color w:val="auto"/>
                <w:sz w:val="24"/>
                <w:szCs w:val="24"/>
                <w:highlight w:val="none"/>
                <w:lang w:val="en-US" w:eastAsia="zh-CN"/>
              </w:rPr>
              <w:t>符合性分析</w:t>
            </w:r>
          </w:p>
          <w:p w14:paraId="2A83CF6C">
            <w:pPr>
              <w:bidi w:val="0"/>
              <w:rPr>
                <w:rFonts w:hint="eastAsia"/>
                <w:color w:val="auto"/>
                <w:highlight w:val="none"/>
                <w:lang w:val="en-US" w:eastAsia="zh-CN"/>
              </w:rPr>
            </w:pPr>
            <w:r>
              <w:rPr>
                <w:rFonts w:hint="eastAsia"/>
                <w:color w:val="auto"/>
                <w:highlight w:val="none"/>
                <w:lang w:val="en-US" w:eastAsia="zh-CN"/>
              </w:rPr>
              <w:t>本项目与住房城乡建设部《关于进一步加强城市建筑垃圾治理的意见》（国办函[2025]57号）相关要求符合性分析见下表。</w:t>
            </w:r>
          </w:p>
          <w:p w14:paraId="4A7B59CF">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b/>
                <w:bCs w:val="0"/>
                <w:color w:val="auto"/>
                <w:highlight w:val="none"/>
                <w:lang w:val="zh-CN"/>
              </w:rPr>
            </w:pPr>
            <w:r>
              <w:rPr>
                <w:rFonts w:hint="eastAsia"/>
                <w:b/>
                <w:bCs w:val="0"/>
                <w:color w:val="auto"/>
                <w:sz w:val="21"/>
                <w:szCs w:val="21"/>
                <w:highlight w:val="none"/>
                <w:lang w:val="en-US" w:eastAsia="zh-CN"/>
              </w:rPr>
              <w:t>本</w:t>
            </w:r>
            <w:r>
              <w:rPr>
                <w:rFonts w:hint="eastAsia"/>
                <w:b/>
                <w:bCs w:val="0"/>
                <w:color w:val="auto"/>
                <w:sz w:val="21"/>
                <w:szCs w:val="21"/>
                <w:highlight w:val="none"/>
              </w:rPr>
              <w:t>项目与</w:t>
            </w:r>
            <w:r>
              <w:rPr>
                <w:rFonts w:hint="eastAsia"/>
                <w:color w:val="auto"/>
                <w:highlight w:val="none"/>
                <w:lang w:val="en-US" w:eastAsia="zh-CN"/>
              </w:rPr>
              <w:t>国办函[2025]57号</w:t>
            </w:r>
            <w:r>
              <w:rPr>
                <w:rFonts w:hint="eastAsia"/>
                <w:b/>
                <w:bCs w:val="0"/>
                <w:color w:val="auto"/>
                <w:sz w:val="21"/>
                <w:szCs w:val="21"/>
                <w:highlight w:val="none"/>
                <w:lang w:val="en-US" w:eastAsia="zh-CN"/>
              </w:rPr>
              <w:t>相关要求</w:t>
            </w:r>
            <w:r>
              <w:rPr>
                <w:rFonts w:hint="eastAsia"/>
                <w:b/>
                <w:bCs w:val="0"/>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5785"/>
              <w:gridCol w:w="6056"/>
              <w:gridCol w:w="817"/>
            </w:tblGrid>
            <w:tr w14:paraId="7AC30A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4" w:hRule="atLeast"/>
                <w:jc w:val="center"/>
              </w:trPr>
              <w:tc>
                <w:tcPr>
                  <w:tcW w:w="551" w:type="dxa"/>
                  <w:noWrap w:val="0"/>
                  <w:vAlign w:val="center"/>
                </w:tcPr>
                <w:p w14:paraId="27B096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5785" w:type="dxa"/>
                  <w:noWrap w:val="0"/>
                  <w:vAlign w:val="center"/>
                </w:tcPr>
                <w:p w14:paraId="6B1CA6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default" w:eastAsia="宋体"/>
                      <w:color w:val="auto"/>
                      <w:sz w:val="21"/>
                      <w:szCs w:val="21"/>
                      <w:highlight w:val="none"/>
                      <w:lang w:val="en-US" w:eastAsia="zh-CN"/>
                    </w:rPr>
                    <w:t>国办函[2025]57号相关要求</w:t>
                  </w:r>
                </w:p>
              </w:tc>
              <w:tc>
                <w:tcPr>
                  <w:tcW w:w="6056" w:type="dxa"/>
                  <w:noWrap w:val="0"/>
                  <w:vAlign w:val="center"/>
                </w:tcPr>
                <w:p w14:paraId="31A2B4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7" w:type="dxa"/>
                  <w:noWrap w:val="0"/>
                  <w:vAlign w:val="center"/>
                </w:tcPr>
                <w:p w14:paraId="077FAE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5C32D8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572" w:hRule="atLeast"/>
                <w:jc w:val="center"/>
              </w:trPr>
              <w:tc>
                <w:tcPr>
                  <w:tcW w:w="551" w:type="dxa"/>
                  <w:noWrap w:val="0"/>
                  <w:vAlign w:val="center"/>
                </w:tcPr>
                <w:p w14:paraId="4635A217">
                  <w:pPr>
                    <w:keepNext w:val="0"/>
                    <w:keepLines w:val="0"/>
                    <w:pageBreakBefore w:val="0"/>
                    <w:widowControl w:val="0"/>
                    <w:numPr>
                      <w:ilvl w:val="0"/>
                      <w:numId w:val="9"/>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color w:val="auto"/>
                      <w:sz w:val="21"/>
                      <w:szCs w:val="21"/>
                      <w:highlight w:val="none"/>
                      <w:lang w:val="en-US" w:eastAsia="zh-CN"/>
                    </w:rPr>
                  </w:pPr>
                </w:p>
              </w:tc>
              <w:tc>
                <w:tcPr>
                  <w:tcW w:w="5785" w:type="dxa"/>
                  <w:noWrap w:val="0"/>
                  <w:vAlign w:val="center"/>
                </w:tcPr>
                <w:p w14:paraId="3CA8C38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（二）</w:t>
                  </w:r>
                  <w:r>
                    <w:rPr>
                      <w:rFonts w:hint="eastAsia" w:ascii="Times New Roman" w:hAnsi="Times New Roman" w:cs="Times New Roman"/>
                      <w:color w:val="auto"/>
                      <w:sz w:val="21"/>
                      <w:szCs w:val="21"/>
                      <w:highlight w:val="none"/>
                      <w:lang w:val="en-US" w:eastAsia="zh-CN"/>
                    </w:rPr>
                    <w:t>实行分类处理。各地要依照《建筑垃圾处理技术标准》，将建筑垃圾分为工程渣土、工程泥浆、工程垃圾、拆除垃圾、装修垃圾，实行分类处理，因地制宜明确处理方式。严禁将建筑垃圾直接与生活垃圾混合处理。原则上，工程渣土和干化处理后的工程泥浆可用于土方平衡、场地平整、道路建设、环境治理或烧结制品等；工程垃圾、拆除垃圾、装修垃圾应优先用于生产再生骨料、再生建材、道路材料等；无法利用的，应进行无害化处置，保障处置安全，防止污染环境。</w:t>
                  </w:r>
                </w:p>
              </w:tc>
              <w:tc>
                <w:tcPr>
                  <w:tcW w:w="6056" w:type="dxa"/>
                  <w:noWrap w:val="0"/>
                  <w:vAlign w:val="center"/>
                </w:tcPr>
                <w:p w14:paraId="4204E83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本项目建成后场区主要进行建筑垃圾</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zh-CN" w:eastAsia="zh-CN"/>
                    </w:rPr>
                    <w:t>工程渣土、工程垃圾、工程泥浆）</w:t>
                  </w:r>
                  <w:r>
                    <w:rPr>
                      <w:rFonts w:hint="eastAsia" w:cs="Times New Roman"/>
                      <w:color w:val="auto"/>
                      <w:sz w:val="21"/>
                      <w:szCs w:val="21"/>
                      <w:highlight w:val="none"/>
                      <w:lang w:val="en-US" w:eastAsia="zh-CN"/>
                    </w:rPr>
                    <w:t>堆填（砌）</w:t>
                  </w:r>
                  <w:r>
                    <w:rPr>
                      <w:rFonts w:hint="eastAsia" w:ascii="Times New Roman" w:hAnsi="Times New Roman" w:cs="Times New Roman"/>
                      <w:color w:val="auto"/>
                      <w:sz w:val="21"/>
                      <w:szCs w:val="21"/>
                      <w:highlight w:val="none"/>
                      <w:lang w:val="zh-CN" w:eastAsia="zh-CN"/>
                    </w:rPr>
                    <w:t>，进入本项目</w:t>
                  </w:r>
                  <w:r>
                    <w:rPr>
                      <w:rFonts w:hint="eastAsia" w:cs="Times New Roman"/>
                      <w:color w:val="auto"/>
                      <w:sz w:val="21"/>
                      <w:szCs w:val="21"/>
                      <w:highlight w:val="none"/>
                      <w:lang w:val="zh-CN" w:eastAsia="zh-CN"/>
                    </w:rPr>
                    <w:t>堆填（砌）</w:t>
                  </w:r>
                  <w:r>
                    <w:rPr>
                      <w:rFonts w:hint="eastAsia" w:ascii="Times New Roman" w:hAnsi="Times New Roman" w:cs="Times New Roman"/>
                      <w:color w:val="auto"/>
                      <w:sz w:val="21"/>
                      <w:szCs w:val="21"/>
                      <w:highlight w:val="none"/>
                      <w:lang w:val="zh-CN" w:eastAsia="zh-CN"/>
                    </w:rPr>
                    <w:t>场地的物料，不含有废沥青、金属、橡（胶）塑（料）；</w:t>
                  </w:r>
                  <w:r>
                    <w:rPr>
                      <w:rFonts w:hint="eastAsia" w:ascii="Times New Roman" w:hAnsi="Times New Roman" w:cs="Times New Roman"/>
                      <w:color w:val="auto"/>
                      <w:sz w:val="21"/>
                      <w:szCs w:val="21"/>
                      <w:highlight w:val="none"/>
                      <w:lang w:val="en-US" w:eastAsia="zh-CN"/>
                    </w:rPr>
                    <w:t>进场</w:t>
                  </w:r>
                  <w:r>
                    <w:rPr>
                      <w:rFonts w:hint="default" w:ascii="Times New Roman" w:hAnsi="Times New Roman" w:cs="Times New Roman"/>
                      <w:color w:val="auto"/>
                      <w:sz w:val="21"/>
                      <w:szCs w:val="21"/>
                      <w:highlight w:val="none"/>
                      <w:lang w:val="en-US" w:eastAsia="zh-CN"/>
                    </w:rPr>
                    <w:t>建筑垃圾</w:t>
                  </w:r>
                  <w:r>
                    <w:rPr>
                      <w:rFonts w:hint="eastAsia" w:ascii="Times New Roman" w:hAnsi="Times New Roman" w:cs="Times New Roman"/>
                      <w:color w:val="auto"/>
                      <w:sz w:val="21"/>
                      <w:szCs w:val="21"/>
                      <w:highlight w:val="none"/>
                      <w:lang w:val="en-US" w:eastAsia="zh-CN"/>
                    </w:rPr>
                    <w:t>中</w:t>
                  </w:r>
                  <w:r>
                    <w:rPr>
                      <w:rFonts w:hint="eastAsia" w:ascii="Times New Roman" w:hAnsi="Times New Roman" w:cs="Times New Roman"/>
                      <w:color w:val="auto"/>
                      <w:sz w:val="21"/>
                      <w:szCs w:val="21"/>
                      <w:highlight w:val="none"/>
                      <w:lang w:val="zh-CN" w:eastAsia="zh-CN"/>
                    </w:rPr>
                    <w:t>废旧管材、废旧木材、竹木、纺织物等含量不大于5%；工程渣土与泥浆含水率小于40%、相关力学指标符合标准</w:t>
                  </w:r>
                  <w:r>
                    <w:rPr>
                      <w:rFonts w:hint="eastAsia" w:ascii="Times New Roman" w:hAnsi="Times New Roman" w:cs="Times New Roman"/>
                      <w:color w:val="auto"/>
                      <w:sz w:val="21"/>
                      <w:szCs w:val="21"/>
                      <w:highlight w:val="none"/>
                      <w:lang w:val="en-US" w:eastAsia="zh-CN"/>
                    </w:rPr>
                    <w:t>要</w:t>
                  </w:r>
                  <w:r>
                    <w:rPr>
                      <w:rFonts w:hint="eastAsia" w:ascii="Times New Roman" w:hAnsi="Times New Roman" w:cs="Times New Roman"/>
                      <w:color w:val="auto"/>
                      <w:sz w:val="21"/>
                      <w:szCs w:val="21"/>
                      <w:highlight w:val="none"/>
                      <w:lang w:val="zh-CN" w:eastAsia="zh-CN"/>
                    </w:rPr>
                    <w:t>求</w:t>
                  </w:r>
                  <w:r>
                    <w:rPr>
                      <w:rFonts w:hint="default" w:ascii="Times New Roman" w:hAnsi="Times New Roman" w:cs="Times New Roman"/>
                      <w:color w:val="auto"/>
                      <w:sz w:val="21"/>
                      <w:szCs w:val="21"/>
                      <w:highlight w:val="none"/>
                      <w:lang w:val="en-US" w:eastAsia="zh-CN"/>
                    </w:rPr>
                    <w:t>，本项目不设置分类区，要求在进场前需进行分选，项目严格控制建筑垃圾进场要求。项目的建设有助于加强</w:t>
                  </w:r>
                  <w:r>
                    <w:rPr>
                      <w:rFonts w:hint="eastAsia" w:ascii="Times New Roman" w:hAnsi="Times New Roman" w:cs="Times New Roman"/>
                      <w:color w:val="auto"/>
                      <w:sz w:val="21"/>
                      <w:szCs w:val="21"/>
                      <w:highlight w:val="none"/>
                      <w:lang w:val="en-US" w:eastAsia="zh-CN"/>
                    </w:rPr>
                    <w:t>迁安市</w:t>
                  </w:r>
                  <w:r>
                    <w:rPr>
                      <w:rFonts w:hint="default" w:ascii="Times New Roman" w:hAnsi="Times New Roman" w:cs="Times New Roman"/>
                      <w:color w:val="auto"/>
                      <w:sz w:val="21"/>
                      <w:szCs w:val="21"/>
                      <w:highlight w:val="none"/>
                      <w:lang w:val="en-US" w:eastAsia="zh-CN"/>
                    </w:rPr>
                    <w:t>建筑垃圾的管理，推动</w:t>
                  </w:r>
                  <w:r>
                    <w:rPr>
                      <w:rFonts w:hint="eastAsia" w:ascii="Times New Roman" w:hAnsi="Times New Roman" w:cs="Times New Roman"/>
                      <w:color w:val="auto"/>
                      <w:sz w:val="21"/>
                      <w:szCs w:val="21"/>
                      <w:highlight w:val="none"/>
                      <w:lang w:val="en-US" w:eastAsia="zh-CN"/>
                    </w:rPr>
                    <w:t>迁安市</w:t>
                  </w:r>
                  <w:r>
                    <w:rPr>
                      <w:rFonts w:hint="default" w:ascii="Times New Roman" w:hAnsi="Times New Roman" w:cs="Times New Roman"/>
                      <w:color w:val="auto"/>
                      <w:sz w:val="21"/>
                      <w:szCs w:val="21"/>
                      <w:highlight w:val="none"/>
                      <w:lang w:val="en-US" w:eastAsia="zh-CN"/>
                    </w:rPr>
                    <w:t>建筑垃圾的集中化</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项目严格按照要求进行各类手续的办理，建成后作为合法的建筑垃圾填</w:t>
                  </w:r>
                  <w:r>
                    <w:rPr>
                      <w:rFonts w:hint="eastAsia" w:cs="Times New Roman"/>
                      <w:color w:val="auto"/>
                      <w:sz w:val="21"/>
                      <w:szCs w:val="21"/>
                      <w:highlight w:val="none"/>
                      <w:lang w:val="en-US" w:eastAsia="zh-CN"/>
                    </w:rPr>
                    <w:t>堆填（砌）</w:t>
                  </w:r>
                  <w:r>
                    <w:rPr>
                      <w:rFonts w:hint="default" w:ascii="Times New Roman" w:hAnsi="Times New Roman" w:cs="Times New Roman"/>
                      <w:color w:val="auto"/>
                      <w:sz w:val="21"/>
                      <w:szCs w:val="21"/>
                      <w:highlight w:val="none"/>
                      <w:lang w:val="en-US" w:eastAsia="zh-CN"/>
                    </w:rPr>
                    <w:t>、针对进场垃圾提出严格的入场要求，且采取严格的处置工艺，可有效降低生产工序中产生的各类污染物对周边环境的影响。</w:t>
                  </w:r>
                </w:p>
              </w:tc>
              <w:tc>
                <w:tcPr>
                  <w:tcW w:w="817" w:type="dxa"/>
                  <w:noWrap w:val="0"/>
                  <w:vAlign w:val="center"/>
                </w:tcPr>
                <w:p w14:paraId="2C4B0834">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1E622A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623" w:hRule="atLeast"/>
                <w:jc w:val="center"/>
              </w:trPr>
              <w:tc>
                <w:tcPr>
                  <w:tcW w:w="551" w:type="dxa"/>
                  <w:noWrap w:val="0"/>
                  <w:vAlign w:val="center"/>
                </w:tcPr>
                <w:p w14:paraId="47F833F9">
                  <w:pPr>
                    <w:keepNext w:val="0"/>
                    <w:keepLines w:val="0"/>
                    <w:pageBreakBefore w:val="0"/>
                    <w:widowControl w:val="0"/>
                    <w:numPr>
                      <w:ilvl w:val="0"/>
                      <w:numId w:val="9"/>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5785" w:type="dxa"/>
                  <w:noWrap w:val="0"/>
                  <w:vAlign w:val="center"/>
                </w:tcPr>
                <w:p w14:paraId="1A00038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（三）</w:t>
                  </w:r>
                  <w:r>
                    <w:rPr>
                      <w:rFonts w:hint="eastAsia" w:ascii="Times New Roman" w:hAnsi="Times New Roman" w:cs="Times New Roman"/>
                      <w:color w:val="auto"/>
                      <w:sz w:val="21"/>
                      <w:szCs w:val="21"/>
                      <w:highlight w:val="none"/>
                      <w:lang w:val="en-US" w:eastAsia="zh-CN"/>
                    </w:rPr>
                    <w:t>强化施工现场管理。工程建设主管部门应督促工程建设单位和施工单位，划定建筑垃圾分类贮存场所，分类收集建筑垃圾，选择符合条件的运输单位及时清运，规范运输车辆进出管理，并按规定对建筑垃圾进行利用、处置。各地要因地制宜推进建筑拆除与建筑垃圾资源化利用一体化。</w:t>
                  </w:r>
                </w:p>
              </w:tc>
              <w:tc>
                <w:tcPr>
                  <w:tcW w:w="6056" w:type="dxa"/>
                  <w:noWrap w:val="0"/>
                  <w:vAlign w:val="center"/>
                </w:tcPr>
                <w:p w14:paraId="48702910">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项目主要进行建筑垃圾安全堆填处置，项目的建设可有效对</w:t>
                  </w:r>
                  <w:r>
                    <w:rPr>
                      <w:rFonts w:hint="eastAsia" w:ascii="Times New Roman" w:hAnsi="Times New Roman" w:cs="Times New Roman"/>
                      <w:color w:val="auto"/>
                      <w:sz w:val="21"/>
                      <w:szCs w:val="21"/>
                      <w:highlight w:val="none"/>
                      <w:lang w:val="en-US" w:eastAsia="zh-CN"/>
                    </w:rPr>
                    <w:t>迁安市</w:t>
                  </w:r>
                  <w:r>
                    <w:rPr>
                      <w:rFonts w:hint="default" w:ascii="Times New Roman" w:hAnsi="Times New Roman" w:cs="Times New Roman"/>
                      <w:color w:val="auto"/>
                      <w:sz w:val="21"/>
                      <w:szCs w:val="21"/>
                      <w:highlight w:val="none"/>
                      <w:lang w:val="en-US" w:eastAsia="zh-CN"/>
                    </w:rPr>
                    <w:t>建筑垃圾集中处置，规范进行安全堆填，可有效降低建筑垃圾对周边环境的影响。</w:t>
                  </w:r>
                </w:p>
              </w:tc>
              <w:tc>
                <w:tcPr>
                  <w:tcW w:w="817" w:type="dxa"/>
                  <w:noWrap w:val="0"/>
                  <w:vAlign w:val="center"/>
                </w:tcPr>
                <w:p w14:paraId="446051EC">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16CE63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3200" w:hRule="atLeast"/>
                <w:jc w:val="center"/>
              </w:trPr>
              <w:tc>
                <w:tcPr>
                  <w:tcW w:w="551" w:type="dxa"/>
                  <w:noWrap w:val="0"/>
                  <w:vAlign w:val="center"/>
                </w:tcPr>
                <w:p w14:paraId="6BCAD0C2">
                  <w:pPr>
                    <w:keepNext w:val="0"/>
                    <w:keepLines w:val="0"/>
                    <w:pageBreakBefore w:val="0"/>
                    <w:widowControl w:val="0"/>
                    <w:numPr>
                      <w:ilvl w:val="0"/>
                      <w:numId w:val="9"/>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5785" w:type="dxa"/>
                  <w:noWrap w:val="0"/>
                  <w:vAlign w:val="center"/>
                </w:tcPr>
                <w:p w14:paraId="10DCCBD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（八）</w:t>
                  </w:r>
                  <w:r>
                    <w:rPr>
                      <w:rFonts w:hint="eastAsia" w:ascii="Times New Roman" w:hAnsi="Times New Roman" w:cs="Times New Roman"/>
                      <w:color w:val="auto"/>
                      <w:sz w:val="21"/>
                      <w:szCs w:val="21"/>
                      <w:highlight w:val="none"/>
                      <w:lang w:val="en-US" w:eastAsia="zh-CN"/>
                    </w:rPr>
                    <w:t>加强规划选址。各地在编制城市国土空间规划及相关专项规划时，要统筹考虑本行政区域内建筑垃圾产生量、源头分布及建筑垃圾处理设施用地需求，科学规划建筑垃圾处理设施建设规模、选址布局、建设时序等，根据需要落实建筑垃圾处理设施用地，确定建筑垃圾利用、处置固定去处。各地要充分考虑运输成本、经济效益和生态效益，在严守耕地和永久基本农田保护红线等三条控制线基础上，合理规划建设长期的建筑垃圾填埋场，并研究就近配套建设资源化利用设施，及时处理建筑垃圾。</w:t>
                  </w:r>
                </w:p>
              </w:tc>
              <w:tc>
                <w:tcPr>
                  <w:tcW w:w="6056" w:type="dxa"/>
                  <w:noWrap w:val="0"/>
                  <w:vAlign w:val="center"/>
                </w:tcPr>
                <w:p w14:paraId="4A61C1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位于迁安市夏官营镇罗庄子村西南，根据《迁安市城市管理综合行政执法局关于迁安市瑞承祥科技有限公司建筑垃圾堆砌地项目的函》，本项目利用现有废弃低洼坑塘建设建筑垃圾堆砌地项目，项目完成后作为迁安市建筑垃圾堆砌地，对迁安市符合要求的建筑垃圾进行堆填（砌），符合《唐山市环境卫生专项规划（2021-2035）》中“3.建筑垃圾处理设施布局—设区市设置多个、各县至少建设一座建筑垃圾堆砌地”的要求，</w:t>
                  </w:r>
                  <w:r>
                    <w:rPr>
                      <w:rFonts w:hint="default" w:ascii="Times New Roman" w:hAnsi="Times New Roman" w:cs="Times New Roman"/>
                      <w:color w:val="auto"/>
                      <w:sz w:val="21"/>
                      <w:szCs w:val="21"/>
                      <w:highlight w:val="none"/>
                      <w:lang w:val="en-US" w:eastAsia="zh-CN"/>
                    </w:rPr>
                    <w:t>项目不在河北省生态保护红线区范围内，</w:t>
                  </w:r>
                  <w:r>
                    <w:rPr>
                      <w:rFonts w:hint="eastAsia" w:ascii="Times New Roman" w:hAnsi="Times New Roman" w:cs="Times New Roman"/>
                      <w:color w:val="auto"/>
                      <w:sz w:val="21"/>
                      <w:szCs w:val="21"/>
                      <w:highlight w:val="none"/>
                      <w:lang w:val="en-US" w:eastAsia="zh-CN"/>
                    </w:rPr>
                    <w:t>不涉及</w:t>
                  </w:r>
                  <w:r>
                    <w:rPr>
                      <w:rFonts w:hint="default" w:ascii="Times New Roman" w:hAnsi="Times New Roman" w:cs="Times New Roman"/>
                      <w:color w:val="auto"/>
                      <w:sz w:val="21"/>
                      <w:szCs w:val="21"/>
                      <w:highlight w:val="none"/>
                      <w:lang w:val="en-US" w:eastAsia="zh-CN"/>
                    </w:rPr>
                    <w:t>基本农田</w:t>
                  </w:r>
                  <w:r>
                    <w:rPr>
                      <w:rFonts w:hint="eastAsia" w:ascii="Times New Roman" w:hAnsi="Times New Roman" w:cs="Times New Roman"/>
                      <w:color w:val="auto"/>
                      <w:sz w:val="21"/>
                      <w:szCs w:val="21"/>
                      <w:highlight w:val="none"/>
                      <w:lang w:val="en-US" w:eastAsia="zh-CN"/>
                    </w:rPr>
                    <w:t>和</w:t>
                  </w:r>
                  <w:r>
                    <w:rPr>
                      <w:rFonts w:hint="default" w:ascii="Times New Roman" w:hAnsi="Times New Roman" w:cs="Times New Roman"/>
                      <w:color w:val="auto"/>
                      <w:sz w:val="21"/>
                      <w:szCs w:val="21"/>
                      <w:highlight w:val="none"/>
                      <w:lang w:val="en-US" w:eastAsia="zh-CN"/>
                    </w:rPr>
                    <w:t>城镇开发边界</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评价范围内无自然保护区、重点文物、风景名胜等需特殊保护区域，项目</w:t>
                  </w:r>
                  <w:r>
                    <w:rPr>
                      <w:rFonts w:hint="eastAsia" w:ascii="Times New Roman" w:hAnsi="Times New Roman" w:cs="Times New Roman"/>
                      <w:color w:val="auto"/>
                      <w:sz w:val="21"/>
                      <w:szCs w:val="21"/>
                      <w:highlight w:val="none"/>
                      <w:lang w:val="en-US" w:eastAsia="zh-CN"/>
                    </w:rPr>
                    <w:t>场界外500m范围内无大气环境保护目标，本项目选址合理。</w:t>
                  </w:r>
                </w:p>
              </w:tc>
              <w:tc>
                <w:tcPr>
                  <w:tcW w:w="817" w:type="dxa"/>
                  <w:noWrap w:val="0"/>
                  <w:vAlign w:val="center"/>
                </w:tcPr>
                <w:p w14:paraId="6C417D6E">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4236F6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1626" w:hRule="atLeast"/>
                <w:jc w:val="center"/>
              </w:trPr>
              <w:tc>
                <w:tcPr>
                  <w:tcW w:w="551" w:type="dxa"/>
                  <w:noWrap w:val="0"/>
                  <w:vAlign w:val="center"/>
                </w:tcPr>
                <w:p w14:paraId="105D9CA9">
                  <w:pPr>
                    <w:keepNext w:val="0"/>
                    <w:keepLines w:val="0"/>
                    <w:pageBreakBefore w:val="0"/>
                    <w:widowControl w:val="0"/>
                    <w:numPr>
                      <w:ilvl w:val="0"/>
                      <w:numId w:val="9"/>
                    </w:numPr>
                    <w:kinsoku/>
                    <w:wordWrap/>
                    <w:overflowPunct/>
                    <w:topLinePunct w:val="0"/>
                    <w:autoSpaceDE/>
                    <w:autoSpaceDN/>
                    <w:bidi w:val="0"/>
                    <w:adjustRightInd/>
                    <w:snapToGrid/>
                    <w:spacing w:line="240" w:lineRule="auto"/>
                    <w:ind w:left="0" w:leftChars="0" w:firstLine="0" w:firstLineChars="0"/>
                    <w:jc w:val="center"/>
                    <w:textAlignment w:val="center"/>
                    <w:rPr>
                      <w:rFonts w:hint="default"/>
                      <w:color w:val="auto"/>
                      <w:sz w:val="21"/>
                      <w:szCs w:val="21"/>
                      <w:highlight w:val="none"/>
                      <w:lang w:val="en-US" w:eastAsia="zh-CN"/>
                    </w:rPr>
                  </w:pPr>
                </w:p>
              </w:tc>
              <w:tc>
                <w:tcPr>
                  <w:tcW w:w="5785" w:type="dxa"/>
                  <w:noWrap w:val="0"/>
                  <w:vAlign w:val="center"/>
                </w:tcPr>
                <w:p w14:paraId="302AF648">
                  <w:pPr>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left"/>
                    <w:textAlignment w:val="center"/>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（十）</w:t>
                  </w:r>
                  <w:r>
                    <w:rPr>
                      <w:rFonts w:hint="eastAsia" w:ascii="Times New Roman" w:hAnsi="Times New Roman" w:cs="Times New Roman"/>
                      <w:color w:val="auto"/>
                      <w:sz w:val="21"/>
                      <w:szCs w:val="21"/>
                      <w:highlight w:val="none"/>
                      <w:lang w:val="en-US" w:eastAsia="zh-CN"/>
                    </w:rPr>
                    <w:t>规范设施运行。各地要明确对建筑垃圾利用、处置设施的监管要求，实行动态监管。建筑垃圾利用、处置单位要按照有关标准加强运行管理，做好场区污染防治工作，组织开展安全风险评估、隐患排查治理、安全教育培训、应急处置演练，提升安全风险防控和应急处置能力。</w:t>
                  </w:r>
                </w:p>
              </w:tc>
              <w:tc>
                <w:tcPr>
                  <w:tcW w:w="6056" w:type="dxa"/>
                  <w:noWrap w:val="0"/>
                  <w:vAlign w:val="center"/>
                </w:tcPr>
                <w:p w14:paraId="42C6F29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项目严格按照《建筑垃圾处理技术标准》</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CJJ/T134-2019</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、《建筑垃圾堆砌地建设标准》（DB13（J）T8464-2022</w:t>
                  </w:r>
                  <w:r>
                    <w:rPr>
                      <w:rFonts w:hint="default" w:ascii="Times New Roman" w:hAnsi="Times New Roman" w:cs="Times New Roman"/>
                      <w:color w:val="auto"/>
                      <w:sz w:val="21"/>
                      <w:szCs w:val="21"/>
                      <w:highlight w:val="none"/>
                      <w:lang w:val="en-US" w:eastAsia="zh-CN"/>
                    </w:rPr>
                    <w:t>进行建设与后期管理，营运期将开展安全风险评估、隐患排查治理、安全教育培训、应急处置演练等，提升安全风险防控和应急处置能力。</w:t>
                  </w:r>
                </w:p>
              </w:tc>
              <w:tc>
                <w:tcPr>
                  <w:tcW w:w="817" w:type="dxa"/>
                  <w:noWrap w:val="0"/>
                  <w:vAlign w:val="center"/>
                </w:tcPr>
                <w:p w14:paraId="3A12F31E">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bl>
          <w:p w14:paraId="3C9AB2D1">
            <w:pPr>
              <w:bidi w:val="0"/>
              <w:rPr>
                <w:rFonts w:hint="eastAsia"/>
                <w:color w:val="auto"/>
                <w:highlight w:val="none"/>
                <w:lang w:val="en-US" w:eastAsia="zh-CN"/>
              </w:rPr>
            </w:pPr>
            <w:r>
              <w:rPr>
                <w:rFonts w:hint="eastAsia"/>
                <w:color w:val="auto"/>
                <w:highlight w:val="none"/>
                <w:lang w:val="en-US" w:eastAsia="zh-CN"/>
              </w:rPr>
              <w:t>由上表可知，本项目符合住房城乡建设部《关于进一步加强城市建筑垃圾治理的意见》（国办函[2025]57号）相关要求。</w:t>
            </w:r>
          </w:p>
          <w:p w14:paraId="774E48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firstLine="0" w:firstLineChars="0"/>
              <w:jc w:val="left"/>
              <w:textAlignment w:val="auto"/>
              <w:rPr>
                <w:rFonts w:hint="eastAsia"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9</w:t>
            </w:r>
            <w:r>
              <w:rPr>
                <w:rFonts w:hint="eastAsia" w:ascii="Times New Roman" w:hAnsi="Times New Roman" w:cs="Times New Roman"/>
                <w:b/>
                <w:bCs/>
                <w:color w:val="auto"/>
                <w:sz w:val="24"/>
                <w:szCs w:val="24"/>
                <w:highlight w:val="none"/>
                <w:lang w:val="en-US" w:eastAsia="zh-CN"/>
              </w:rPr>
              <w:t>.与《</w:t>
            </w:r>
            <w:r>
              <w:rPr>
                <w:rFonts w:hint="eastAsia" w:cs="Times New Roman"/>
                <w:b/>
                <w:bCs/>
                <w:color w:val="auto"/>
                <w:sz w:val="24"/>
                <w:szCs w:val="24"/>
                <w:highlight w:val="none"/>
                <w:lang w:val="en-US" w:eastAsia="zh-CN"/>
              </w:rPr>
              <w:t>煤场、料场、渣场扬尘控制技术规范</w:t>
            </w:r>
            <w:r>
              <w:rPr>
                <w:rFonts w:hint="eastAsia"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（DB13/T2352-2016）</w:t>
            </w:r>
            <w:r>
              <w:rPr>
                <w:rFonts w:hint="eastAsia" w:ascii="Times New Roman" w:hAnsi="Times New Roman" w:cs="Times New Roman"/>
                <w:b/>
                <w:bCs/>
                <w:color w:val="auto"/>
                <w:sz w:val="24"/>
                <w:szCs w:val="24"/>
                <w:highlight w:val="none"/>
                <w:lang w:val="en-US" w:eastAsia="zh-CN"/>
              </w:rPr>
              <w:t>符合性分析</w:t>
            </w:r>
          </w:p>
          <w:p w14:paraId="39D65B5D">
            <w:pPr>
              <w:rPr>
                <w:rFonts w:hint="eastAsia"/>
                <w:color w:val="auto"/>
                <w:highlight w:val="none"/>
                <w:lang w:val="en-US" w:eastAsia="zh-CN"/>
              </w:rPr>
            </w:pPr>
            <w:r>
              <w:rPr>
                <w:rFonts w:hint="eastAsia"/>
                <w:color w:val="auto"/>
                <w:highlight w:val="none"/>
                <w:lang w:val="en-US" w:eastAsia="zh-CN"/>
              </w:rPr>
              <w:t>本项目与《煤场、料场、渣场扬尘控制技术规范》（DB13/T2352-2016）相关要求符合性分析见下表。</w:t>
            </w:r>
          </w:p>
          <w:p w14:paraId="7C2E582D">
            <w:pPr>
              <w:rPr>
                <w:rFonts w:hint="eastAsia"/>
                <w:color w:val="auto"/>
                <w:highlight w:val="none"/>
                <w:lang w:val="en-US" w:eastAsia="zh-CN"/>
              </w:rPr>
            </w:pPr>
          </w:p>
          <w:p w14:paraId="0856153F">
            <w:pPr>
              <w:rPr>
                <w:rFonts w:hint="default"/>
                <w:color w:val="auto"/>
                <w:highlight w:val="none"/>
                <w:lang w:val="en-US" w:eastAsia="zh-CN"/>
              </w:rPr>
            </w:pPr>
          </w:p>
          <w:p w14:paraId="09D51CCC">
            <w:pPr>
              <w:pStyle w:val="36"/>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0" w:firstLineChars="0"/>
              <w:textAlignment w:val="auto"/>
              <w:rPr>
                <w:rFonts w:hint="default"/>
                <w:b/>
                <w:bCs w:val="0"/>
                <w:color w:val="auto"/>
                <w:highlight w:val="none"/>
                <w:lang w:val="zh-CN"/>
              </w:rPr>
            </w:pPr>
            <w:r>
              <w:rPr>
                <w:rFonts w:hint="eastAsia"/>
                <w:b/>
                <w:bCs w:val="0"/>
                <w:color w:val="auto"/>
                <w:sz w:val="21"/>
                <w:szCs w:val="21"/>
                <w:highlight w:val="none"/>
                <w:lang w:val="en-US" w:eastAsia="zh-CN"/>
              </w:rPr>
              <w:t>本</w:t>
            </w:r>
            <w:r>
              <w:rPr>
                <w:rFonts w:hint="eastAsia"/>
                <w:b/>
                <w:bCs w:val="0"/>
                <w:color w:val="auto"/>
                <w:sz w:val="21"/>
                <w:szCs w:val="21"/>
                <w:highlight w:val="none"/>
              </w:rPr>
              <w:t>项目与</w:t>
            </w:r>
            <w:r>
              <w:rPr>
                <w:rFonts w:hint="eastAsia"/>
                <w:color w:val="auto"/>
                <w:highlight w:val="none"/>
                <w:lang w:val="en-US" w:eastAsia="zh-CN"/>
              </w:rPr>
              <w:t>DB13/T2352-2016</w:t>
            </w:r>
            <w:r>
              <w:rPr>
                <w:rFonts w:hint="eastAsia"/>
                <w:b/>
                <w:bCs w:val="0"/>
                <w:color w:val="auto"/>
                <w:sz w:val="21"/>
                <w:szCs w:val="21"/>
                <w:highlight w:val="none"/>
                <w:lang w:val="en-US" w:eastAsia="zh-CN"/>
              </w:rPr>
              <w:t>相关要求</w:t>
            </w:r>
            <w:r>
              <w:rPr>
                <w:rFonts w:hint="eastAsia"/>
                <w:b/>
                <w:bCs w:val="0"/>
                <w:color w:val="auto"/>
                <w:sz w:val="21"/>
                <w:szCs w:val="21"/>
                <w:highlight w:val="none"/>
              </w:rPr>
              <w:t>符合性分析一览表</w:t>
            </w:r>
          </w:p>
          <w:tbl>
            <w:tblPr>
              <w:tblStyle w:val="29"/>
              <w:tblW w:w="132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28" w:type="dxa"/>
                <w:bottom w:w="0" w:type="dxa"/>
                <w:right w:w="28" w:type="dxa"/>
              </w:tblCellMar>
            </w:tblPr>
            <w:tblGrid>
              <w:gridCol w:w="551"/>
              <w:gridCol w:w="5785"/>
              <w:gridCol w:w="6056"/>
              <w:gridCol w:w="817"/>
            </w:tblGrid>
            <w:tr w14:paraId="3E4C02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4" w:hRule="atLeast"/>
                <w:jc w:val="center"/>
              </w:trPr>
              <w:tc>
                <w:tcPr>
                  <w:tcW w:w="551" w:type="dxa"/>
                  <w:noWrap w:val="0"/>
                  <w:vAlign w:val="center"/>
                </w:tcPr>
                <w:p w14:paraId="2CBD3A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eastAsia="宋体"/>
                      <w:color w:val="auto"/>
                      <w:sz w:val="21"/>
                      <w:szCs w:val="21"/>
                      <w:highlight w:val="none"/>
                    </w:rPr>
                    <w:t>序号</w:t>
                  </w:r>
                </w:p>
              </w:tc>
              <w:tc>
                <w:tcPr>
                  <w:tcW w:w="5785" w:type="dxa"/>
                  <w:noWrap w:val="0"/>
                  <w:vAlign w:val="center"/>
                </w:tcPr>
                <w:p w14:paraId="1E6CFF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default" w:eastAsia="宋体"/>
                      <w:color w:val="auto"/>
                      <w:sz w:val="21"/>
                      <w:szCs w:val="21"/>
                      <w:highlight w:val="none"/>
                      <w:lang w:val="en-US" w:eastAsia="zh-CN"/>
                    </w:rPr>
                    <w:t>DB13/T2352-2016相关要求</w:t>
                  </w:r>
                </w:p>
              </w:tc>
              <w:tc>
                <w:tcPr>
                  <w:tcW w:w="6056" w:type="dxa"/>
                  <w:noWrap w:val="0"/>
                  <w:vAlign w:val="center"/>
                </w:tcPr>
                <w:p w14:paraId="6D39C0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本项目建设情况</w:t>
                  </w:r>
                </w:p>
              </w:tc>
              <w:tc>
                <w:tcPr>
                  <w:tcW w:w="817" w:type="dxa"/>
                  <w:noWrap w:val="0"/>
                  <w:vAlign w:val="center"/>
                </w:tcPr>
                <w:p w14:paraId="227953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center"/>
                    <w:rPr>
                      <w:rFonts w:eastAsia="宋体"/>
                      <w:color w:val="auto"/>
                      <w:sz w:val="21"/>
                      <w:szCs w:val="21"/>
                      <w:highlight w:val="none"/>
                    </w:rPr>
                  </w:pPr>
                  <w:r>
                    <w:rPr>
                      <w:rFonts w:hint="eastAsia"/>
                      <w:color w:val="auto"/>
                      <w:sz w:val="21"/>
                      <w:szCs w:val="21"/>
                      <w:highlight w:val="none"/>
                      <w:lang w:val="en-US" w:eastAsia="zh-CN"/>
                    </w:rPr>
                    <w:t>本项目</w:t>
                  </w:r>
                  <w:r>
                    <w:rPr>
                      <w:rFonts w:eastAsia="宋体"/>
                      <w:color w:val="auto"/>
                      <w:sz w:val="21"/>
                      <w:szCs w:val="21"/>
                      <w:highlight w:val="none"/>
                    </w:rPr>
                    <w:t>符合性</w:t>
                  </w:r>
                </w:p>
              </w:tc>
            </w:tr>
            <w:tr w14:paraId="4FEEF9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971" w:hRule="atLeast"/>
                <w:jc w:val="center"/>
              </w:trPr>
              <w:tc>
                <w:tcPr>
                  <w:tcW w:w="551" w:type="dxa"/>
                  <w:noWrap w:val="0"/>
                  <w:vAlign w:val="center"/>
                </w:tcPr>
                <w:p w14:paraId="56EF664D">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color w:val="auto"/>
                      <w:sz w:val="21"/>
                      <w:szCs w:val="21"/>
                      <w:highlight w:val="none"/>
                      <w:lang w:val="en-US" w:eastAsia="zh-CN"/>
                    </w:rPr>
                  </w:pPr>
                </w:p>
              </w:tc>
              <w:tc>
                <w:tcPr>
                  <w:tcW w:w="5785" w:type="dxa"/>
                  <w:noWrap w:val="0"/>
                  <w:vAlign w:val="center"/>
                </w:tcPr>
                <w:p w14:paraId="1A8E27B3">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240" w:lineRule="auto"/>
                    <w:ind w:firstLine="420" w:firstLineChars="200"/>
                    <w:jc w:val="left"/>
                    <w:textAlignment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物料运输、装卸：</w:t>
                  </w:r>
                </w:p>
                <w:p w14:paraId="08CF47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0" w:firstLineChars="200"/>
                    <w:textAlignment w:val="auto"/>
                    <w:rPr>
                      <w:rFonts w:hint="eastAsia"/>
                      <w:color w:val="auto"/>
                      <w:sz w:val="21"/>
                      <w:szCs w:val="21"/>
                      <w:highlight w:val="none"/>
                      <w:lang w:val="en-US" w:eastAsia="zh-CN"/>
                    </w:rPr>
                  </w:pPr>
                  <w:r>
                    <w:rPr>
                      <w:rFonts w:hint="eastAsia"/>
                      <w:color w:val="auto"/>
                      <w:sz w:val="21"/>
                      <w:szCs w:val="21"/>
                      <w:highlight w:val="none"/>
                      <w:lang w:val="en-US" w:eastAsia="zh-CN"/>
                    </w:rPr>
                    <w:t>1.块状物料（如烧结矿、球团矿、焦炭等物料）运输车辆装载高度最高点不得超过车辆槽帮上沿40cm，两侧边缘应当低于槽帮上缘10cm，车斗应用苫布苫盖，苫布边缘至少要遮住槽帮上沿以上15cm。</w:t>
                  </w:r>
                </w:p>
                <w:p w14:paraId="6C4EC880">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right="0" w:rightChars="0" w:firstLine="420" w:firstLineChars="200"/>
                    <w:textAlignment w:val="auto"/>
                    <w:rPr>
                      <w:rFonts w:hint="default"/>
                      <w:color w:val="auto"/>
                      <w:highlight w:val="none"/>
                      <w:lang w:val="en-US" w:eastAsia="zh-CN"/>
                    </w:rPr>
                  </w:pPr>
                  <w:r>
                    <w:rPr>
                      <w:rFonts w:hint="eastAsia"/>
                      <w:color w:val="auto"/>
                      <w:highlight w:val="none"/>
                      <w:lang w:val="en-US" w:eastAsia="zh-CN"/>
                    </w:rPr>
                    <w:t>2.应设置洗车平台，完善排水设施，防止泥土粘带。运输车辆在煤场、料场出口内侧设置洗车平台，车辆驶离煤场、料场前，应在洗车平台清洗轮胎及车身，不得带泥上路。洗车平台四周应设置防溢座、废水导流渠、废水收集池、沉砂池及其它防治设施，收集洗车以及降水过程中产生的废水和泥浆。</w:t>
                  </w:r>
                </w:p>
                <w:p w14:paraId="40D117BC">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textAlignment w:val="auto"/>
                    <w:rPr>
                      <w:rFonts w:hint="default"/>
                      <w:color w:val="auto"/>
                      <w:highlight w:val="none"/>
                      <w:lang w:val="en-US" w:eastAsia="zh-CN"/>
                    </w:rPr>
                  </w:pPr>
                  <w:r>
                    <w:rPr>
                      <w:rFonts w:hint="eastAsia"/>
                      <w:color w:val="auto"/>
                      <w:sz w:val="21"/>
                      <w:szCs w:val="21"/>
                      <w:highlight w:val="none"/>
                      <w:lang w:val="en-US" w:eastAsia="zh-CN"/>
                    </w:rPr>
                    <w:t>3.露天装卸物料应当采取洒水、喷淋等抑尘措施，密闭输送物料应在装卸处配备吸尘、喷淋等设施。</w:t>
                  </w:r>
                </w:p>
              </w:tc>
              <w:tc>
                <w:tcPr>
                  <w:tcW w:w="6056" w:type="dxa"/>
                  <w:noWrap w:val="0"/>
                  <w:vAlign w:val="center"/>
                </w:tcPr>
                <w:p w14:paraId="308CDF6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s="Times New Roman"/>
                      <w:color w:val="auto"/>
                      <w:sz w:val="21"/>
                      <w:szCs w:val="21"/>
                      <w:highlight w:val="none"/>
                      <w:lang w:val="en-US" w:eastAsia="zh-CN"/>
                    </w:rPr>
                    <w:t>1.</w:t>
                  </w:r>
                  <w:r>
                    <w:rPr>
                      <w:rFonts w:hint="eastAsia"/>
                      <w:color w:val="auto"/>
                      <w:sz w:val="21"/>
                      <w:szCs w:val="21"/>
                      <w:highlight w:val="none"/>
                      <w:lang w:val="en-US" w:eastAsia="zh-CN"/>
                    </w:rPr>
                    <w:t>运输车辆装载高度最高点不超过车辆槽帮上沿40cm，两侧边缘低于槽帮上缘10cm，车斗用苫布苫盖，苫布边缘遮住槽帮上沿以上15cm。</w:t>
                  </w:r>
                </w:p>
                <w:p w14:paraId="7E0A062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2.设置洗车平台，完善排水设施，防止泥土粘带。在场区出口内侧设置洗车平台，车辆驶离场区前，在洗车平台清洗轮胎及车身，不带泥上路。洗车平台四周设置防溢座、废水导流渠、废水收集池、沉砂池及其它防治设施，收集洗车以及降水过程中产生的废水和泥浆。</w:t>
                  </w:r>
                </w:p>
                <w:p w14:paraId="74C5531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eastAsia"/>
                      <w:color w:val="auto"/>
                      <w:sz w:val="21"/>
                      <w:szCs w:val="21"/>
                      <w:highlight w:val="none"/>
                      <w:lang w:val="en-US" w:eastAsia="zh-CN"/>
                    </w:rPr>
                  </w:pPr>
                  <w:r>
                    <w:rPr>
                      <w:rFonts w:hint="eastAsia"/>
                      <w:color w:val="auto"/>
                      <w:sz w:val="21"/>
                      <w:szCs w:val="21"/>
                      <w:highlight w:val="none"/>
                      <w:lang w:val="en-US" w:eastAsia="zh-CN"/>
                    </w:rPr>
                    <w:t>3.堆填作业时采取洒水、喷淋等抑尘措施。</w:t>
                  </w:r>
                </w:p>
                <w:p w14:paraId="5FFE6EBE">
                  <w:pPr>
                    <w:pStyle w:val="28"/>
                    <w:rPr>
                      <w:rFonts w:hint="default"/>
                      <w:color w:val="auto"/>
                      <w:highlight w:val="none"/>
                      <w:lang w:val="en-US" w:eastAsia="zh-CN"/>
                    </w:rPr>
                  </w:pPr>
                </w:p>
              </w:tc>
              <w:tc>
                <w:tcPr>
                  <w:tcW w:w="817" w:type="dxa"/>
                  <w:noWrap w:val="0"/>
                  <w:vAlign w:val="center"/>
                </w:tcPr>
                <w:p w14:paraId="754E4662">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r w14:paraId="39B8FC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28" w:type="dxa"/>
                  <w:bottom w:w="0" w:type="dxa"/>
                  <w:right w:w="28" w:type="dxa"/>
                </w:tblCellMar>
              </w:tblPrEx>
              <w:trPr>
                <w:trHeight w:val="721" w:hRule="atLeast"/>
                <w:jc w:val="center"/>
              </w:trPr>
              <w:tc>
                <w:tcPr>
                  <w:tcW w:w="551" w:type="dxa"/>
                  <w:noWrap w:val="0"/>
                  <w:vAlign w:val="center"/>
                </w:tcPr>
                <w:p w14:paraId="6B7CD75A">
                  <w:pPr>
                    <w:keepNext w:val="0"/>
                    <w:keepLines w:val="0"/>
                    <w:pageBreakBefore w:val="0"/>
                    <w:widowControl w:val="0"/>
                    <w:numPr>
                      <w:ilvl w:val="0"/>
                      <w:numId w:val="1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eastAsia="宋体"/>
                      <w:color w:val="auto"/>
                      <w:sz w:val="21"/>
                      <w:szCs w:val="21"/>
                      <w:highlight w:val="none"/>
                      <w:lang w:val="en-US" w:eastAsia="zh-CN"/>
                    </w:rPr>
                  </w:pPr>
                </w:p>
              </w:tc>
              <w:tc>
                <w:tcPr>
                  <w:tcW w:w="5785" w:type="dxa"/>
                  <w:noWrap w:val="0"/>
                  <w:vAlign w:val="center"/>
                </w:tcPr>
                <w:p w14:paraId="24386F1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highlight w:val="none"/>
                      <w:lang w:val="en-US" w:eastAsia="zh-CN"/>
                    </w:rPr>
                  </w:pPr>
                  <w:r>
                    <w:rPr>
                      <w:rFonts w:hint="eastAsia"/>
                      <w:color w:val="auto"/>
                      <w:sz w:val="21"/>
                      <w:szCs w:val="21"/>
                      <w:highlight w:val="none"/>
                      <w:lang w:val="en-US" w:eastAsia="zh-CN"/>
                    </w:rPr>
                    <w:t>厂区运输道路：各工业企业厂区道路应进行硬化，定期清扫、洒水，以保持道路积尘处于低负荷状态。</w:t>
                  </w:r>
                </w:p>
              </w:tc>
              <w:tc>
                <w:tcPr>
                  <w:tcW w:w="6056" w:type="dxa"/>
                  <w:noWrap w:val="0"/>
                  <w:vAlign w:val="center"/>
                </w:tcPr>
                <w:p w14:paraId="077FA9F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场区</w:t>
                  </w:r>
                  <w:r>
                    <w:rPr>
                      <w:rFonts w:hint="eastAsia"/>
                      <w:color w:val="auto"/>
                      <w:sz w:val="21"/>
                      <w:szCs w:val="21"/>
                      <w:highlight w:val="none"/>
                      <w:lang w:val="en-US" w:eastAsia="zh-CN"/>
                    </w:rPr>
                    <w:t>道路进行硬化，定期清扫、洒水，以保持道路积尘处于低负荷状态。</w:t>
                  </w:r>
                </w:p>
              </w:tc>
              <w:tc>
                <w:tcPr>
                  <w:tcW w:w="817" w:type="dxa"/>
                  <w:noWrap w:val="0"/>
                  <w:vAlign w:val="center"/>
                </w:tcPr>
                <w:p w14:paraId="6ABB9064">
                  <w:pPr>
                    <w:keepNext w:val="0"/>
                    <w:keepLines w:val="0"/>
                    <w:pageBreakBefore w:val="0"/>
                    <w:widowControl w:val="0"/>
                    <w:kinsoku/>
                    <w:wordWrap/>
                    <w:overflowPunct/>
                    <w:topLinePunct w:val="0"/>
                    <w:autoSpaceDE/>
                    <w:autoSpaceDN/>
                    <w:bidi w:val="0"/>
                    <w:adjustRightInd/>
                    <w:snapToGrid/>
                    <w:spacing w:line="240" w:lineRule="auto"/>
                    <w:ind w:left="0" w:leftChars="0" w:firstLine="210" w:firstLineChars="100"/>
                    <w:jc w:val="both"/>
                    <w:textAlignment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符合</w:t>
                  </w:r>
                </w:p>
              </w:tc>
            </w:tr>
          </w:tbl>
          <w:p w14:paraId="509EA2BB">
            <w:pPr>
              <w:bidi w:val="0"/>
              <w:rPr>
                <w:rFonts w:hint="eastAsia"/>
                <w:color w:val="auto"/>
                <w:highlight w:val="none"/>
                <w:lang w:val="en-US" w:eastAsia="zh-CN"/>
              </w:rPr>
            </w:pPr>
            <w:r>
              <w:rPr>
                <w:rFonts w:hint="eastAsia"/>
                <w:color w:val="auto"/>
                <w:highlight w:val="none"/>
                <w:lang w:val="en-US" w:eastAsia="zh-CN"/>
              </w:rPr>
              <w:t>由上表可知，本项目符合《煤场、料场、渣场扬尘控制技术规范》（DB13/T2352-2016）相关要求。</w:t>
            </w:r>
          </w:p>
          <w:p w14:paraId="2881B195">
            <w:pPr>
              <w:ind w:left="0" w:leftChars="0" w:firstLine="0" w:firstLineChars="0"/>
              <w:rPr>
                <w:rFonts w:hint="eastAsia"/>
                <w:color w:val="auto"/>
                <w:highlight w:val="none"/>
                <w:lang w:val="en-US" w:eastAsia="zh-CN"/>
              </w:rPr>
            </w:pPr>
          </w:p>
          <w:p w14:paraId="002C8477">
            <w:pPr>
              <w:pStyle w:val="28"/>
              <w:rPr>
                <w:rFonts w:hint="eastAsia"/>
                <w:color w:val="auto"/>
                <w:highlight w:val="none"/>
                <w:lang w:val="en-US" w:eastAsia="zh-CN"/>
              </w:rPr>
            </w:pPr>
          </w:p>
          <w:p w14:paraId="14838A15">
            <w:pPr>
              <w:rPr>
                <w:rFonts w:hint="eastAsia"/>
                <w:color w:val="auto"/>
                <w:highlight w:val="none"/>
                <w:lang w:val="en-US" w:eastAsia="zh-CN"/>
              </w:rPr>
            </w:pPr>
          </w:p>
          <w:p w14:paraId="5957DF7E">
            <w:pPr>
              <w:pStyle w:val="28"/>
              <w:ind w:left="0" w:leftChars="0" w:firstLine="0" w:firstLineChars="0"/>
              <w:rPr>
                <w:rFonts w:hint="eastAsia"/>
                <w:color w:val="auto"/>
                <w:highlight w:val="none"/>
                <w:lang w:val="en-US" w:eastAsia="zh-CN"/>
              </w:rPr>
            </w:pPr>
          </w:p>
          <w:p w14:paraId="1025C200">
            <w:pPr>
              <w:rPr>
                <w:rFonts w:hint="eastAsia"/>
                <w:color w:val="auto"/>
                <w:highlight w:val="none"/>
                <w:lang w:val="en-US" w:eastAsia="zh-CN"/>
              </w:rPr>
            </w:pPr>
          </w:p>
          <w:p w14:paraId="3886E495">
            <w:pPr>
              <w:rPr>
                <w:rFonts w:hint="eastAsia"/>
                <w:color w:val="auto"/>
                <w:highlight w:val="none"/>
                <w:lang w:val="en-US" w:eastAsia="zh-CN"/>
              </w:rPr>
            </w:pPr>
          </w:p>
        </w:tc>
      </w:tr>
    </w:tbl>
    <w:p w14:paraId="39DA770E">
      <w:pPr>
        <w:rPr>
          <w:color w:val="auto"/>
          <w:highlight w:val="none"/>
        </w:rPr>
        <w:sectPr>
          <w:pgSz w:w="16838" w:h="11906" w:orient="landscape"/>
          <w:pgMar w:top="1417" w:right="1440" w:bottom="1247" w:left="1440" w:header="851" w:footer="879" w:gutter="0"/>
          <w:pgBorders>
            <w:top w:val="none" w:sz="0" w:space="0"/>
            <w:left w:val="none" w:sz="0" w:space="0"/>
            <w:bottom w:val="none" w:sz="0" w:space="0"/>
            <w:right w:val="none" w:sz="0" w:space="0"/>
          </w:pgBorders>
          <w:pgNumType w:fmt="decimal"/>
          <w:cols w:space="425" w:num="1"/>
          <w:docGrid w:type="lines" w:linePitch="312" w:charSpace="0"/>
        </w:sectPr>
      </w:pP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8732"/>
      </w:tblGrid>
      <w:tr w14:paraId="258DC5F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8787" w:hRule="atLeast"/>
        </w:trPr>
        <w:tc>
          <w:tcPr>
            <w:tcW w:w="726" w:type="dxa"/>
            <w:tcBorders>
              <w:tl2br w:val="nil"/>
              <w:tr2bl w:val="nil"/>
            </w:tcBorders>
            <w:vAlign w:val="top"/>
          </w:tcPr>
          <w:p w14:paraId="373D738F">
            <w:pPr>
              <w:pStyle w:val="2"/>
              <w:bidi w:val="0"/>
              <w:rPr>
                <w:rFonts w:hint="eastAsia"/>
                <w:color w:val="auto"/>
                <w:highlight w:val="none"/>
                <w:vertAlign w:val="baseline"/>
              </w:rPr>
            </w:pPr>
            <w:bookmarkStart w:id="3" w:name="_Toc7749"/>
          </w:p>
        </w:tc>
        <w:tc>
          <w:tcPr>
            <w:tcW w:w="8732" w:type="dxa"/>
            <w:tcBorders>
              <w:tl2br w:val="nil"/>
              <w:tr2bl w:val="nil"/>
            </w:tcBorders>
            <w:vAlign w:val="top"/>
          </w:tcPr>
          <w:p w14:paraId="76E80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firstLine="0" w:firstLineChars="0"/>
              <w:jc w:val="left"/>
              <w:textAlignment w:val="auto"/>
              <w:rPr>
                <w:rFonts w:hint="default"/>
                <w:b/>
                <w:bCs/>
                <w:color w:val="auto"/>
                <w:sz w:val="24"/>
                <w:szCs w:val="24"/>
                <w:highlight w:val="none"/>
                <w:lang w:val="en-US" w:eastAsia="zh-CN"/>
              </w:rPr>
            </w:pPr>
            <w:r>
              <w:rPr>
                <w:rFonts w:hint="eastAsia"/>
                <w:b/>
                <w:bCs/>
                <w:color w:val="auto"/>
                <w:sz w:val="24"/>
                <w:szCs w:val="24"/>
                <w:highlight w:val="none"/>
                <w:lang w:val="en-US" w:eastAsia="zh-CN"/>
              </w:rPr>
              <w:t>10.与《关于进一步加强建筑垃圾管理促进资源化利用的通知》（城管发[</w:t>
            </w:r>
            <w:r>
              <w:rPr>
                <w:rFonts w:hint="default"/>
                <w:b/>
                <w:bCs/>
                <w:color w:val="auto"/>
                <w:sz w:val="24"/>
                <w:szCs w:val="24"/>
                <w:highlight w:val="none"/>
                <w:lang w:val="en-US" w:eastAsia="zh-CN"/>
              </w:rPr>
              <w:t>2024]17</w:t>
            </w:r>
            <w:r>
              <w:rPr>
                <w:rFonts w:hint="eastAsia"/>
                <w:b/>
                <w:bCs/>
                <w:color w:val="auto"/>
                <w:sz w:val="24"/>
                <w:szCs w:val="24"/>
                <w:highlight w:val="none"/>
                <w:lang w:val="en-US" w:eastAsia="zh-CN"/>
              </w:rPr>
              <w:t>号）符合性分析</w:t>
            </w:r>
          </w:p>
          <w:p w14:paraId="06E3AF1A">
            <w:pPr>
              <w:rPr>
                <w:rFonts w:hint="default"/>
                <w:b w:val="0"/>
                <w:bCs w:val="0"/>
                <w:color w:val="auto"/>
                <w:sz w:val="24"/>
                <w:szCs w:val="24"/>
                <w:highlight w:val="none"/>
                <w:lang w:val="en-US" w:eastAsia="zh-CN"/>
              </w:rPr>
            </w:pPr>
            <w:r>
              <w:rPr>
                <w:rFonts w:hint="eastAsia"/>
                <w:b w:val="0"/>
                <w:bCs w:val="0"/>
                <w:color w:val="auto"/>
                <w:sz w:val="24"/>
                <w:szCs w:val="24"/>
                <w:highlight w:val="none"/>
                <w:lang w:val="en-US" w:eastAsia="zh-CN"/>
              </w:rPr>
              <w:t>根据《关于进一步加强建筑垃圾管理促进资源化利用的通知》（城管发[</w:t>
            </w:r>
            <w:r>
              <w:rPr>
                <w:rFonts w:hint="default"/>
                <w:b w:val="0"/>
                <w:bCs w:val="0"/>
                <w:color w:val="auto"/>
                <w:sz w:val="24"/>
                <w:szCs w:val="24"/>
                <w:highlight w:val="none"/>
                <w:lang w:val="en-US" w:eastAsia="zh-CN"/>
              </w:rPr>
              <w:t>2024]17</w:t>
            </w:r>
            <w:r>
              <w:rPr>
                <w:rFonts w:hint="eastAsia"/>
                <w:b w:val="0"/>
                <w:bCs w:val="0"/>
                <w:color w:val="auto"/>
                <w:sz w:val="24"/>
                <w:szCs w:val="24"/>
                <w:highlight w:val="none"/>
                <w:lang w:val="en-US" w:eastAsia="zh-CN"/>
              </w:rPr>
              <w:t>号）要求：“推进建筑垃圾资源化利用，加强堆砌地建设管理，开展存量建筑垃圾治理。”</w:t>
            </w:r>
          </w:p>
          <w:p w14:paraId="1BFC831F">
            <w:pPr>
              <w:rPr>
                <w:rFonts w:hint="eastAsia"/>
                <w:b/>
                <w:bCs/>
                <w:color w:val="auto"/>
                <w:sz w:val="24"/>
                <w:szCs w:val="24"/>
                <w:highlight w:val="none"/>
                <w:lang w:val="en-US" w:eastAsia="zh-CN"/>
              </w:rPr>
            </w:pPr>
            <w:r>
              <w:rPr>
                <w:rFonts w:hint="eastAsia"/>
                <w:b w:val="0"/>
                <w:bCs w:val="0"/>
                <w:color w:val="auto"/>
                <w:sz w:val="24"/>
                <w:szCs w:val="24"/>
                <w:highlight w:val="none"/>
                <w:lang w:val="en-US" w:eastAsia="zh-CN"/>
              </w:rPr>
              <w:t>本项目为建筑垃圾堆填（砌）项目，项目将建筑垃圾处置与废弃坑塘生态治理相结合，可实现对建筑垃圾的消纳和资源化利用，符合文件要求。</w:t>
            </w:r>
          </w:p>
          <w:p w14:paraId="1E4EA7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right="0" w:firstLine="0" w:firstLineChars="0"/>
              <w:jc w:val="left"/>
              <w:textAlignment w:val="auto"/>
              <w:rPr>
                <w:rFonts w:hint="default"/>
                <w:b/>
                <w:bCs/>
                <w:color w:val="auto"/>
                <w:sz w:val="24"/>
                <w:szCs w:val="24"/>
                <w:highlight w:val="none"/>
                <w:lang w:val="en-US"/>
              </w:rPr>
            </w:pPr>
            <w:r>
              <w:rPr>
                <w:rFonts w:hint="eastAsia"/>
                <w:b/>
                <w:bCs/>
                <w:color w:val="auto"/>
                <w:sz w:val="24"/>
                <w:szCs w:val="24"/>
                <w:highlight w:val="none"/>
                <w:lang w:val="en-US" w:eastAsia="zh-CN"/>
              </w:rPr>
              <w:t>11.</w:t>
            </w:r>
            <w:r>
              <w:rPr>
                <w:rFonts w:hint="eastAsia"/>
                <w:b/>
                <w:bCs/>
                <w:color w:val="auto"/>
                <w:sz w:val="24"/>
                <w:szCs w:val="24"/>
                <w:highlight w:val="none"/>
              </w:rPr>
              <w:t>与</w:t>
            </w:r>
            <w:r>
              <w:rPr>
                <w:rFonts w:hint="eastAsia"/>
                <w:b/>
                <w:bCs/>
                <w:color w:val="auto"/>
                <w:sz w:val="24"/>
                <w:szCs w:val="24"/>
                <w:highlight w:val="none"/>
                <w:lang w:val="en-US" w:eastAsia="zh-CN"/>
              </w:rPr>
              <w:t>《唐山市建筑垃圾处理设施专项规划（2022-2035）》符合性分析</w:t>
            </w:r>
          </w:p>
          <w:p w14:paraId="262A7816">
            <w:pPr>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根据《唐山市建筑垃圾处理设施专项规划（2022-2035）》：“建筑垃圾堆砌。结合唐山市现状建筑垃圾堆砌地空间布局，以及规划期需求预测，原则上城五区外其他县市区至少建设一处建筑垃圾堆砌地。规划在中心城区周边设置建筑垃圾堆砌地，满足中心城区建筑垃圾终端处置需求，全面提升建筑垃圾治理水平，助推无废城市建设。”</w:t>
            </w:r>
          </w:p>
          <w:p w14:paraId="24C9950C">
            <w:pPr>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本项目主要建设建筑垃圾堆填（砌）场，根据迁安市城市管理综合行政执法局《关于迁安市瑞承祥科技有限公司建筑垃圾堆砌地项目的函》，本项目为迁安市建筑垃圾堆砌地，符合《唐山市建筑垃圾处理设施专项规划（2022-2035）》。</w:t>
            </w:r>
          </w:p>
          <w:p w14:paraId="40731D88">
            <w:pPr>
              <w:ind w:left="0" w:leftChars="0" w:firstLine="0" w:firstLineChars="0"/>
              <w:rPr>
                <w:rFonts w:hint="default"/>
                <w:b/>
                <w:bCs/>
                <w:color w:val="auto"/>
                <w:sz w:val="24"/>
                <w:szCs w:val="24"/>
                <w:highlight w:val="none"/>
                <w:lang w:val="en-US" w:eastAsia="zh-CN"/>
              </w:rPr>
            </w:pPr>
            <w:r>
              <w:rPr>
                <w:rFonts w:hint="eastAsia"/>
                <w:b/>
                <w:bCs/>
                <w:color w:val="auto"/>
                <w:sz w:val="24"/>
                <w:szCs w:val="24"/>
                <w:highlight w:val="none"/>
                <w:lang w:val="en-US" w:eastAsia="zh-CN"/>
              </w:rPr>
              <w:t>12.与《唐山市环境卫生专项规划（2021-2035）》符合性分析</w:t>
            </w:r>
          </w:p>
          <w:p w14:paraId="7411FA3C">
            <w:pPr>
              <w:bidi w:val="0"/>
              <w:rPr>
                <w:rFonts w:hint="eastAsia"/>
                <w:color w:val="auto"/>
                <w:highlight w:val="none"/>
                <w:lang w:val="en-US" w:eastAsia="zh-CN"/>
              </w:rPr>
            </w:pPr>
            <w:r>
              <w:rPr>
                <w:rFonts w:hint="eastAsia"/>
                <w:color w:val="auto"/>
                <w:highlight w:val="none"/>
                <w:lang w:val="en-US" w:eastAsia="zh-CN"/>
              </w:rPr>
              <w:t>根据《唐山市环境卫生专项规划（2021-2035）》：“按照《关于加强全省建筑垃圾监管工作的指导意见》要求，设区市设置多个、各县至少建设一座建筑垃圾堆砌地。规划唐山市各县除国际旅游岛外至少建设一座，国际旅游岛建筑垃圾由海港代为处置。规划唐山市建设建筑垃圾堆砌地规模不小于1313亩，主要负责各县市区城区非资源化建筑垃圾堆砌，具体位置由各县市区政府协调决定。”</w:t>
            </w:r>
          </w:p>
          <w:p w14:paraId="611BBFE1">
            <w:pPr>
              <w:bidi w:val="0"/>
              <w:rPr>
                <w:rFonts w:hint="eastAsia"/>
                <w:color w:val="auto"/>
                <w:highlight w:val="none"/>
                <w:lang w:val="en-US" w:eastAsia="zh-CN"/>
              </w:rPr>
            </w:pPr>
            <w:r>
              <w:rPr>
                <w:rFonts w:hint="eastAsia"/>
                <w:color w:val="auto"/>
                <w:highlight w:val="none"/>
                <w:lang w:val="en-US" w:eastAsia="zh-CN"/>
              </w:rPr>
              <w:t>本项目主要建设建筑垃圾堆填（砌）场，根据迁安市城市管理综合行政执法局《关于迁安市瑞承祥科技有限公司建筑垃圾堆砌地项目的函》，本项目为迁安市建筑垃圾堆砌地，符合《唐山市环境卫生专项规划（2021-2035）》。</w:t>
            </w:r>
          </w:p>
          <w:p w14:paraId="30AD0E30">
            <w:pPr>
              <w:ind w:left="0" w:leftChars="0" w:firstLine="0" w:firstLineChars="0"/>
              <w:rPr>
                <w:rFonts w:hint="default"/>
                <w:b/>
                <w:bCs/>
                <w:color w:val="auto"/>
                <w:sz w:val="24"/>
                <w:szCs w:val="24"/>
                <w:highlight w:val="none"/>
                <w:lang w:val="en-US" w:eastAsia="zh-CN"/>
              </w:rPr>
            </w:pPr>
            <w:r>
              <w:rPr>
                <w:rFonts w:hint="eastAsia"/>
                <w:b/>
                <w:bCs/>
                <w:color w:val="auto"/>
                <w:sz w:val="24"/>
                <w:szCs w:val="24"/>
                <w:highlight w:val="none"/>
                <w:lang w:val="en-US" w:eastAsia="zh-CN"/>
              </w:rPr>
              <w:t>13.与《迁安市建筑垃圾污染环境防治工作规划（2025-2035）》符合性分析</w:t>
            </w:r>
          </w:p>
          <w:p w14:paraId="36F27C68">
            <w:pPr>
              <w:bidi w:val="0"/>
              <w:rPr>
                <w:rFonts w:hint="eastAsia"/>
                <w:color w:val="auto"/>
                <w:highlight w:val="none"/>
                <w:lang w:val="en-US" w:eastAsia="zh-CN"/>
              </w:rPr>
            </w:pPr>
            <w:r>
              <w:rPr>
                <w:rFonts w:hint="eastAsia"/>
                <w:color w:val="auto"/>
                <w:highlight w:val="none"/>
                <w:lang w:val="en-US" w:eastAsia="zh-CN"/>
              </w:rPr>
              <w:t>根据《迁安市建筑垃圾污染环境防治工作规划（2025-2035）》：“根据《建筑垃圾处理技术标准》（CJJ/T 134-2019），建筑垃圾应优先考虑资源化利用，工程渣土和工程泥浆（固化脱水后）处理及利用优先次序为：堆填、作为覆盖用土、转运调配暂存。工程渣土应根据土层、类别、特性确定用途，可用于工程回填、场地覆盖、园林绿化等。工程场地的表层耕植土优先用于园林绿化。工程回填为通过项目自身工程回填及其他源头减量措施，实现项目出土量减少；高地消纳为结合城镇连片可抬升区域，通过优化竖向消纳部分土方；土地复耕包括耕地恢复，推塘还耕等；山坳堆填包括矿坑修复等。规划迁安市工程渣土采用“工程回填、地坪抬升、土地复耕、转运暂存调配”等多种综合利用方式的处置模式。”</w:t>
            </w:r>
          </w:p>
          <w:p w14:paraId="45EDEDD2">
            <w:pPr>
              <w:bidi w:val="0"/>
              <w:rPr>
                <w:rFonts w:hint="eastAsia"/>
                <w:color w:val="auto"/>
                <w:highlight w:val="none"/>
                <w:lang w:val="en-US" w:eastAsia="zh-CN"/>
              </w:rPr>
            </w:pPr>
            <w:r>
              <w:rPr>
                <w:rFonts w:hint="eastAsia"/>
                <w:color w:val="auto"/>
                <w:highlight w:val="none"/>
                <w:lang w:val="en-US" w:eastAsia="zh-CN"/>
              </w:rPr>
              <w:t>本项目主要建设建筑垃圾堆填（砌）场，根据迁安市城市管理综合行政执法局《关于迁安市瑞承祥科技有限公司建筑垃圾堆砌地项目的函》，本项目为迁安市建筑垃圾堆砌地，主要消纳迁安市产生的建筑垃圾对废弃坑塘进行堆填（砌），将建筑垃圾处置与废弃坑塘生态治理相结合，封场覆盖经有关部门鉴定</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用于农业开发（养殖、种植、苗圃、园艺等），属于“地坪抬升、土地复耕”综合利用方式模式，符合《迁安市建筑垃圾污染环境防治工作规划（2025-2035）》。</w:t>
            </w:r>
          </w:p>
          <w:p w14:paraId="58BF9F1F">
            <w:pPr>
              <w:ind w:left="0" w:leftChars="0" w:firstLine="0" w:firstLineChars="0"/>
              <w:rPr>
                <w:rFonts w:hint="eastAsia"/>
                <w:b/>
                <w:bCs/>
                <w:color w:val="auto"/>
                <w:sz w:val="24"/>
                <w:szCs w:val="24"/>
                <w:highlight w:val="none"/>
                <w:lang w:val="en-US" w:eastAsia="zh-CN"/>
              </w:rPr>
            </w:pPr>
            <w:r>
              <w:rPr>
                <w:rFonts w:hint="eastAsia"/>
                <w:b/>
                <w:bCs/>
                <w:color w:val="auto"/>
                <w:sz w:val="24"/>
                <w:szCs w:val="24"/>
                <w:highlight w:val="none"/>
                <w:lang w:val="en-US" w:eastAsia="zh-CN"/>
              </w:rPr>
              <w:t>14.与《唐山市“十四五”时期“无废城市”建设实施方案》符合性分析</w:t>
            </w:r>
          </w:p>
          <w:p w14:paraId="47B32AF6">
            <w:pPr>
              <w:bidi w:val="0"/>
              <w:rPr>
                <w:rFonts w:hint="eastAsia"/>
                <w:color w:val="auto"/>
                <w:highlight w:val="none"/>
                <w:lang w:val="en-US" w:eastAsia="zh-CN"/>
              </w:rPr>
            </w:pPr>
            <w:r>
              <w:rPr>
                <w:rFonts w:hint="eastAsia"/>
                <w:color w:val="auto"/>
                <w:highlight w:val="none"/>
                <w:lang w:val="en-US" w:eastAsia="zh-CN"/>
              </w:rPr>
              <w:t>根据《唐山市“十四五”时期“无废城市”建设实施方案》要求：“加强全过程管理，推进建筑垃圾多维综合利用。推动建筑垃圾源头减量，完善建筑垃圾的收费体系。多措并举提高建筑垃圾资源化利用水平。加快制定出台唐山市建筑垃圾处理设施相关建设规划，统筹建筑垃圾处理设施建设。综合考虑建筑垃圾产生量、运输半径、环境保护等因素，合理布局建设规范化的建筑垃圾资源化利用处置厂，高标准推进建设和运营。到</w:t>
            </w:r>
            <w:r>
              <w:rPr>
                <w:rFonts w:hint="default"/>
                <w:color w:val="auto"/>
                <w:highlight w:val="none"/>
                <w:lang w:val="en-US" w:eastAsia="zh-CN"/>
              </w:rPr>
              <w:t>2025</w:t>
            </w:r>
            <w:r>
              <w:rPr>
                <w:rFonts w:hint="eastAsia"/>
                <w:color w:val="auto"/>
                <w:highlight w:val="none"/>
                <w:lang w:val="en-US" w:eastAsia="zh-CN"/>
              </w:rPr>
              <w:t>年底，建设</w:t>
            </w:r>
            <w:r>
              <w:rPr>
                <w:rFonts w:hint="default"/>
                <w:color w:val="auto"/>
                <w:highlight w:val="none"/>
                <w:lang w:val="en-US" w:eastAsia="zh-CN"/>
              </w:rPr>
              <w:t>1-2</w:t>
            </w:r>
            <w:r>
              <w:rPr>
                <w:rFonts w:hint="eastAsia"/>
                <w:color w:val="auto"/>
                <w:highlight w:val="none"/>
                <w:lang w:val="en-US" w:eastAsia="zh-CN"/>
              </w:rPr>
              <w:t>个建筑垃圾资源化利用示范县，建筑垃圾资源化利用率达到</w:t>
            </w:r>
            <w:r>
              <w:rPr>
                <w:rFonts w:hint="default"/>
                <w:color w:val="auto"/>
                <w:highlight w:val="none"/>
                <w:lang w:val="en-US" w:eastAsia="zh-CN"/>
              </w:rPr>
              <w:t>65%</w:t>
            </w:r>
            <w:r>
              <w:rPr>
                <w:rFonts w:hint="eastAsia"/>
                <w:color w:val="auto"/>
                <w:highlight w:val="none"/>
                <w:lang w:val="en-US" w:eastAsia="zh-CN"/>
              </w:rPr>
              <w:t>以上。实现建筑垃圾多渠道消纳，构建建筑垃圾管理和资源化利用体系，加强建筑垃圾污染环境的防治力度。”</w:t>
            </w:r>
          </w:p>
          <w:p w14:paraId="56C1A803">
            <w:pPr>
              <w:bidi w:val="0"/>
              <w:rPr>
                <w:rFonts w:hint="default"/>
                <w:color w:val="auto"/>
                <w:highlight w:val="none"/>
                <w:lang w:val="en-US" w:eastAsia="zh-CN"/>
              </w:rPr>
            </w:pPr>
            <w:r>
              <w:rPr>
                <w:rFonts w:hint="eastAsia"/>
                <w:color w:val="auto"/>
                <w:highlight w:val="none"/>
                <w:lang w:val="en-US" w:eastAsia="zh-CN"/>
              </w:rPr>
              <w:t>本项目消纳迁安市产生的建筑垃圾对废弃坑塘进行堆填（砌），将建筑垃圾处置与废弃坑塘生态治理相结合，实现了对建筑垃圾的综合利用，符合要求。</w:t>
            </w:r>
          </w:p>
          <w:p w14:paraId="2B017070">
            <w:pPr>
              <w:bidi w:val="0"/>
              <w:ind w:left="0" w:leftChars="0" w:firstLine="0" w:firstLineChars="0"/>
              <w:rPr>
                <w:rFonts w:hint="eastAsia" w:ascii="Times New Roman" w:hAnsi="Times New Roman" w:eastAsia="宋体" w:cs="Times New Roman"/>
                <w:b/>
                <w:bCs/>
                <w:color w:val="auto"/>
                <w:sz w:val="24"/>
                <w:szCs w:val="24"/>
                <w:highlight w:val="none"/>
                <w:lang w:val="en-US" w:eastAsia="zh-CN"/>
              </w:rPr>
            </w:pPr>
            <w:r>
              <w:rPr>
                <w:rFonts w:hint="eastAsia"/>
                <w:b/>
                <w:bCs/>
                <w:color w:val="auto"/>
                <w:highlight w:val="none"/>
                <w:vertAlign w:val="baseline"/>
                <w:lang w:val="en-US" w:eastAsia="zh-CN"/>
              </w:rPr>
              <w:t>15.</w:t>
            </w:r>
            <w:r>
              <w:rPr>
                <w:rFonts w:hint="eastAsia" w:ascii="Times New Roman" w:hAnsi="Times New Roman" w:eastAsia="宋体" w:cs="Times New Roman"/>
                <w:b/>
                <w:bCs/>
                <w:color w:val="auto"/>
                <w:sz w:val="24"/>
                <w:szCs w:val="24"/>
                <w:highlight w:val="none"/>
                <w:lang w:val="en-US" w:eastAsia="zh-CN"/>
              </w:rPr>
              <w:t>与《关于进一步做好沙区建设项目环境影响评价工作的通知》（冀环办字函[2023]326号）符合性分析</w:t>
            </w:r>
          </w:p>
          <w:p w14:paraId="507A8F8D">
            <w:pPr>
              <w:bidi w:val="0"/>
              <w:rPr>
                <w:rFonts w:hint="eastAsia"/>
                <w:color w:val="auto"/>
                <w:highlight w:val="none"/>
                <w:lang w:val="en-US" w:eastAsia="zh-CN"/>
              </w:rPr>
            </w:pPr>
            <w:r>
              <w:rPr>
                <w:rFonts w:hint="eastAsia"/>
                <w:color w:val="auto"/>
                <w:highlight w:val="none"/>
                <w:lang w:val="en-US" w:eastAsia="zh-CN"/>
              </w:rPr>
              <w:t>根据《关于进一步做好沙区建设项目环境影响评价工作的通知》（冀环办字函[2023]326号），唐山市沙区范围主要涉及丰南区、丰润区、古冶区、开平区、乐亭县、路北区、路南区、滦南县、滦州市、迁安市、曹妃甸，本项目位于迁安市，经对照沙区范围图，本项目不在沙区范围内，符合《关于进一步做好沙区建设项目环境影响评价工作的通知》（冀环办字函[2023]326号）要求。</w:t>
            </w:r>
          </w:p>
          <w:p w14:paraId="695F3A14">
            <w:pPr>
              <w:pStyle w:val="36"/>
              <w:pageBreakBefore w:val="0"/>
              <w:numPr>
                <w:ilvl w:val="0"/>
                <w:numId w:val="11"/>
              </w:numPr>
              <w:tabs>
                <w:tab w:val="left" w:pos="0"/>
              </w:tabs>
              <w:kinsoku/>
              <w:overflowPunct/>
              <w:topLinePunct w:val="0"/>
              <w:bidi w:val="0"/>
              <w:ind w:left="0" w:leftChars="0" w:firstLine="0" w:firstLineChars="0"/>
              <w:jc w:val="center"/>
              <w:textAlignment w:val="auto"/>
              <w:rPr>
                <w:rFonts w:hint="eastAsia"/>
                <w:color w:val="auto"/>
                <w:highlight w:val="none"/>
                <w:vertAlign w:val="baseline"/>
              </w:rPr>
            </w:pPr>
            <w:r>
              <w:rPr>
                <w:color w:val="auto"/>
                <w:highlight w:val="none"/>
              </w:rPr>
              <w:drawing>
                <wp:anchor distT="0" distB="0" distL="114300" distR="114300" simplePos="0" relativeHeight="251660288" behindDoc="0" locked="0" layoutInCell="1" allowOverlap="1">
                  <wp:simplePos x="0" y="0"/>
                  <wp:positionH relativeFrom="column">
                    <wp:posOffset>53975</wp:posOffset>
                  </wp:positionH>
                  <wp:positionV relativeFrom="paragraph">
                    <wp:posOffset>73660</wp:posOffset>
                  </wp:positionV>
                  <wp:extent cx="5311140" cy="4608195"/>
                  <wp:effectExtent l="0" t="0" r="3810" b="1905"/>
                  <wp:wrapTopAndBottom/>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12"/>
                          <a:stretch>
                            <a:fillRect/>
                          </a:stretch>
                        </pic:blipFill>
                        <pic:spPr>
                          <a:xfrm>
                            <a:off x="0" y="0"/>
                            <a:ext cx="5311140" cy="4608195"/>
                          </a:xfrm>
                          <a:prstGeom prst="rect">
                            <a:avLst/>
                          </a:prstGeom>
                          <a:noFill/>
                          <a:ln>
                            <a:noFill/>
                          </a:ln>
                        </pic:spPr>
                      </pic:pic>
                    </a:graphicData>
                  </a:graphic>
                </wp:anchor>
              </w:drawing>
            </w:r>
            <w:r>
              <w:rPr>
                <w:rStyle w:val="37"/>
                <w:rFonts w:hint="eastAsia"/>
                <w:b/>
                <w:color w:val="auto"/>
                <w:highlight w:val="none"/>
                <w:lang w:val="en-US" w:eastAsia="zh-CN"/>
              </w:rPr>
              <w:t>本项目与全省沙化土地位置关系图</w:t>
            </w:r>
          </w:p>
          <w:p w14:paraId="6D93DE4D">
            <w:pPr>
              <w:rPr>
                <w:rStyle w:val="37"/>
                <w:rFonts w:hint="eastAsia"/>
                <w:b/>
                <w:color w:val="auto"/>
                <w:highlight w:val="none"/>
                <w:lang w:val="en-US" w:eastAsia="zh-CN"/>
              </w:rPr>
            </w:pPr>
          </w:p>
          <w:p w14:paraId="0EA79CD6">
            <w:pPr>
              <w:pStyle w:val="28"/>
              <w:rPr>
                <w:rStyle w:val="37"/>
                <w:rFonts w:hint="eastAsia"/>
                <w:b/>
                <w:color w:val="auto"/>
                <w:highlight w:val="none"/>
                <w:lang w:val="en-US" w:eastAsia="zh-CN"/>
              </w:rPr>
            </w:pPr>
          </w:p>
          <w:p w14:paraId="1DCFB801">
            <w:pPr>
              <w:rPr>
                <w:rStyle w:val="37"/>
                <w:rFonts w:hint="eastAsia"/>
                <w:b/>
                <w:color w:val="auto"/>
                <w:highlight w:val="none"/>
                <w:lang w:val="en-US" w:eastAsia="zh-CN"/>
              </w:rPr>
            </w:pPr>
          </w:p>
          <w:p w14:paraId="7AC5D0B3">
            <w:pPr>
              <w:pStyle w:val="28"/>
              <w:rPr>
                <w:rStyle w:val="37"/>
                <w:rFonts w:hint="eastAsia"/>
                <w:b/>
                <w:color w:val="auto"/>
                <w:highlight w:val="none"/>
                <w:lang w:val="en-US" w:eastAsia="zh-CN"/>
              </w:rPr>
            </w:pPr>
          </w:p>
          <w:p w14:paraId="271B51CC">
            <w:pPr>
              <w:rPr>
                <w:rStyle w:val="37"/>
                <w:rFonts w:hint="eastAsia"/>
                <w:b/>
                <w:color w:val="auto"/>
                <w:highlight w:val="none"/>
                <w:lang w:val="en-US" w:eastAsia="zh-CN"/>
              </w:rPr>
            </w:pPr>
          </w:p>
          <w:p w14:paraId="67B28678">
            <w:pPr>
              <w:pStyle w:val="28"/>
              <w:rPr>
                <w:rStyle w:val="37"/>
                <w:rFonts w:hint="eastAsia"/>
                <w:b/>
                <w:color w:val="auto"/>
                <w:highlight w:val="none"/>
                <w:lang w:val="en-US" w:eastAsia="zh-CN"/>
              </w:rPr>
            </w:pPr>
          </w:p>
          <w:p w14:paraId="0AFD5324">
            <w:pPr>
              <w:rPr>
                <w:rFonts w:hint="eastAsia"/>
                <w:color w:val="auto"/>
                <w:highlight w:val="none"/>
                <w:lang w:val="en-US" w:eastAsia="zh-CN"/>
              </w:rPr>
            </w:pPr>
          </w:p>
          <w:p w14:paraId="61837F7D">
            <w:pPr>
              <w:ind w:left="0" w:leftChars="0" w:firstLine="0" w:firstLineChars="0"/>
              <w:rPr>
                <w:rFonts w:hint="eastAsia"/>
                <w:color w:val="auto"/>
                <w:highlight w:val="none"/>
              </w:rPr>
            </w:pPr>
          </w:p>
        </w:tc>
      </w:tr>
    </w:tbl>
    <w:p w14:paraId="17394608">
      <w:pPr>
        <w:pStyle w:val="2"/>
        <w:bidi w:val="0"/>
        <w:rPr>
          <w:rFonts w:hint="eastAsia"/>
          <w:color w:val="auto"/>
          <w:highlight w:val="none"/>
        </w:rPr>
        <w:sectPr>
          <w:pgSz w:w="11906" w:h="16838"/>
          <w:pgMar w:top="1440" w:right="1247" w:bottom="1440"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F589CEA">
      <w:pPr>
        <w:pStyle w:val="2"/>
        <w:bidi w:val="0"/>
        <w:rPr>
          <w:color w:val="auto"/>
          <w:highlight w:val="none"/>
        </w:rPr>
      </w:pPr>
      <w:r>
        <w:rPr>
          <w:rFonts w:hint="eastAsia"/>
          <w:color w:val="auto"/>
          <w:highlight w:val="none"/>
        </w:rPr>
        <w:t>二、建设项目工程分析</w:t>
      </w:r>
      <w:bookmarkEnd w:id="3"/>
    </w:p>
    <w:tbl>
      <w:tblPr>
        <w:tblStyle w:val="29"/>
        <w:tblW w:w="9075"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35"/>
        <w:gridCol w:w="8340"/>
      </w:tblGrid>
      <w:tr w14:paraId="118351A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735" w:type="dxa"/>
            <w:tcBorders>
              <w:tl2br w:val="nil"/>
              <w:tr2bl w:val="nil"/>
            </w:tcBorders>
            <w:noWrap w:val="0"/>
            <w:vAlign w:val="center"/>
          </w:tcPr>
          <w:p w14:paraId="275FB7E6">
            <w:pPr>
              <w:pStyle w:val="35"/>
              <w:bidi w:val="0"/>
              <w:rPr>
                <w:color w:val="auto"/>
                <w:sz w:val="24"/>
                <w:szCs w:val="24"/>
                <w:highlight w:val="none"/>
              </w:rPr>
            </w:pPr>
            <w:r>
              <w:rPr>
                <w:rFonts w:hint="eastAsia"/>
                <w:color w:val="auto"/>
                <w:sz w:val="24"/>
                <w:szCs w:val="24"/>
                <w:highlight w:val="none"/>
              </w:rPr>
              <w:t>建设内容</w:t>
            </w:r>
          </w:p>
        </w:tc>
        <w:tc>
          <w:tcPr>
            <w:tcW w:w="8340" w:type="dxa"/>
            <w:tcBorders>
              <w:tl2br w:val="nil"/>
              <w:tr2bl w:val="nil"/>
            </w:tcBorders>
            <w:noWrap w:val="0"/>
            <w:vAlign w:val="top"/>
          </w:tcPr>
          <w:p w14:paraId="0A68A095">
            <w:pPr>
              <w:keepNext w:val="0"/>
              <w:keepLines w:val="0"/>
              <w:pageBreakBefore w:val="0"/>
              <w:widowControl w:val="0"/>
              <w:numPr>
                <w:ilvl w:val="0"/>
                <w:numId w:val="0"/>
              </w:numPr>
              <w:suppressLineNumbers w:val="0"/>
              <w:tabs>
                <w:tab w:val="left" w:pos="0"/>
              </w:tabs>
              <w:kinsoku/>
              <w:wordWrap/>
              <w:overflowPunct/>
              <w:topLinePunct w:val="0"/>
              <w:autoSpaceDE w:val="0"/>
              <w:autoSpaceDN w:val="0"/>
              <w:bidi w:val="0"/>
              <w:adjustRightInd w:val="0"/>
              <w:snapToGrid/>
              <w:spacing w:beforeAutospacing="0" w:after="0" w:afterAutospacing="0" w:line="480" w:lineRule="exact"/>
              <w:ind w:leftChars="0" w:right="0" w:rightChars="0"/>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一、项目由来</w:t>
            </w:r>
          </w:p>
          <w:p w14:paraId="7862FC16">
            <w:pPr>
              <w:bidi w:val="0"/>
              <w:rPr>
                <w:rFonts w:hint="eastAsia"/>
                <w:color w:val="auto"/>
                <w:highlight w:val="none"/>
                <w:lang w:val="en-US" w:eastAsia="zh-CN"/>
              </w:rPr>
            </w:pPr>
            <w:r>
              <w:rPr>
                <w:rFonts w:hint="eastAsia"/>
                <w:color w:val="auto"/>
                <w:highlight w:val="none"/>
                <w:lang w:val="en-US" w:eastAsia="zh-CN"/>
              </w:rPr>
              <w:t>随着城市化进程的加速，城市建设规模不断扩大，产生的建筑垃圾量也呈现快速增长的趋势。根据《建筑垃圾处理技术标准》（CJJ/T134-2019），可利用符合条件的建筑垃圾替代部分土石方对现有低洼地块进行回填或堆高。在此背景下，建筑垃圾堆填场应运而生，利用建筑垃圾进行堆填、覆土，使建筑垃圾得到了合理处置，堆填后的土地覆土后用于绿化、工业用地等。因此，建设规范、高效、环保的建筑垃圾堆填场成为城市管理的必然选择。</w:t>
            </w:r>
          </w:p>
          <w:p w14:paraId="49F222CC">
            <w:pPr>
              <w:bidi w:val="0"/>
              <w:rPr>
                <w:rFonts w:hint="eastAsia"/>
                <w:color w:val="auto"/>
                <w:highlight w:val="none"/>
                <w:lang w:val="en-US" w:eastAsia="zh-CN"/>
              </w:rPr>
            </w:pPr>
            <w:r>
              <w:rPr>
                <w:rFonts w:hint="eastAsia"/>
                <w:color w:val="auto"/>
                <w:highlight w:val="none"/>
                <w:lang w:val="en-US" w:eastAsia="zh-CN"/>
              </w:rPr>
              <w:t>根据《唐山市环境卫生专项规划（2021-2035）》：“按照《关于加强全省建筑垃圾监管工作的指导意见》要求，设区市设置多个、各县至少建设一座建筑垃圾堆砌地。规划唐山市各县除国际旅游岛外至少建设一座，国际旅游岛建筑垃圾由海港代为处置。规划唐山市建设建筑垃圾堆砌地规模不小于1313亩，主要负责各县市区城区非资源化建筑垃圾堆砌，具体位置由各县市区政府协调决定。”</w:t>
            </w:r>
          </w:p>
          <w:p w14:paraId="72480B46">
            <w:pPr>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根据《唐山市建筑垃圾处理设施专项规划（2022-2035）》：“建筑垃圾堆砌。结合唐山市现状建筑垃圾堆砌地空间布局，以及规划期需求预测，原则上城五区外其他县市区至少建设一处建筑垃圾堆砌地。规划在中心城区周边设置建筑垃圾堆砌地，满足中心城区建筑垃圾终端处置需求，全面提升建筑垃圾治理水平，助推无废城市建设。”</w:t>
            </w:r>
          </w:p>
          <w:p w14:paraId="1D425890">
            <w:pPr>
              <w:bidi w:val="0"/>
              <w:rPr>
                <w:rFonts w:hint="eastAsia"/>
                <w:color w:val="auto"/>
                <w:highlight w:val="none"/>
                <w:lang w:val="en-US" w:eastAsia="zh-CN"/>
              </w:rPr>
            </w:pPr>
            <w:r>
              <w:rPr>
                <w:rFonts w:hint="eastAsia"/>
                <w:color w:val="auto"/>
                <w:highlight w:val="none"/>
                <w:lang w:val="en-US" w:eastAsia="zh-CN"/>
              </w:rPr>
              <w:t>根据《迁安市建筑垃圾污染环境防治工作规划（2025-2035）》：“根据《建筑垃圾处理技术标准》（CJJ/T 134-2019），建筑垃圾应优先考虑资源化利用，工程渣土和工程泥浆（固化脱水后）处理及利用优先次序为：堆填、作为覆盖用土、转运调配暂存。工程渣土应根据土层、类别、特性确定用途，可用于工程回填、场地覆盖、园林绿化等。工程场地的表层耕植土优先用于园林绿化。工程回填为通过项目自身工程回填及其他源头减量措施，实现项目出土量减少；高地消纳为结合城镇连片可抬升区域，通过优化竖向消纳部分土方；土地复耕包括耕地恢复，推塘还耕等；山坳堆填包括矿坑修复等。规划迁安市工程渣土采用“工程回填、地坪抬升、土地复耕、转运暂存调配”等多种综合利用方式的处置模式。”</w:t>
            </w:r>
          </w:p>
          <w:p w14:paraId="121738DF">
            <w:pPr>
              <w:bidi w:val="0"/>
              <w:rPr>
                <w:rFonts w:hint="eastAsia"/>
                <w:color w:val="auto"/>
                <w:highlight w:val="none"/>
                <w:lang w:val="en-US" w:eastAsia="zh-CN"/>
              </w:rPr>
            </w:pPr>
            <w:r>
              <w:rPr>
                <w:rFonts w:hint="eastAsia"/>
                <w:color w:val="auto"/>
                <w:highlight w:val="none"/>
                <w:lang w:val="en-US" w:eastAsia="zh-CN"/>
              </w:rPr>
              <w:t>基于上述背景，迁安市瑞承祥科技有限公司拟投资100万元建设建筑垃圾堆砌地项目，项目主要利用现有</w:t>
            </w:r>
            <w:r>
              <w:rPr>
                <w:rFonts w:hint="eastAsia"/>
                <w:color w:val="auto"/>
                <w:sz w:val="24"/>
                <w:szCs w:val="24"/>
                <w:highlight w:val="none"/>
                <w:lang w:val="en-US" w:eastAsia="zh-CN"/>
              </w:rPr>
              <w:t>废弃低洼坑塘</w:t>
            </w:r>
            <w:r>
              <w:rPr>
                <w:rFonts w:hint="eastAsia"/>
                <w:color w:val="auto"/>
                <w:highlight w:val="none"/>
                <w:lang w:val="en-US" w:eastAsia="zh-CN"/>
              </w:rPr>
              <w:t>进行建筑垃圾堆填（砌），</w:t>
            </w:r>
            <w:r>
              <w:rPr>
                <w:rFonts w:hint="eastAsia"/>
                <w:color w:val="auto"/>
                <w:sz w:val="24"/>
                <w:szCs w:val="24"/>
                <w:highlight w:val="none"/>
                <w:lang w:val="en-US" w:eastAsia="zh-CN"/>
              </w:rPr>
              <w:t>建筑垃圾堆填场设计库容19万m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，设计服务年限3年。</w:t>
            </w:r>
            <w:r>
              <w:rPr>
                <w:rFonts w:hint="eastAsia"/>
                <w:color w:val="auto"/>
                <w:highlight w:val="none"/>
                <w:lang w:val="en-US" w:eastAsia="zh-CN"/>
              </w:rPr>
              <w:t>建筑垃圾堆砌地项目已于2026年7月16日取得迁安市行政审批局出具的备案信息，备案编号：迁行审投资备字[2026]209号。</w:t>
            </w:r>
            <w:r>
              <w:rPr>
                <w:rFonts w:hint="eastAsia"/>
                <w:b w:val="0"/>
                <w:bCs w:val="0"/>
                <w:color w:val="auto"/>
                <w:sz w:val="24"/>
                <w:szCs w:val="24"/>
                <w:highlight w:val="none"/>
                <w:lang w:val="en-US" w:eastAsia="zh-CN"/>
              </w:rPr>
              <w:t>迁安市城市管理综合行政执法局已出具《关于迁安市瑞承祥科技有限公司建筑垃圾堆砌地项目的函》，本项目建成后为迁安市建筑垃圾堆砌地。</w:t>
            </w:r>
          </w:p>
          <w:p w14:paraId="7A6C7C70">
            <w:pPr>
              <w:bidi w:val="0"/>
              <w:rPr>
                <w:rFonts w:hint="eastAsia" w:eastAsia="宋体"/>
                <w:color w:val="auto"/>
                <w:sz w:val="24"/>
                <w:szCs w:val="24"/>
                <w:highlight w:val="none"/>
                <w:lang w:eastAsia="zh-CN"/>
              </w:rPr>
            </w:pPr>
            <w:r>
              <w:rPr>
                <w:rFonts w:hint="default"/>
                <w:color w:val="auto"/>
                <w:sz w:val="24"/>
                <w:szCs w:val="24"/>
                <w:highlight w:val="none"/>
                <w:lang w:eastAsia="zh-CN"/>
              </w:rPr>
              <w:t>根据《中华人民共和国生态环境法典》、《建设项目环境保护管理条例》（国务院令第682号令）的要求，</w:t>
            </w:r>
            <w:r>
              <w:rPr>
                <w:rFonts w:hint="eastAsia"/>
                <w:color w:val="auto"/>
                <w:highlight w:val="none"/>
                <w:lang w:val="en-US" w:eastAsia="zh-CN"/>
              </w:rPr>
              <w:t>以及</w:t>
            </w:r>
            <w:r>
              <w:rPr>
                <w:rFonts w:hint="default"/>
                <w:color w:val="auto"/>
                <w:highlight w:val="none"/>
                <w:lang w:eastAsia="zh-CN"/>
              </w:rPr>
              <w:t>《建设项目环境影响评价分类管理名录》（</w:t>
            </w:r>
            <w:r>
              <w:rPr>
                <w:rFonts w:hint="default"/>
                <w:color w:val="auto"/>
                <w:highlight w:val="none"/>
                <w:lang w:val="en-US" w:eastAsia="zh-CN"/>
              </w:rPr>
              <w:t>2021年版</w:t>
            </w:r>
            <w:r>
              <w:rPr>
                <w:rFonts w:hint="default"/>
                <w:color w:val="auto"/>
                <w:highlight w:val="none"/>
                <w:lang w:eastAsia="zh-CN"/>
              </w:rPr>
              <w:t>）（部令</w:t>
            </w:r>
            <w:r>
              <w:rPr>
                <w:rFonts w:hint="default"/>
                <w:color w:val="auto"/>
                <w:highlight w:val="none"/>
                <w:lang w:val="en-US" w:eastAsia="zh-CN"/>
              </w:rPr>
              <w:t>第</w:t>
            </w:r>
            <w:r>
              <w:rPr>
                <w:rFonts w:hint="default"/>
                <w:color w:val="auto"/>
                <w:highlight w:val="none"/>
                <w:lang w:eastAsia="zh-CN"/>
              </w:rPr>
              <w:t>16号）等环保法律法规的相关规定</w:t>
            </w:r>
            <w:r>
              <w:rPr>
                <w:rFonts w:hint="eastAsia"/>
                <w:color w:val="auto"/>
                <w:highlight w:val="none"/>
                <w:lang w:eastAsia="zh-CN"/>
              </w:rPr>
              <w:t>，</w:t>
            </w:r>
            <w:r>
              <w:rPr>
                <w:rFonts w:hint="eastAsia"/>
                <w:color w:val="auto"/>
                <w:highlight w:val="none"/>
                <w:lang w:val="en-US" w:eastAsia="zh-CN"/>
              </w:rPr>
              <w:t>本</w:t>
            </w:r>
            <w:r>
              <w:rPr>
                <w:rFonts w:hint="default"/>
                <w:color w:val="auto"/>
                <w:highlight w:val="none"/>
              </w:rPr>
              <w:t>项目属于</w:t>
            </w:r>
            <w:r>
              <w:rPr>
                <w:rFonts w:hint="eastAsia"/>
                <w:color w:val="auto"/>
                <w:highlight w:val="none"/>
              </w:rPr>
              <w:t>“</w:t>
            </w:r>
            <w:r>
              <w:rPr>
                <w:rFonts w:hint="eastAsia"/>
                <w:color w:val="auto"/>
                <w:highlight w:val="none"/>
                <w:lang w:val="en-US" w:eastAsia="zh-CN"/>
              </w:rPr>
              <w:t>四十七、生态保护和环境治理业-103.一般工业固体废物（含污水处理污泥）、建筑施工废弃物处置及综合利用-其他”之列，需</w:t>
            </w:r>
            <w:r>
              <w:rPr>
                <w:rFonts w:hint="default"/>
                <w:color w:val="auto"/>
                <w:highlight w:val="none"/>
              </w:rPr>
              <w:t>编制</w:t>
            </w:r>
            <w:r>
              <w:rPr>
                <w:rFonts w:hint="eastAsia"/>
                <w:color w:val="auto"/>
                <w:highlight w:val="none"/>
                <w:lang w:val="en-US" w:eastAsia="zh-CN"/>
              </w:rPr>
              <w:t>生态</w:t>
            </w:r>
            <w:r>
              <w:rPr>
                <w:rFonts w:hint="default"/>
                <w:color w:val="auto"/>
                <w:highlight w:val="none"/>
              </w:rPr>
              <w:t>环境影响报告表</w:t>
            </w:r>
            <w:r>
              <w:rPr>
                <w:rFonts w:hint="eastAsia"/>
                <w:color w:val="auto"/>
                <w:highlight w:val="none"/>
                <w:lang w:eastAsia="zh-CN"/>
              </w:rPr>
              <w:t>。</w:t>
            </w:r>
            <w:r>
              <w:rPr>
                <w:rFonts w:hint="eastAsia"/>
                <w:color w:val="auto"/>
                <w:highlight w:val="none"/>
                <w:lang w:val="en-US" w:eastAsia="zh-CN"/>
              </w:rPr>
              <w:t>迁安市瑞承祥科技有限公司</w:t>
            </w:r>
            <w:r>
              <w:rPr>
                <w:rFonts w:hint="default"/>
                <w:color w:val="auto"/>
                <w:highlight w:val="none"/>
              </w:rPr>
              <w:t>委托我公司承担该项目的</w:t>
            </w:r>
            <w:r>
              <w:rPr>
                <w:rFonts w:hint="eastAsia"/>
                <w:color w:val="auto"/>
                <w:highlight w:val="none"/>
                <w:lang w:val="en-US" w:eastAsia="zh-CN"/>
              </w:rPr>
              <w:t>生态</w:t>
            </w:r>
            <w:r>
              <w:rPr>
                <w:rFonts w:hint="default"/>
                <w:color w:val="auto"/>
                <w:highlight w:val="none"/>
              </w:rPr>
              <w:t>环境影响报告表的编制工作，接受委托后，我</w:t>
            </w:r>
            <w:r>
              <w:rPr>
                <w:rFonts w:hint="eastAsia"/>
                <w:color w:val="auto"/>
                <w:highlight w:val="none"/>
                <w:lang w:val="en-US" w:eastAsia="zh-CN"/>
              </w:rPr>
              <w:t>公司</w:t>
            </w:r>
            <w:r>
              <w:rPr>
                <w:rFonts w:hint="default"/>
                <w:color w:val="auto"/>
                <w:highlight w:val="none"/>
              </w:rPr>
              <w:t>立即开展了现场踏勘、资料收集等工作，</w:t>
            </w:r>
            <w:r>
              <w:rPr>
                <w:rFonts w:hint="eastAsia"/>
                <w:color w:val="auto"/>
                <w:highlight w:val="none"/>
                <w:lang w:val="en-US" w:eastAsia="zh-CN"/>
              </w:rPr>
              <w:t>并</w:t>
            </w:r>
            <w:r>
              <w:rPr>
                <w:rFonts w:hint="default"/>
                <w:color w:val="auto"/>
                <w:highlight w:val="none"/>
              </w:rPr>
              <w:t>根据国家、省、市有关环保政策、法规及</w:t>
            </w:r>
            <w:r>
              <w:rPr>
                <w:rFonts w:hint="eastAsia"/>
                <w:color w:val="auto"/>
                <w:sz w:val="24"/>
                <w:szCs w:val="24"/>
                <w:highlight w:val="none"/>
                <w:lang w:val="en-US" w:eastAsia="zh-CN"/>
              </w:rPr>
              <w:t>唐山市生态环境局迁安市分局、迁安市行政审批局</w:t>
            </w:r>
            <w:r>
              <w:rPr>
                <w:rFonts w:hint="default"/>
                <w:color w:val="auto"/>
                <w:highlight w:val="none"/>
              </w:rPr>
              <w:t>要求，从本项目及周边环境实际出发，分析项目建设与运营对环境的影响，</w:t>
            </w:r>
            <w:r>
              <w:rPr>
                <w:rFonts w:hint="eastAsia"/>
                <w:color w:val="auto"/>
                <w:highlight w:val="none"/>
                <w:lang w:val="en-US" w:eastAsia="zh-CN"/>
              </w:rPr>
              <w:t>编制完成了</w:t>
            </w:r>
            <w:r>
              <w:rPr>
                <w:rFonts w:hint="default"/>
                <w:color w:val="auto"/>
                <w:highlight w:val="none"/>
              </w:rPr>
              <w:t>本项目</w:t>
            </w:r>
            <w:r>
              <w:rPr>
                <w:rFonts w:hint="eastAsia"/>
                <w:color w:val="auto"/>
                <w:highlight w:val="none"/>
                <w:lang w:val="en-US" w:eastAsia="zh-CN"/>
              </w:rPr>
              <w:t>生态</w:t>
            </w:r>
            <w:r>
              <w:rPr>
                <w:rFonts w:hint="default"/>
                <w:color w:val="auto"/>
                <w:highlight w:val="none"/>
              </w:rPr>
              <w:t>环境影响报告表</w:t>
            </w:r>
            <w:r>
              <w:rPr>
                <w:rFonts w:hint="eastAsia"/>
                <w:color w:val="auto"/>
                <w:highlight w:val="none"/>
                <w:lang w:eastAsia="zh-CN"/>
              </w:rPr>
              <w:t>。</w:t>
            </w:r>
          </w:p>
          <w:p w14:paraId="3C82C9D7">
            <w:pPr>
              <w:numPr>
                <w:ilvl w:val="0"/>
                <w:numId w:val="0"/>
              </w:numPr>
              <w:bidi w:val="0"/>
              <w:rPr>
                <w:rFonts w:hint="default" w:ascii="Times New Roman" w:hAnsi="Times New Roman" w:cs="Times New Roman"/>
                <w:b/>
                <w:bCs/>
                <w:color w:val="auto"/>
                <w:sz w:val="24"/>
                <w:szCs w:val="24"/>
                <w:highlight w:val="none"/>
                <w:lang w:val="en-US" w:eastAsia="zh-CN"/>
              </w:rPr>
            </w:pPr>
            <w:r>
              <w:rPr>
                <w:rFonts w:hint="eastAsia"/>
                <w:b/>
                <w:bCs/>
                <w:color w:val="auto"/>
                <w:sz w:val="24"/>
                <w:szCs w:val="24"/>
                <w:highlight w:val="none"/>
                <w:lang w:val="en-US" w:eastAsia="zh-CN"/>
              </w:rPr>
              <w:t>二</w:t>
            </w:r>
            <w:r>
              <w:rPr>
                <w:rFonts w:hint="eastAsia"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本项目</w:t>
            </w:r>
            <w:r>
              <w:rPr>
                <w:rFonts w:hint="eastAsia" w:ascii="Times New Roman" w:hAnsi="Times New Roman" w:cs="Times New Roman"/>
                <w:b/>
                <w:bCs/>
                <w:color w:val="auto"/>
                <w:sz w:val="24"/>
                <w:szCs w:val="24"/>
                <w:highlight w:val="none"/>
                <w:lang w:val="en-US" w:eastAsia="zh-CN"/>
              </w:rPr>
              <w:t>工程概况</w:t>
            </w:r>
          </w:p>
          <w:p w14:paraId="25364DB2">
            <w:pPr>
              <w:bidi w:val="0"/>
              <w:rPr>
                <w:rFonts w:hint="default"/>
                <w:color w:val="auto"/>
                <w:highlight w:val="none"/>
              </w:rPr>
            </w:pPr>
            <w:r>
              <w:rPr>
                <w:rFonts w:hint="eastAsia"/>
                <w:color w:val="auto"/>
                <w:sz w:val="24"/>
                <w:szCs w:val="24"/>
                <w:highlight w:val="none"/>
                <w:lang w:val="en-US" w:eastAsia="zh-CN"/>
              </w:rPr>
              <w:t>1、</w:t>
            </w:r>
            <w:r>
              <w:rPr>
                <w:rFonts w:hint="default"/>
                <w:color w:val="auto"/>
                <w:highlight w:val="none"/>
              </w:rPr>
              <w:t>项目名称：</w:t>
            </w:r>
            <w:r>
              <w:rPr>
                <w:rFonts w:hint="eastAsia"/>
                <w:color w:val="auto"/>
                <w:highlight w:val="none"/>
                <w:lang w:val="en-US" w:eastAsia="zh-CN"/>
              </w:rPr>
              <w:t>建筑垃圾堆砌地项目</w:t>
            </w:r>
            <w:r>
              <w:rPr>
                <w:rFonts w:hint="default"/>
                <w:color w:val="auto"/>
                <w:highlight w:val="none"/>
              </w:rPr>
              <w:t>。</w:t>
            </w:r>
          </w:p>
          <w:p w14:paraId="76F56513">
            <w:pPr>
              <w:bidi w:val="0"/>
              <w:rPr>
                <w:rFonts w:hint="eastAsia"/>
                <w:color w:val="auto"/>
                <w:highlight w:val="none"/>
                <w:lang w:val="en-US" w:eastAsia="zh-CN"/>
              </w:rPr>
            </w:pPr>
            <w:r>
              <w:rPr>
                <w:rFonts w:hint="eastAsia"/>
                <w:color w:val="auto"/>
                <w:highlight w:val="none"/>
                <w:lang w:val="en-US" w:eastAsia="zh-CN"/>
              </w:rPr>
              <w:t>2、建设单位：迁安市瑞承祥科技有限公司。</w:t>
            </w:r>
          </w:p>
          <w:p w14:paraId="2AA33AF4">
            <w:pPr>
              <w:bidi w:val="0"/>
              <w:rPr>
                <w:rFonts w:hint="eastAsia"/>
                <w:color w:val="auto"/>
                <w:highlight w:val="none"/>
                <w:lang w:val="en-US" w:eastAsia="zh-CN"/>
              </w:rPr>
            </w:pPr>
            <w:r>
              <w:rPr>
                <w:rFonts w:hint="eastAsia"/>
                <w:color w:val="auto"/>
                <w:highlight w:val="none"/>
                <w:lang w:val="en-US" w:eastAsia="zh-CN"/>
              </w:rPr>
              <w:t>3、建设性质：新建。</w:t>
            </w:r>
          </w:p>
          <w:p w14:paraId="2585854A">
            <w:pPr>
              <w:bidi w:val="0"/>
              <w:rPr>
                <w:rFonts w:hint="eastAsia"/>
                <w:color w:val="auto"/>
                <w:sz w:val="24"/>
                <w:szCs w:val="24"/>
                <w:highlight w:val="none"/>
                <w:lang w:val="en-US" w:eastAsia="zh-CN"/>
              </w:rPr>
            </w:pPr>
            <w:r>
              <w:rPr>
                <w:rFonts w:hint="eastAsia"/>
                <w:color w:val="auto"/>
                <w:highlight w:val="none"/>
                <w:lang w:val="en-US" w:eastAsia="zh-CN"/>
              </w:rPr>
              <w:t>4、建设地点：</w:t>
            </w:r>
            <w:r>
              <w:rPr>
                <w:rFonts w:hint="eastAsia"/>
                <w:color w:val="auto"/>
                <w:sz w:val="24"/>
                <w:szCs w:val="24"/>
                <w:highlight w:val="none"/>
                <w:lang w:val="en-US" w:eastAsia="zh-CN"/>
              </w:rPr>
              <w:t>迁安市夏官营镇罗庄子村西南，</w:t>
            </w:r>
            <w:r>
              <w:rPr>
                <w:rFonts w:hint="default"/>
                <w:color w:val="auto"/>
                <w:sz w:val="24"/>
                <w:szCs w:val="24"/>
                <w:highlight w:val="none"/>
              </w:rPr>
              <w:t>用地中心坐标为</w:t>
            </w:r>
            <w:r>
              <w:rPr>
                <w:rFonts w:hint="default" w:ascii="Times New Roman" w:hAnsi="Times New Roman" w:cs="Times New Roman"/>
                <w:color w:val="auto"/>
                <w:sz w:val="24"/>
                <w:szCs w:val="24"/>
                <w:highlight w:val="none"/>
                <w:lang w:val="en-US" w:eastAsia="zh-CN"/>
              </w:rPr>
              <w:t>东经：11</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47</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26.03</w:t>
            </w:r>
            <w:r>
              <w:rPr>
                <w:rFonts w:hint="default" w:ascii="Times New Roman" w:hAnsi="Times New Roman" w:cs="Times New Roman"/>
                <w:color w:val="auto"/>
                <w:sz w:val="24"/>
                <w:szCs w:val="24"/>
                <w:highlight w:val="none"/>
                <w:lang w:val="en-US" w:eastAsia="zh-CN"/>
              </w:rPr>
              <w:t>2"；北纬：39°</w:t>
            </w:r>
            <w:r>
              <w:rPr>
                <w:rFonts w:hint="eastAsia" w:cs="Times New Roman"/>
                <w:color w:val="auto"/>
                <w:sz w:val="24"/>
                <w:szCs w:val="24"/>
                <w:highlight w:val="none"/>
                <w:lang w:val="en-US" w:eastAsia="zh-CN"/>
              </w:rPr>
              <w:t>56</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44.491</w:t>
            </w:r>
            <w:r>
              <w:rPr>
                <w:rFonts w:hint="default" w:ascii="Times New Roman" w:hAnsi="Times New Roman" w:cs="Times New Roman"/>
                <w:color w:val="auto"/>
                <w:sz w:val="24"/>
                <w:szCs w:val="24"/>
                <w:highlight w:val="none"/>
                <w:lang w:val="en-US" w:eastAsia="zh-CN"/>
              </w:rPr>
              <w:t>"</w:t>
            </w:r>
            <w:r>
              <w:rPr>
                <w:rFonts w:hint="eastAsia"/>
                <w:color w:val="auto"/>
                <w:sz w:val="24"/>
                <w:szCs w:val="24"/>
                <w:highlight w:val="none"/>
                <w:lang w:val="en-US" w:eastAsia="zh-CN"/>
              </w:rPr>
              <w:t>。</w:t>
            </w:r>
          </w:p>
          <w:p w14:paraId="479B048F">
            <w:pPr>
              <w:bidi w:val="0"/>
              <w:rPr>
                <w:rFonts w:hint="default"/>
                <w:color w:val="auto"/>
                <w:sz w:val="24"/>
                <w:szCs w:val="24"/>
                <w:highlight w:val="none"/>
                <w:lang w:val="en-US" w:eastAsia="zh-CN"/>
              </w:rPr>
            </w:pPr>
            <w:r>
              <w:rPr>
                <w:rFonts w:hint="eastAsia"/>
                <w:color w:val="auto"/>
                <w:sz w:val="24"/>
                <w:szCs w:val="24"/>
                <w:highlight w:val="none"/>
                <w:lang w:val="en-US" w:eastAsia="zh-CN"/>
              </w:rPr>
              <w:t>5、项目占地：项目占地面积为6326m</w:t>
            </w:r>
            <w:r>
              <w:rPr>
                <w:rFonts w:hint="eastAsia"/>
                <w:color w:val="auto"/>
                <w:sz w:val="24"/>
                <w:szCs w:val="24"/>
                <w:highlight w:val="none"/>
                <w:vertAlign w:val="superscript"/>
                <w:lang w:val="en-US" w:eastAsia="zh-CN"/>
              </w:rPr>
              <w:t>2</w:t>
            </w:r>
            <w:r>
              <w:rPr>
                <w:rFonts w:hint="eastAsia"/>
                <w:color w:val="auto"/>
                <w:sz w:val="24"/>
                <w:szCs w:val="24"/>
                <w:highlight w:val="none"/>
                <w:lang w:val="en-US" w:eastAsia="zh-CN"/>
              </w:rPr>
              <w:t>。</w:t>
            </w:r>
          </w:p>
          <w:p w14:paraId="5955E29A">
            <w:pPr>
              <w:bidi w:val="0"/>
              <w:rPr>
                <w:rFonts w:hint="default"/>
                <w:color w:val="auto"/>
                <w:sz w:val="24"/>
                <w:szCs w:val="24"/>
                <w:highlight w:val="none"/>
                <w:lang w:val="en-US" w:eastAsia="zh-CN"/>
              </w:rPr>
            </w:pPr>
            <w:r>
              <w:rPr>
                <w:rFonts w:hint="eastAsia"/>
                <w:color w:val="auto"/>
                <w:sz w:val="24"/>
                <w:szCs w:val="24"/>
                <w:highlight w:val="none"/>
                <w:lang w:val="en-US" w:eastAsia="zh-CN"/>
              </w:rPr>
              <w:t>6、项目组成：本项目新建一座办公用房，新建洗车平台及厂区道路</w:t>
            </w:r>
            <w:r>
              <w:rPr>
                <w:rFonts w:hint="default"/>
                <w:color w:val="auto"/>
                <w:sz w:val="24"/>
                <w:szCs w:val="24"/>
                <w:highlight w:val="none"/>
              </w:rPr>
              <w:t>。采用碎石导流层方法建设地下水导排系统</w:t>
            </w:r>
            <w:r>
              <w:rPr>
                <w:rFonts w:hint="eastAsia"/>
                <w:color w:val="auto"/>
                <w:sz w:val="24"/>
                <w:szCs w:val="24"/>
                <w:highlight w:val="none"/>
                <w:lang w:eastAsia="zh-CN"/>
              </w:rPr>
              <w:t>，</w:t>
            </w:r>
            <w:r>
              <w:rPr>
                <w:rFonts w:hint="default"/>
                <w:color w:val="auto"/>
                <w:sz w:val="24"/>
                <w:szCs w:val="24"/>
                <w:highlight w:val="none"/>
              </w:rPr>
              <w:t>采用设置防洪沟、明渠及排放管方式建设雨水收集导排系统。</w:t>
            </w:r>
            <w:r>
              <w:rPr>
                <w:rFonts w:hint="eastAsia"/>
                <w:color w:val="auto"/>
                <w:sz w:val="24"/>
                <w:szCs w:val="24"/>
                <w:highlight w:val="none"/>
                <w:lang w:val="en-US" w:eastAsia="zh-CN"/>
              </w:rPr>
              <w:t>本项目</w:t>
            </w:r>
            <w:r>
              <w:rPr>
                <w:rFonts w:hint="default"/>
                <w:color w:val="auto"/>
                <w:sz w:val="24"/>
                <w:szCs w:val="24"/>
                <w:highlight w:val="none"/>
              </w:rPr>
              <w:t>主要建构筑物情况见表</w:t>
            </w:r>
            <w:r>
              <w:rPr>
                <w:rFonts w:hint="eastAsia"/>
                <w:color w:val="auto"/>
                <w:sz w:val="24"/>
                <w:szCs w:val="24"/>
                <w:highlight w:val="none"/>
                <w:lang w:val="en-US" w:eastAsia="zh-CN"/>
              </w:rPr>
              <w:t>2-1</w:t>
            </w:r>
            <w:r>
              <w:rPr>
                <w:rFonts w:hint="default"/>
                <w:color w:val="auto"/>
                <w:sz w:val="24"/>
                <w:szCs w:val="24"/>
                <w:highlight w:val="none"/>
              </w:rPr>
              <w:t>，</w:t>
            </w:r>
            <w:r>
              <w:rPr>
                <w:rFonts w:hint="eastAsia"/>
                <w:color w:val="auto"/>
                <w:sz w:val="24"/>
                <w:szCs w:val="24"/>
                <w:highlight w:val="none"/>
                <w:lang w:val="en-US" w:eastAsia="zh-CN"/>
              </w:rPr>
              <w:t>主要</w:t>
            </w:r>
            <w:r>
              <w:rPr>
                <w:rFonts w:hint="default"/>
                <w:color w:val="auto"/>
                <w:sz w:val="24"/>
                <w:szCs w:val="24"/>
                <w:highlight w:val="none"/>
              </w:rPr>
              <w:t>建设内容见表</w:t>
            </w:r>
            <w:r>
              <w:rPr>
                <w:rFonts w:hint="eastAsia"/>
                <w:color w:val="auto"/>
                <w:sz w:val="24"/>
                <w:szCs w:val="24"/>
                <w:highlight w:val="none"/>
                <w:lang w:val="en-US" w:eastAsia="zh-CN"/>
              </w:rPr>
              <w:t>2-2。</w:t>
            </w:r>
          </w:p>
          <w:p w14:paraId="5758F120">
            <w:pPr>
              <w:pStyle w:val="36"/>
              <w:numPr>
                <w:ilvl w:val="0"/>
                <w:numId w:val="12"/>
              </w:numPr>
              <w:bidi w:val="0"/>
              <w:ind w:left="0" w:leftChars="0" w:firstLine="0" w:firstLineChars="0"/>
              <w:rPr>
                <w:rFonts w:hint="default" w:ascii="Times New Roman" w:hAnsi="Times New Roman" w:eastAsia="宋体" w:cs="Times New Roman"/>
                <w:b/>
                <w:bCs/>
                <w:color w:val="auto"/>
                <w:szCs w:val="21"/>
                <w:highlight w:val="none"/>
              </w:rPr>
            </w:pPr>
            <w:r>
              <w:rPr>
                <w:rFonts w:hint="eastAsia"/>
                <w:color w:val="auto"/>
                <w:highlight w:val="none"/>
                <w:lang w:val="en-US" w:eastAsia="zh-CN"/>
              </w:rPr>
              <w:t>本项目</w:t>
            </w:r>
            <w:r>
              <w:rPr>
                <w:rFonts w:hint="default"/>
                <w:color w:val="auto"/>
                <w:highlight w:val="none"/>
              </w:rPr>
              <w:t>主要建构筑物一览表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366"/>
              <w:gridCol w:w="1587"/>
              <w:gridCol w:w="1539"/>
              <w:gridCol w:w="2828"/>
            </w:tblGrid>
            <w:tr w14:paraId="36EA1E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87" w:type="dxa"/>
                  <w:tcBorders>
                    <w:tl2br w:val="nil"/>
                    <w:tr2bl w:val="nil"/>
                  </w:tcBorders>
                  <w:vAlign w:val="center"/>
                </w:tcPr>
                <w:p w14:paraId="4C717C76">
                  <w:pPr>
                    <w:pStyle w:val="35"/>
                    <w:keepNext w:val="0"/>
                    <w:keepLines w:val="0"/>
                    <w:pageBreakBefore w:val="0"/>
                    <w:widowControl w:val="0"/>
                    <w:kinsoku/>
                    <w:wordWrap/>
                    <w:overflowPunct/>
                    <w:topLinePunct w:val="0"/>
                    <w:autoSpaceDE/>
                    <w:autoSpaceDN/>
                    <w:bidi w:val="0"/>
                    <w:adjustRightInd/>
                    <w:snapToGrid w:val="0"/>
                    <w:spacing w:before="0" w:after="0"/>
                    <w:rPr>
                      <w:rFonts w:hint="default"/>
                      <w:color w:val="auto"/>
                      <w:sz w:val="21"/>
                      <w:szCs w:val="21"/>
                      <w:highlight w:val="none"/>
                      <w:lang w:val="en-US" w:eastAsia="zh-CN"/>
                    </w:rPr>
                  </w:pPr>
                  <w:r>
                    <w:rPr>
                      <w:rFonts w:hint="eastAsia"/>
                      <w:color w:val="auto"/>
                      <w:sz w:val="21"/>
                      <w:szCs w:val="21"/>
                      <w:highlight w:val="none"/>
                      <w:lang w:val="en-US" w:eastAsia="zh-CN"/>
                    </w:rPr>
                    <w:t>序号</w:t>
                  </w:r>
                </w:p>
              </w:tc>
              <w:tc>
                <w:tcPr>
                  <w:tcW w:w="1366" w:type="dxa"/>
                  <w:tcBorders>
                    <w:tl2br w:val="nil"/>
                    <w:tr2bl w:val="nil"/>
                  </w:tcBorders>
                  <w:vAlign w:val="center"/>
                </w:tcPr>
                <w:p w14:paraId="05BCA2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eastAsia="zh-CN"/>
                    </w:rPr>
                  </w:pPr>
                  <w:r>
                    <w:rPr>
                      <w:rFonts w:hint="eastAsia" w:cs="Times New Roman"/>
                      <w:color w:val="auto"/>
                      <w:sz w:val="21"/>
                      <w:szCs w:val="21"/>
                      <w:highlight w:val="none"/>
                      <w:lang w:val="en-US" w:eastAsia="zh-CN"/>
                    </w:rPr>
                    <w:t>名称</w:t>
                  </w:r>
                </w:p>
              </w:tc>
              <w:tc>
                <w:tcPr>
                  <w:tcW w:w="1587" w:type="dxa"/>
                  <w:tcBorders>
                    <w:tl2br w:val="nil"/>
                    <w:tr2bl w:val="nil"/>
                  </w:tcBorders>
                  <w:vAlign w:val="center"/>
                </w:tcPr>
                <w:p w14:paraId="2A65820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占地</w:t>
                  </w:r>
                  <w:r>
                    <w:rPr>
                      <w:rFonts w:hint="default" w:ascii="Times New Roman" w:hAnsi="Times New Roman" w:eastAsia="宋体" w:cs="Times New Roman"/>
                      <w:color w:val="auto"/>
                      <w:sz w:val="21"/>
                      <w:szCs w:val="21"/>
                      <w:highlight w:val="none"/>
                    </w:rPr>
                    <w:t>面积（m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1539" w:type="dxa"/>
                  <w:tcBorders>
                    <w:tl2br w:val="nil"/>
                    <w:tr2bl w:val="nil"/>
                  </w:tcBorders>
                  <w:vAlign w:val="center"/>
                </w:tcPr>
                <w:p w14:paraId="52E61B9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建筑面积</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2</w:t>
                  </w:r>
                  <w:r>
                    <w:rPr>
                      <w:rFonts w:hint="default" w:ascii="Times New Roman" w:hAnsi="Times New Roman" w:eastAsia="宋体" w:cs="Times New Roman"/>
                      <w:color w:val="auto"/>
                      <w:sz w:val="21"/>
                      <w:szCs w:val="21"/>
                      <w:highlight w:val="none"/>
                    </w:rPr>
                    <w:t>）</w:t>
                  </w:r>
                </w:p>
              </w:tc>
              <w:tc>
                <w:tcPr>
                  <w:tcW w:w="2828" w:type="dxa"/>
                  <w:tcBorders>
                    <w:tl2br w:val="nil"/>
                    <w:tr2bl w:val="nil"/>
                  </w:tcBorders>
                  <w:vAlign w:val="center"/>
                </w:tcPr>
                <w:p w14:paraId="043FD06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备注</w:t>
                  </w:r>
                </w:p>
              </w:tc>
            </w:tr>
            <w:tr w14:paraId="67DF3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87" w:type="dxa"/>
                  <w:tcBorders>
                    <w:tl2br w:val="nil"/>
                    <w:tr2bl w:val="nil"/>
                  </w:tcBorders>
                  <w:vAlign w:val="center"/>
                </w:tcPr>
                <w:p w14:paraId="3230D105">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b w:val="0"/>
                      <w:bCs w:val="0"/>
                      <w:color w:val="auto"/>
                      <w:sz w:val="21"/>
                      <w:szCs w:val="21"/>
                      <w:highlight w:val="none"/>
                      <w:lang w:eastAsia="zh-CN"/>
                    </w:rPr>
                  </w:pPr>
                </w:p>
              </w:tc>
              <w:tc>
                <w:tcPr>
                  <w:tcW w:w="1366" w:type="dxa"/>
                  <w:tcBorders>
                    <w:tl2br w:val="nil"/>
                    <w:tr2bl w:val="nil"/>
                  </w:tcBorders>
                  <w:vAlign w:val="center"/>
                </w:tcPr>
                <w:p w14:paraId="5F99BA9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办公用房</w:t>
                  </w:r>
                </w:p>
              </w:tc>
              <w:tc>
                <w:tcPr>
                  <w:tcW w:w="1587" w:type="dxa"/>
                  <w:tcBorders>
                    <w:tl2br w:val="nil"/>
                    <w:tr2bl w:val="nil"/>
                  </w:tcBorders>
                  <w:vAlign w:val="center"/>
                </w:tcPr>
                <w:p w14:paraId="13E15CC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50</w:t>
                  </w:r>
                </w:p>
              </w:tc>
              <w:tc>
                <w:tcPr>
                  <w:tcW w:w="1539" w:type="dxa"/>
                  <w:tcBorders>
                    <w:tl2br w:val="nil"/>
                    <w:tr2bl w:val="nil"/>
                  </w:tcBorders>
                  <w:vAlign w:val="center"/>
                </w:tcPr>
                <w:p w14:paraId="19E9C63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50</w:t>
                  </w:r>
                </w:p>
              </w:tc>
              <w:tc>
                <w:tcPr>
                  <w:tcW w:w="2828" w:type="dxa"/>
                  <w:tcBorders>
                    <w:tl2br w:val="nil"/>
                    <w:tr2bl w:val="nil"/>
                  </w:tcBorders>
                  <w:vAlign w:val="center"/>
                </w:tcPr>
                <w:p w14:paraId="2AB4CA6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一层，彩钢结构，高3.5m</w:t>
                  </w:r>
                </w:p>
              </w:tc>
            </w:tr>
            <w:tr w14:paraId="1DF99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787" w:type="dxa"/>
                  <w:tcBorders>
                    <w:tl2br w:val="nil"/>
                    <w:tr2bl w:val="nil"/>
                  </w:tcBorders>
                  <w:vAlign w:val="center"/>
                </w:tcPr>
                <w:p w14:paraId="573B6E1E">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195921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洗车平台</w:t>
                  </w:r>
                </w:p>
              </w:tc>
              <w:tc>
                <w:tcPr>
                  <w:tcW w:w="1587" w:type="dxa"/>
                  <w:tcBorders>
                    <w:tl2br w:val="nil"/>
                    <w:tr2bl w:val="nil"/>
                  </w:tcBorders>
                  <w:vAlign w:val="center"/>
                </w:tcPr>
                <w:p w14:paraId="1B27A85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15</w:t>
                  </w:r>
                </w:p>
              </w:tc>
              <w:tc>
                <w:tcPr>
                  <w:tcW w:w="1539" w:type="dxa"/>
                  <w:tcBorders>
                    <w:tl2br w:val="nil"/>
                    <w:tr2bl w:val="nil"/>
                  </w:tcBorders>
                  <w:vAlign w:val="center"/>
                </w:tcPr>
                <w:p w14:paraId="0617DB1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7A26B8B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设2个沉淀池，1个清水池（单个池体2m</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2m</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1m），地下式抗渗混凝土结构</w:t>
                  </w:r>
                </w:p>
              </w:tc>
            </w:tr>
            <w:tr w14:paraId="5DAD70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787" w:type="dxa"/>
                  <w:tcBorders>
                    <w:tl2br w:val="nil"/>
                    <w:tr2bl w:val="nil"/>
                  </w:tcBorders>
                  <w:vAlign w:val="center"/>
                </w:tcPr>
                <w:p w14:paraId="6A95EA42">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7E540A4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废弃低洼坑塘</w:t>
                  </w:r>
                </w:p>
              </w:tc>
              <w:tc>
                <w:tcPr>
                  <w:tcW w:w="1587" w:type="dxa"/>
                  <w:tcBorders>
                    <w:tl2br w:val="nil"/>
                    <w:tr2bl w:val="nil"/>
                  </w:tcBorders>
                  <w:vAlign w:val="center"/>
                </w:tcPr>
                <w:p w14:paraId="6A1E406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5876</w:t>
                  </w:r>
                </w:p>
              </w:tc>
              <w:tc>
                <w:tcPr>
                  <w:tcW w:w="1539" w:type="dxa"/>
                  <w:tcBorders>
                    <w:tl2br w:val="nil"/>
                    <w:tr2bl w:val="nil"/>
                  </w:tcBorders>
                  <w:vAlign w:val="center"/>
                </w:tcPr>
                <w:p w14:paraId="329BE54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04F6FC5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现有废弃低洼坑塘闲置地，现状坑塘内部无积水</w:t>
                  </w:r>
                </w:p>
              </w:tc>
            </w:tr>
            <w:tr w14:paraId="13EF80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787" w:type="dxa"/>
                  <w:tcBorders>
                    <w:tl2br w:val="nil"/>
                    <w:tr2bl w:val="nil"/>
                  </w:tcBorders>
                  <w:vAlign w:val="center"/>
                </w:tcPr>
                <w:p w14:paraId="182B1929">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073E78E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淋溶水沉淀池</w:t>
                  </w:r>
                </w:p>
              </w:tc>
              <w:tc>
                <w:tcPr>
                  <w:tcW w:w="1587" w:type="dxa"/>
                  <w:tcBorders>
                    <w:tl2br w:val="nil"/>
                    <w:tr2bl w:val="nil"/>
                  </w:tcBorders>
                  <w:vAlign w:val="center"/>
                </w:tcPr>
                <w:p w14:paraId="49C9B39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100</w:t>
                  </w:r>
                </w:p>
              </w:tc>
              <w:tc>
                <w:tcPr>
                  <w:tcW w:w="1539" w:type="dxa"/>
                  <w:tcBorders>
                    <w:tl2br w:val="nil"/>
                    <w:tr2bl w:val="nil"/>
                  </w:tcBorders>
                  <w:vAlign w:val="center"/>
                </w:tcPr>
                <w:p w14:paraId="2285D01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1142FB8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vertAlign w:val="baseline"/>
                      <w:lang w:val="en-US" w:eastAsia="zh-CN"/>
                    </w:rPr>
                  </w:pPr>
                  <w:r>
                    <w:rPr>
                      <w:rFonts w:hint="eastAsia"/>
                      <w:color w:val="auto"/>
                      <w:sz w:val="21"/>
                      <w:szCs w:val="21"/>
                      <w:highlight w:val="none"/>
                      <w:lang w:val="en-US" w:eastAsia="zh-CN"/>
                    </w:rPr>
                    <w:t>1座，地下设置，规格尺寸为20m</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3m，</w:t>
                  </w:r>
                  <w:r>
                    <w:rPr>
                      <w:rFonts w:hint="eastAsia"/>
                      <w:color w:val="auto"/>
                      <w:sz w:val="21"/>
                      <w:szCs w:val="21"/>
                      <w:highlight w:val="none"/>
                      <w:lang w:val="en-US" w:eastAsia="zh-CN"/>
                    </w:rPr>
                    <w:t>总容积：300m</w:t>
                  </w:r>
                  <w:r>
                    <w:rPr>
                      <w:rFonts w:hint="eastAsia"/>
                      <w:color w:val="auto"/>
                      <w:sz w:val="21"/>
                      <w:szCs w:val="21"/>
                      <w:highlight w:val="none"/>
                      <w:vertAlign w:val="superscript"/>
                      <w:lang w:val="en-US" w:eastAsia="zh-CN"/>
                    </w:rPr>
                    <w:t>3</w:t>
                  </w:r>
                  <w:r>
                    <w:rPr>
                      <w:rFonts w:hint="eastAsia"/>
                      <w:color w:val="auto"/>
                      <w:sz w:val="21"/>
                      <w:szCs w:val="21"/>
                      <w:highlight w:val="none"/>
                      <w:vertAlign w:val="baseline"/>
                      <w:lang w:val="en-US" w:eastAsia="zh-CN"/>
                    </w:rPr>
                    <w:t>，</w:t>
                  </w:r>
                  <w:r>
                    <w:rPr>
                      <w:rFonts w:hint="eastAsia" w:ascii="Times New Roman" w:hAnsi="Times New Roman" w:cs="Times New Roman"/>
                      <w:color w:val="auto"/>
                      <w:sz w:val="21"/>
                      <w:szCs w:val="21"/>
                      <w:highlight w:val="none"/>
                      <w:lang w:val="en-US" w:eastAsia="zh-CN"/>
                    </w:rPr>
                    <w:t>浆砌石砌筑</w:t>
                  </w:r>
                  <w:r>
                    <w:rPr>
                      <w:rFonts w:hint="eastAsia"/>
                      <w:color w:val="auto"/>
                      <w:sz w:val="21"/>
                      <w:szCs w:val="21"/>
                      <w:highlight w:val="none"/>
                      <w:lang w:val="en-US" w:eastAsia="zh-CN"/>
                    </w:rPr>
                    <w:t>，收集沉淀地下渗水和堆填（砌）区淋溶雨水</w:t>
                  </w:r>
                </w:p>
              </w:tc>
            </w:tr>
            <w:tr w14:paraId="0D5BDC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87" w:type="dxa"/>
                  <w:tcBorders>
                    <w:tl2br w:val="nil"/>
                    <w:tr2bl w:val="nil"/>
                  </w:tcBorders>
                  <w:vAlign w:val="center"/>
                </w:tcPr>
                <w:p w14:paraId="1257AA3B">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53E39DC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雨水沉砂池</w:t>
                  </w:r>
                </w:p>
              </w:tc>
              <w:tc>
                <w:tcPr>
                  <w:tcW w:w="1587" w:type="dxa"/>
                  <w:tcBorders>
                    <w:tl2br w:val="nil"/>
                    <w:tr2bl w:val="nil"/>
                  </w:tcBorders>
                  <w:vAlign w:val="center"/>
                </w:tcPr>
                <w:p w14:paraId="08C8AFD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25</w:t>
                  </w:r>
                </w:p>
              </w:tc>
              <w:tc>
                <w:tcPr>
                  <w:tcW w:w="1539" w:type="dxa"/>
                  <w:tcBorders>
                    <w:tl2br w:val="nil"/>
                    <w:tr2bl w:val="nil"/>
                  </w:tcBorders>
                  <w:vAlign w:val="center"/>
                </w:tcPr>
                <w:p w14:paraId="15925EB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7D84B0C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1座，地下设置，规格尺寸为5m</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2m</w:t>
                  </w:r>
                  <w:r>
                    <w:rPr>
                      <w:rFonts w:hint="eastAsia"/>
                      <w:color w:val="auto"/>
                      <w:sz w:val="21"/>
                      <w:szCs w:val="21"/>
                      <w:highlight w:val="none"/>
                      <w:lang w:val="en-US" w:eastAsia="zh-CN"/>
                    </w:rPr>
                    <w:t>，容积为50m</w:t>
                  </w:r>
                  <w:r>
                    <w:rPr>
                      <w:rFonts w:hint="eastAsia"/>
                      <w:color w:val="auto"/>
                      <w:sz w:val="21"/>
                      <w:szCs w:val="21"/>
                      <w:highlight w:val="none"/>
                      <w:vertAlign w:val="superscript"/>
                      <w:lang w:val="en-US" w:eastAsia="zh-CN"/>
                    </w:rPr>
                    <w:t>3</w:t>
                  </w:r>
                  <w:r>
                    <w:rPr>
                      <w:rFonts w:hint="eastAsia"/>
                      <w:color w:val="auto"/>
                      <w:sz w:val="21"/>
                      <w:szCs w:val="21"/>
                      <w:highlight w:val="none"/>
                      <w:vertAlign w:val="baseline"/>
                      <w:lang w:val="en-US" w:eastAsia="zh-CN"/>
                    </w:rPr>
                    <w:t>，</w:t>
                  </w:r>
                  <w:r>
                    <w:rPr>
                      <w:rFonts w:hint="eastAsia" w:ascii="Times New Roman" w:hAnsi="Times New Roman" w:cs="Times New Roman"/>
                      <w:color w:val="auto"/>
                      <w:sz w:val="21"/>
                      <w:szCs w:val="21"/>
                      <w:highlight w:val="none"/>
                      <w:lang w:val="en-US" w:eastAsia="zh-CN"/>
                    </w:rPr>
                    <w:t>浆砌石砌筑</w:t>
                  </w:r>
                  <w:r>
                    <w:rPr>
                      <w:rFonts w:hint="eastAsia" w:cs="Times New Roman"/>
                      <w:color w:val="auto"/>
                      <w:sz w:val="21"/>
                      <w:szCs w:val="21"/>
                      <w:highlight w:val="none"/>
                      <w:lang w:val="en-US" w:eastAsia="zh-CN"/>
                    </w:rPr>
                    <w:t>。</w:t>
                  </w:r>
                  <w:r>
                    <w:rPr>
                      <w:rFonts w:hint="eastAsia"/>
                      <w:color w:val="auto"/>
                      <w:sz w:val="21"/>
                      <w:szCs w:val="21"/>
                      <w:highlight w:val="none"/>
                      <w:lang w:val="en-US" w:eastAsia="zh-CN"/>
                    </w:rPr>
                    <w:t>收集沉淀场区及周边地表雨水</w:t>
                  </w:r>
                </w:p>
              </w:tc>
            </w:tr>
            <w:tr w14:paraId="5C2E63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787" w:type="dxa"/>
                  <w:tcBorders>
                    <w:tl2br w:val="nil"/>
                    <w:tr2bl w:val="nil"/>
                  </w:tcBorders>
                  <w:vAlign w:val="center"/>
                </w:tcPr>
                <w:p w14:paraId="564E9185">
                  <w:pPr>
                    <w:keepNext w:val="0"/>
                    <w:keepLines w:val="0"/>
                    <w:pageBreakBefore w:val="0"/>
                    <w:widowControl w:val="0"/>
                    <w:numPr>
                      <w:ilvl w:val="0"/>
                      <w:numId w:val="13"/>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highlight w:val="none"/>
                      <w:lang w:val="en-US" w:eastAsia="zh-CN"/>
                    </w:rPr>
                  </w:pPr>
                </w:p>
              </w:tc>
              <w:tc>
                <w:tcPr>
                  <w:tcW w:w="1366" w:type="dxa"/>
                  <w:tcBorders>
                    <w:tl2br w:val="nil"/>
                    <w:tr2bl w:val="nil"/>
                  </w:tcBorders>
                  <w:vAlign w:val="center"/>
                </w:tcPr>
                <w:p w14:paraId="10203FD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截洪沟</w:t>
                  </w:r>
                </w:p>
              </w:tc>
              <w:tc>
                <w:tcPr>
                  <w:tcW w:w="1587" w:type="dxa"/>
                  <w:tcBorders>
                    <w:tl2br w:val="nil"/>
                    <w:tr2bl w:val="nil"/>
                  </w:tcBorders>
                  <w:vAlign w:val="center"/>
                </w:tcPr>
                <w:p w14:paraId="3EEBBE6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1539" w:type="dxa"/>
                  <w:tcBorders>
                    <w:tl2br w:val="nil"/>
                    <w:tr2bl w:val="nil"/>
                  </w:tcBorders>
                  <w:vAlign w:val="center"/>
                </w:tcPr>
                <w:p w14:paraId="38D4B84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2828" w:type="dxa"/>
                  <w:tcBorders>
                    <w:tl2br w:val="nil"/>
                    <w:tr2bl w:val="nil"/>
                  </w:tcBorders>
                  <w:vAlign w:val="center"/>
                </w:tcPr>
                <w:p w14:paraId="7A31BFF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outlineLvl w:val="9"/>
                    <w:rPr>
                      <w:rFonts w:hint="default"/>
                      <w:color w:val="auto"/>
                      <w:sz w:val="21"/>
                      <w:szCs w:val="21"/>
                      <w:highlight w:val="none"/>
                      <w:lang w:val="en-US" w:eastAsia="zh-CN"/>
                    </w:rPr>
                  </w:pPr>
                  <w:r>
                    <w:rPr>
                      <w:rFonts w:hint="eastAsia"/>
                      <w:color w:val="auto"/>
                      <w:sz w:val="21"/>
                      <w:szCs w:val="21"/>
                      <w:highlight w:val="none"/>
                      <w:lang w:val="en-US" w:eastAsia="zh-CN"/>
                    </w:rPr>
                    <w:t>依据场区情况布置，收集场区及周边地表雨水，</w:t>
                  </w:r>
                  <w:r>
                    <w:rPr>
                      <w:rFonts w:hint="eastAsia" w:ascii="Times New Roman" w:hAnsi="Times New Roman" w:cs="Times New Roman"/>
                      <w:color w:val="auto"/>
                      <w:sz w:val="21"/>
                      <w:szCs w:val="21"/>
                      <w:highlight w:val="none"/>
                      <w:lang w:val="en-US" w:eastAsia="zh-CN"/>
                    </w:rPr>
                    <w:t>浆砌石砌筑</w:t>
                  </w:r>
                </w:p>
              </w:tc>
            </w:tr>
          </w:tbl>
          <w:p w14:paraId="59534700">
            <w:pPr>
              <w:pStyle w:val="36"/>
              <w:numPr>
                <w:ilvl w:val="0"/>
                <w:numId w:val="12"/>
              </w:numPr>
              <w:bidi w:val="0"/>
              <w:ind w:left="0" w:leftChars="0" w:firstLine="0" w:firstLineChars="0"/>
              <w:rPr>
                <w:rFonts w:hint="default"/>
                <w:color w:val="auto"/>
                <w:sz w:val="21"/>
                <w:szCs w:val="21"/>
                <w:highlight w:val="none"/>
              </w:rPr>
            </w:pPr>
            <w:r>
              <w:rPr>
                <w:rFonts w:hint="eastAsia"/>
                <w:color w:val="auto"/>
                <w:sz w:val="21"/>
                <w:szCs w:val="21"/>
                <w:highlight w:val="none"/>
                <w:lang w:val="en-US" w:eastAsia="zh-CN"/>
              </w:rPr>
              <w:t>本</w:t>
            </w:r>
            <w:r>
              <w:rPr>
                <w:rFonts w:hint="default"/>
                <w:color w:val="auto"/>
                <w:sz w:val="21"/>
                <w:szCs w:val="21"/>
                <w:highlight w:val="none"/>
              </w:rPr>
              <w:t>项目</w:t>
            </w:r>
            <w:r>
              <w:rPr>
                <w:rFonts w:hint="eastAsia"/>
                <w:color w:val="auto"/>
                <w:sz w:val="21"/>
                <w:szCs w:val="21"/>
                <w:highlight w:val="none"/>
                <w:lang w:val="en-US" w:eastAsia="zh-CN"/>
              </w:rPr>
              <w:t>主要</w:t>
            </w:r>
            <w:r>
              <w:rPr>
                <w:rFonts w:hint="default"/>
                <w:color w:val="auto"/>
                <w:sz w:val="21"/>
                <w:szCs w:val="21"/>
                <w:highlight w:val="none"/>
              </w:rPr>
              <w:t>建设内容一览表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996"/>
              <w:gridCol w:w="481"/>
              <w:gridCol w:w="955"/>
              <w:gridCol w:w="5675"/>
            </w:tblGrid>
            <w:tr w14:paraId="23750D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83" w:hRule="atLeast"/>
                <w:jc w:val="center"/>
              </w:trPr>
              <w:tc>
                <w:tcPr>
                  <w:tcW w:w="996" w:type="dxa"/>
                  <w:tcBorders>
                    <w:tl2br w:val="nil"/>
                    <w:tr2bl w:val="nil"/>
                  </w:tcBorders>
                  <w:noWrap w:val="0"/>
                  <w:vAlign w:val="center"/>
                </w:tcPr>
                <w:p w14:paraId="4B8A9EB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工程类别</w:t>
                  </w:r>
                </w:p>
              </w:tc>
              <w:tc>
                <w:tcPr>
                  <w:tcW w:w="1436" w:type="dxa"/>
                  <w:gridSpan w:val="2"/>
                  <w:tcBorders>
                    <w:tl2br w:val="nil"/>
                    <w:tr2bl w:val="nil"/>
                  </w:tcBorders>
                  <w:noWrap w:val="0"/>
                  <w:vAlign w:val="center"/>
                </w:tcPr>
                <w:p w14:paraId="1C4F6E5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项目名称</w:t>
                  </w:r>
                </w:p>
              </w:tc>
              <w:tc>
                <w:tcPr>
                  <w:tcW w:w="5675" w:type="dxa"/>
                  <w:tcBorders>
                    <w:tl2br w:val="nil"/>
                    <w:tr2bl w:val="nil"/>
                  </w:tcBorders>
                  <w:noWrap w:val="0"/>
                  <w:vAlign w:val="center"/>
                </w:tcPr>
                <w:p w14:paraId="1A39F72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建设内容</w:t>
                  </w:r>
                </w:p>
              </w:tc>
            </w:tr>
            <w:tr w14:paraId="55DA95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16" w:hRule="atLeast"/>
                <w:jc w:val="center"/>
              </w:trPr>
              <w:tc>
                <w:tcPr>
                  <w:tcW w:w="996" w:type="dxa"/>
                  <w:vMerge w:val="restart"/>
                  <w:tcBorders>
                    <w:tl2br w:val="nil"/>
                    <w:tr2bl w:val="nil"/>
                  </w:tcBorders>
                  <w:noWrap w:val="0"/>
                  <w:vAlign w:val="center"/>
                </w:tcPr>
                <w:p w14:paraId="5C63F86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主体工程</w:t>
                  </w:r>
                </w:p>
              </w:tc>
              <w:tc>
                <w:tcPr>
                  <w:tcW w:w="1436" w:type="dxa"/>
                  <w:gridSpan w:val="2"/>
                  <w:tcBorders>
                    <w:tl2br w:val="nil"/>
                    <w:tr2bl w:val="nil"/>
                  </w:tcBorders>
                  <w:noWrap w:val="0"/>
                  <w:vAlign w:val="center"/>
                </w:tcPr>
                <w:p w14:paraId="052E0AAB">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堆填（砌）区</w:t>
                  </w:r>
                </w:p>
              </w:tc>
              <w:tc>
                <w:tcPr>
                  <w:tcW w:w="5675" w:type="dxa"/>
                  <w:tcBorders>
                    <w:tl2br w:val="nil"/>
                    <w:tr2bl w:val="nil"/>
                  </w:tcBorders>
                  <w:noWrap w:val="0"/>
                  <w:vAlign w:val="center"/>
                </w:tcPr>
                <w:p w14:paraId="73A83FAD">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利用现有废弃低洼坑塘堆填（砌）建筑垃圾，不规则形状，深30m左右，堆填至与周边地块平齐，占地面积约5876m</w:t>
                  </w:r>
                  <w:r>
                    <w:rPr>
                      <w:rFonts w:hint="eastAsia"/>
                      <w:color w:val="auto"/>
                      <w:sz w:val="21"/>
                      <w:szCs w:val="21"/>
                      <w:highlight w:val="none"/>
                      <w:vertAlign w:val="superscript"/>
                      <w:lang w:val="en-US" w:eastAsia="zh-CN"/>
                    </w:rPr>
                    <w:t>2</w:t>
                  </w:r>
                  <w:r>
                    <w:rPr>
                      <w:rFonts w:hint="eastAsia"/>
                      <w:color w:val="auto"/>
                      <w:sz w:val="21"/>
                      <w:szCs w:val="21"/>
                      <w:highlight w:val="none"/>
                      <w:lang w:val="en-US" w:eastAsia="zh-CN"/>
                    </w:rPr>
                    <w:t>，设计库容19万m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，设计服务年限3年。</w:t>
                  </w:r>
                </w:p>
              </w:tc>
            </w:tr>
            <w:tr w14:paraId="3B51E9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355" w:hRule="atLeast"/>
                <w:jc w:val="center"/>
              </w:trPr>
              <w:tc>
                <w:tcPr>
                  <w:tcW w:w="996" w:type="dxa"/>
                  <w:vMerge w:val="continue"/>
                  <w:tcBorders>
                    <w:tl2br w:val="nil"/>
                    <w:tr2bl w:val="nil"/>
                  </w:tcBorders>
                  <w:noWrap w:val="0"/>
                  <w:vAlign w:val="center"/>
                </w:tcPr>
                <w:p w14:paraId="43F1B030">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5A70C79">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计量设施</w:t>
                  </w:r>
                </w:p>
              </w:tc>
              <w:tc>
                <w:tcPr>
                  <w:tcW w:w="5675" w:type="dxa"/>
                  <w:tcBorders>
                    <w:tl2br w:val="nil"/>
                    <w:tr2bl w:val="nil"/>
                  </w:tcBorders>
                  <w:noWrap w:val="0"/>
                  <w:vAlign w:val="center"/>
                </w:tcPr>
                <w:p w14:paraId="58DD13D0">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场区入口处安装计量设施，用于建筑垃圾称重。</w:t>
                  </w:r>
                  <w:r>
                    <w:rPr>
                      <w:rFonts w:hint="default"/>
                      <w:color w:val="auto"/>
                      <w:highlight w:val="none"/>
                      <w:lang w:val="en-US" w:eastAsia="zh-CN"/>
                    </w:rPr>
                    <w:t>计量地磅采用建筑垃圾场车辆计量专用的动静态电子地磅，地磅规格按建筑垃圾车最大满载重量的1.3倍~1.7倍配置，称量精度不小于贸易计量Ⅲ级</w:t>
                  </w:r>
                  <w:r>
                    <w:rPr>
                      <w:rFonts w:hint="eastAsia"/>
                      <w:color w:val="auto"/>
                      <w:highlight w:val="none"/>
                      <w:lang w:val="en-US" w:eastAsia="zh-CN"/>
                    </w:rPr>
                    <w:t>。</w:t>
                  </w:r>
                </w:p>
              </w:tc>
            </w:tr>
            <w:tr w14:paraId="215834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996" w:hRule="atLeast"/>
                <w:jc w:val="center"/>
              </w:trPr>
              <w:tc>
                <w:tcPr>
                  <w:tcW w:w="996" w:type="dxa"/>
                  <w:vMerge w:val="continue"/>
                  <w:tcBorders>
                    <w:tl2br w:val="nil"/>
                    <w:tr2bl w:val="nil"/>
                  </w:tcBorders>
                  <w:noWrap w:val="0"/>
                  <w:vAlign w:val="center"/>
                </w:tcPr>
                <w:p w14:paraId="0516E7B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20396191">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垃圾坝</w:t>
                  </w:r>
                </w:p>
              </w:tc>
              <w:tc>
                <w:tcPr>
                  <w:tcW w:w="5675" w:type="dxa"/>
                  <w:tcBorders>
                    <w:tl2br w:val="nil"/>
                    <w:tr2bl w:val="nil"/>
                  </w:tcBorders>
                  <w:noWrap w:val="0"/>
                  <w:vAlign w:val="center"/>
                </w:tcPr>
                <w:p w14:paraId="3F72B96E">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本项目利用现有废弃低洼坑塘堆填（砌）建筑垃圾，根据建设单位提供资料，项目堆填高度设计为与周边地块平齐，现状坑塘已形成坝体，本项目根据现状坝体情况进行加固改造，对坑体及周边地进行地形整治平整，配套道路及卸车场地硬化。为防止雨水冲刷，项目拟在周边设</w:t>
                  </w:r>
                  <w:r>
                    <w:rPr>
                      <w:rFonts w:hint="eastAsia"/>
                      <w:color w:val="auto"/>
                      <w:highlight w:val="none"/>
                      <w:lang w:val="en-US" w:eastAsia="zh-CN"/>
                    </w:rPr>
                    <w:t>围堤，维护坝体安全。</w:t>
                  </w:r>
                </w:p>
              </w:tc>
            </w:tr>
            <w:tr w14:paraId="028268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683" w:hRule="atLeast"/>
                <w:jc w:val="center"/>
              </w:trPr>
              <w:tc>
                <w:tcPr>
                  <w:tcW w:w="996" w:type="dxa"/>
                  <w:vMerge w:val="continue"/>
                  <w:tcBorders>
                    <w:tl2br w:val="nil"/>
                    <w:tr2bl w:val="nil"/>
                  </w:tcBorders>
                  <w:noWrap w:val="0"/>
                  <w:vAlign w:val="center"/>
                </w:tcPr>
                <w:p w14:paraId="36256F6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119BE23E">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地基处理</w:t>
                  </w:r>
                </w:p>
              </w:tc>
              <w:tc>
                <w:tcPr>
                  <w:tcW w:w="5675" w:type="dxa"/>
                  <w:tcBorders>
                    <w:tl2br w:val="nil"/>
                    <w:tr2bl w:val="nil"/>
                  </w:tcBorders>
                  <w:noWrap w:val="0"/>
                  <w:vAlign w:val="center"/>
                </w:tcPr>
                <w:p w14:paraId="1B4D30F2">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highlight w:val="none"/>
                      <w:lang w:val="en-US" w:eastAsia="zh-CN"/>
                    </w:rPr>
                  </w:pPr>
                  <w:r>
                    <w:rPr>
                      <w:rFonts w:hint="eastAsia"/>
                      <w:color w:val="auto"/>
                      <w:sz w:val="21"/>
                      <w:szCs w:val="21"/>
                      <w:highlight w:val="none"/>
                      <w:lang w:val="en-US" w:eastAsia="zh-CN"/>
                    </w:rPr>
                    <w:t>堆填区堆填（砌）</w:t>
                  </w:r>
                  <w:r>
                    <w:rPr>
                      <w:rFonts w:hint="default"/>
                      <w:color w:val="auto"/>
                      <w:sz w:val="21"/>
                      <w:szCs w:val="21"/>
                      <w:highlight w:val="none"/>
                      <w:lang w:val="en-US" w:eastAsia="zh-CN"/>
                    </w:rPr>
                    <w:t>前清除基底的垃圾、淤泥、树根等杂物，</w:t>
                  </w:r>
                  <w:r>
                    <w:rPr>
                      <w:rFonts w:hint="eastAsia"/>
                      <w:color w:val="auto"/>
                      <w:sz w:val="21"/>
                      <w:szCs w:val="21"/>
                      <w:highlight w:val="none"/>
                      <w:lang w:val="en-US" w:eastAsia="zh-CN"/>
                    </w:rPr>
                    <w:t>现状场地内无积水，施工过程结合场地积水情况进行抽除</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堆填（砌）</w:t>
                  </w:r>
                  <w:r>
                    <w:rPr>
                      <w:rFonts w:hint="default" w:ascii="Times New Roman" w:hAnsi="Times New Roman" w:cs="Times New Roman"/>
                      <w:color w:val="auto"/>
                      <w:sz w:val="21"/>
                      <w:szCs w:val="21"/>
                      <w:highlight w:val="none"/>
                      <w:lang w:val="en-US" w:eastAsia="zh-CN"/>
                    </w:rPr>
                    <w:t>区场地进行场地找坡、平整场底等工序。找坡后采用大规格压路机碾压密实，并按要求铺</w:t>
                  </w:r>
                  <w:r>
                    <w:rPr>
                      <w:rFonts w:hint="eastAsia" w:cs="Times New Roman"/>
                      <w:color w:val="auto"/>
                      <w:sz w:val="21"/>
                      <w:szCs w:val="21"/>
                      <w:highlight w:val="none"/>
                      <w:lang w:val="en-US" w:eastAsia="zh-CN"/>
                    </w:rPr>
                    <w:t>2.0</w:t>
                  </w:r>
                  <w:r>
                    <w:rPr>
                      <w:rFonts w:hint="default" w:ascii="Times New Roman" w:hAnsi="Times New Roman" w:cs="Times New Roman"/>
                      <w:color w:val="auto"/>
                      <w:sz w:val="21"/>
                      <w:szCs w:val="21"/>
                      <w:highlight w:val="none"/>
                      <w:lang w:val="en-US" w:eastAsia="zh-CN"/>
                    </w:rPr>
                    <w:t>m厚</w:t>
                  </w:r>
                  <w:r>
                    <w:rPr>
                      <w:rFonts w:hint="eastAsia"/>
                      <w:color w:val="auto"/>
                      <w:sz w:val="21"/>
                      <w:szCs w:val="21"/>
                      <w:highlight w:val="none"/>
                      <w:lang w:val="en-US" w:eastAsia="zh-CN"/>
                    </w:rPr>
                    <w:t>改性黏土，</w:t>
                  </w:r>
                  <w:r>
                    <w:rPr>
                      <w:rFonts w:hint="eastAsia" w:cs="Times New Roman"/>
                      <w:color w:val="auto"/>
                      <w:sz w:val="21"/>
                      <w:szCs w:val="21"/>
                      <w:highlight w:val="none"/>
                      <w:lang w:val="en-US" w:eastAsia="zh-CN"/>
                    </w:rPr>
                    <w:t>分层</w:t>
                  </w:r>
                  <w:r>
                    <w:rPr>
                      <w:rFonts w:hint="default" w:ascii="Times New Roman" w:hAnsi="Times New Roman" w:cs="Times New Roman"/>
                      <w:color w:val="auto"/>
                      <w:sz w:val="21"/>
                      <w:szCs w:val="21"/>
                      <w:highlight w:val="none"/>
                      <w:lang w:val="en-US" w:eastAsia="zh-CN"/>
                    </w:rPr>
                    <w:t>进行碾压，底部基础层压实度不小于0.93</w:t>
                  </w:r>
                  <w:r>
                    <w:rPr>
                      <w:rFonts w:hint="eastAsia" w:ascii="Times New Roman" w:hAnsi="Times New Roman" w:cs="Times New Roman"/>
                      <w:color w:val="auto"/>
                      <w:sz w:val="21"/>
                      <w:szCs w:val="21"/>
                      <w:highlight w:val="none"/>
                      <w:lang w:val="en-US" w:eastAsia="zh-CN"/>
                    </w:rPr>
                    <w:t>。</w:t>
                  </w:r>
                </w:p>
              </w:tc>
            </w:tr>
            <w:tr w14:paraId="0B3297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996" w:type="dxa"/>
                  <w:vMerge w:val="continue"/>
                  <w:tcBorders>
                    <w:tl2br w:val="nil"/>
                    <w:tr2bl w:val="nil"/>
                  </w:tcBorders>
                  <w:noWrap w:val="0"/>
                  <w:vAlign w:val="center"/>
                </w:tcPr>
                <w:p w14:paraId="13EBCFD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72E6E2C0">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地下水收集导排系统</w:t>
                  </w:r>
                </w:p>
              </w:tc>
              <w:tc>
                <w:tcPr>
                  <w:tcW w:w="5675" w:type="dxa"/>
                  <w:tcBorders>
                    <w:tl2br w:val="nil"/>
                    <w:tr2bl w:val="nil"/>
                  </w:tcBorders>
                  <w:noWrap w:val="0"/>
                  <w:vAlign w:val="center"/>
                </w:tcPr>
                <w:p w14:paraId="124939EB">
                  <w:pPr>
                    <w:pStyle w:val="11"/>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color w:val="auto"/>
                      <w:highlight w:val="none"/>
                      <w:lang w:val="en-US" w:eastAsia="zh-CN"/>
                    </w:rPr>
                  </w:pPr>
                  <w:r>
                    <w:rPr>
                      <w:rFonts w:hint="default"/>
                      <w:color w:val="auto"/>
                      <w:sz w:val="21"/>
                      <w:szCs w:val="21"/>
                      <w:highlight w:val="none"/>
                      <w:lang w:val="en-US" w:eastAsia="zh-CN"/>
                    </w:rPr>
                    <w:t>采用碎石导流层方法建设地下水导排系统</w:t>
                  </w:r>
                  <w:r>
                    <w:rPr>
                      <w:rFonts w:hint="eastAsia"/>
                      <w:color w:val="auto"/>
                      <w:sz w:val="21"/>
                      <w:szCs w:val="21"/>
                      <w:highlight w:val="none"/>
                      <w:lang w:val="en-US" w:eastAsia="zh-CN"/>
                    </w:rPr>
                    <w:t>。堆填（砌）场底部及内侧铺填厚度不小于30cm的碎石滤水层+土工布，以形成底部排渗系统，减少场内积水蓄积，增加堆填（砌）场的稳定性。堆填（砌）场底部设置</w:t>
                  </w:r>
                  <w:r>
                    <w:rPr>
                      <w:rFonts w:hint="default"/>
                      <w:color w:val="auto"/>
                      <w:sz w:val="21"/>
                      <w:szCs w:val="21"/>
                      <w:highlight w:val="none"/>
                      <w:lang w:val="en-US" w:eastAsia="zh-CN"/>
                    </w:rPr>
                    <w:t>盲沟</w:t>
                  </w:r>
                  <w:r>
                    <w:rPr>
                      <w:rFonts w:hint="eastAsia"/>
                      <w:color w:val="auto"/>
                      <w:sz w:val="21"/>
                      <w:szCs w:val="21"/>
                      <w:highlight w:val="none"/>
                      <w:lang w:val="en-US" w:eastAsia="zh-CN"/>
                    </w:rPr>
                    <w:t>，</w:t>
                  </w:r>
                  <w:r>
                    <w:rPr>
                      <w:rFonts w:hint="default"/>
                      <w:color w:val="auto"/>
                      <w:sz w:val="21"/>
                      <w:szCs w:val="21"/>
                      <w:highlight w:val="none"/>
                      <w:lang w:val="en-US" w:eastAsia="zh-CN"/>
                    </w:rPr>
                    <w:t>采用</w:t>
                  </w:r>
                  <w:r>
                    <w:rPr>
                      <w:rFonts w:hint="eastAsia" w:ascii="宋体" w:hAnsi="宋体" w:eastAsia="宋体" w:cs="宋体"/>
                      <w:color w:val="auto"/>
                      <w:sz w:val="21"/>
                      <w:szCs w:val="21"/>
                      <w:highlight w:val="none"/>
                      <w:lang w:val="en-US" w:eastAsia="zh-CN"/>
                    </w:rPr>
                    <w:t>“主盲沟+支盲沟”</w:t>
                  </w:r>
                  <w:r>
                    <w:rPr>
                      <w:rFonts w:hint="default"/>
                      <w:color w:val="auto"/>
                      <w:sz w:val="21"/>
                      <w:szCs w:val="21"/>
                      <w:highlight w:val="none"/>
                      <w:lang w:val="en-US" w:eastAsia="zh-CN"/>
                    </w:rPr>
                    <w:t>的鱼骨状管网布置。主盲沟沿堆填区最低点（或设计坡向）铺设，支盲沟以一定角度（如45°或60°）接入主盲沟。支盲沟之间的中心间距控制在30m~40m之间。盲沟内铺设HDPE穿孔花管，埋设坡度为5%，管壁上的透水孔呈梅花形交错布置，开孔间距通常为10cm~15cm，以保证地下水能从各个方向顺利进入管道。将地下水收集后导入集液井。</w:t>
                  </w:r>
                  <w:r>
                    <w:rPr>
                      <w:rFonts w:hint="eastAsia"/>
                      <w:color w:val="auto"/>
                      <w:sz w:val="21"/>
                      <w:szCs w:val="21"/>
                      <w:highlight w:val="none"/>
                      <w:lang w:val="en-US" w:eastAsia="zh-CN"/>
                    </w:rPr>
                    <w:t>堆填（砌）</w:t>
                  </w:r>
                  <w:r>
                    <w:rPr>
                      <w:rFonts w:hint="default"/>
                      <w:color w:val="auto"/>
                      <w:sz w:val="21"/>
                      <w:szCs w:val="21"/>
                      <w:highlight w:val="none"/>
                      <w:lang w:val="en-US" w:eastAsia="zh-CN"/>
                    </w:rPr>
                    <w:t>区内设集液井，井内设置液位计和潜水泵，当池内水位达到一定液位时，潜水泵自动启动，将地下水提升至沉淀池</w:t>
                  </w:r>
                  <w:r>
                    <w:rPr>
                      <w:rFonts w:hint="eastAsia"/>
                      <w:color w:val="auto"/>
                      <w:sz w:val="21"/>
                      <w:szCs w:val="21"/>
                      <w:highlight w:val="none"/>
                      <w:lang w:val="en-US" w:eastAsia="zh-CN"/>
                    </w:rPr>
                    <w:t>。场地西侧配套设置沉淀池（1座，尺寸为20m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5</w:t>
                  </w:r>
                  <w:r>
                    <w:rPr>
                      <w:rFonts w:hint="eastAsia"/>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3</w:t>
                  </w:r>
                  <w:r>
                    <w:rPr>
                      <w:rFonts w:hint="eastAsia"/>
                      <w:color w:val="auto"/>
                      <w:sz w:val="21"/>
                      <w:szCs w:val="21"/>
                      <w:highlight w:val="none"/>
                      <w:lang w:val="en-US" w:eastAsia="zh-CN"/>
                    </w:rPr>
                    <w:t>m，总容积：300m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），地下水导排系统收集的坑体和场底渗出的少量地下水引至沉淀池，堆填（砌）区淋溶水经集水管收集后进入集液井，随后经泵抽至沉淀池处理后，分批次回用作区域抑尘用水。</w:t>
                  </w:r>
                </w:p>
              </w:tc>
            </w:tr>
            <w:tr w14:paraId="3A9627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553" w:hRule="atLeast"/>
                <w:jc w:val="center"/>
              </w:trPr>
              <w:tc>
                <w:tcPr>
                  <w:tcW w:w="996" w:type="dxa"/>
                  <w:vMerge w:val="continue"/>
                  <w:tcBorders>
                    <w:tl2br w:val="nil"/>
                    <w:tr2bl w:val="nil"/>
                  </w:tcBorders>
                  <w:noWrap w:val="0"/>
                  <w:vAlign w:val="center"/>
                </w:tcPr>
                <w:p w14:paraId="3FBC6E3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24A3A07D">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地表水收集导排系统</w:t>
                  </w:r>
                </w:p>
              </w:tc>
              <w:tc>
                <w:tcPr>
                  <w:tcW w:w="5675" w:type="dxa"/>
                  <w:tcBorders>
                    <w:tl2br w:val="nil"/>
                    <w:tr2bl w:val="nil"/>
                  </w:tcBorders>
                  <w:noWrap w:val="0"/>
                  <w:vAlign w:val="center"/>
                </w:tcPr>
                <w:p w14:paraId="36B8DC6C">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eastAsia"/>
                      <w:color w:val="auto"/>
                      <w:highlight w:val="none"/>
                      <w:lang w:val="en-US" w:eastAsia="zh-CN"/>
                    </w:rPr>
                  </w:pPr>
                  <w:r>
                    <w:rPr>
                      <w:rFonts w:hint="eastAsia"/>
                      <w:color w:val="auto"/>
                      <w:sz w:val="21"/>
                      <w:szCs w:val="21"/>
                      <w:highlight w:val="none"/>
                      <w:lang w:val="en-US" w:eastAsia="zh-CN"/>
                    </w:rPr>
                    <w:t>地表水收集导排系统由在堆填（砌）区外周边设置截洪沟、雨水收集明渠以及排放沟组成。可阻止库外侧雨水进入堆填（砌）库区，场区雨水经雨水收集明渠收集。雨水经截洪沟、雨水收集明渠收集后引入沉砂池（在场地西侧设置1座沉砂池，尺寸为5m</w:t>
                  </w:r>
                  <w:r>
                    <w:rPr>
                      <w:rFonts w:hint="default" w:ascii="Times New Roman" w:hAnsi="Times New Roman"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5</w:t>
                  </w:r>
                  <w:r>
                    <w:rPr>
                      <w:rFonts w:hint="eastAsia"/>
                      <w:color w:val="auto"/>
                      <w:sz w:val="21"/>
                      <w:szCs w:val="21"/>
                      <w:highlight w:val="none"/>
                      <w:lang w:val="en-US" w:eastAsia="zh-CN"/>
                    </w:rPr>
                    <w:t>m</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2</w:t>
                  </w:r>
                  <w:r>
                    <w:rPr>
                      <w:rFonts w:hint="eastAsia"/>
                      <w:color w:val="auto"/>
                      <w:sz w:val="21"/>
                      <w:szCs w:val="21"/>
                      <w:highlight w:val="none"/>
                      <w:lang w:val="en-US" w:eastAsia="zh-CN"/>
                    </w:rPr>
                    <w:t>m，容积为50m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），消除水流能量和沉淀后排入周边雨水沟渠。其中，</w:t>
                  </w:r>
                  <w:r>
                    <w:rPr>
                      <w:rFonts w:hint="eastAsia" w:ascii="Times New Roman" w:hAnsi="Times New Roman" w:cs="Times New Roman"/>
                      <w:color w:val="auto"/>
                      <w:sz w:val="21"/>
                      <w:szCs w:val="21"/>
                      <w:highlight w:val="none"/>
                      <w:lang w:val="en-US" w:eastAsia="zh-CN"/>
                    </w:rPr>
                    <w:t>截洪沟和沉砂池均采用浆砌石砌筑，沟底铺设厚度</w:t>
                  </w:r>
                  <w:r>
                    <w:rPr>
                      <w:rFonts w:hint="default" w:ascii="Times New Roman" w:hAnsi="Times New Roman" w:cs="Times New Roman"/>
                      <w:color w:val="auto"/>
                      <w:sz w:val="21"/>
                      <w:szCs w:val="21"/>
                      <w:highlight w:val="none"/>
                      <w:lang w:val="en-US" w:eastAsia="zh-CN"/>
                    </w:rPr>
                    <w:t>15</w:t>
                  </w:r>
                  <w:r>
                    <w:rPr>
                      <w:rFonts w:hint="eastAsia" w:ascii="Times New Roman" w:hAnsi="Times New Roman" w:cs="Times New Roman"/>
                      <w:color w:val="auto"/>
                      <w:sz w:val="21"/>
                      <w:szCs w:val="21"/>
                      <w:highlight w:val="none"/>
                      <w:lang w:val="en-US" w:eastAsia="zh-CN"/>
                    </w:rPr>
                    <w:t>厘米的</w:t>
                  </w:r>
                  <w:r>
                    <w:rPr>
                      <w:rFonts w:hint="default" w:ascii="Times New Roman" w:hAnsi="Times New Roman" w:cs="Times New Roman"/>
                      <w:color w:val="auto"/>
                      <w:sz w:val="21"/>
                      <w:szCs w:val="21"/>
                      <w:highlight w:val="none"/>
                      <w:lang w:val="en-US" w:eastAsia="zh-CN"/>
                    </w:rPr>
                    <w:t>C15</w:t>
                  </w:r>
                  <w:r>
                    <w:rPr>
                      <w:rFonts w:hint="eastAsia" w:ascii="Times New Roman" w:hAnsi="Times New Roman" w:cs="Times New Roman"/>
                      <w:color w:val="auto"/>
                      <w:sz w:val="21"/>
                      <w:szCs w:val="21"/>
                      <w:highlight w:val="none"/>
                      <w:lang w:val="en-US" w:eastAsia="zh-CN"/>
                    </w:rPr>
                    <w:t>混凝土垫层；明渠为</w:t>
                  </w:r>
                  <w:r>
                    <w:rPr>
                      <w:rFonts w:hint="default" w:ascii="Times New Roman" w:hAnsi="Times New Roman" w:cs="Times New Roman"/>
                      <w:color w:val="auto"/>
                      <w:sz w:val="21"/>
                      <w:szCs w:val="21"/>
                      <w:highlight w:val="none"/>
                      <w:lang w:val="en-US" w:eastAsia="zh-CN"/>
                    </w:rPr>
                    <w:t>370</w:t>
                  </w:r>
                  <w:r>
                    <w:rPr>
                      <w:rFonts w:hint="eastAsia" w:ascii="Times New Roman" w:hAnsi="Times New Roman" w:cs="Times New Roman"/>
                      <w:color w:val="auto"/>
                      <w:sz w:val="21"/>
                      <w:szCs w:val="21"/>
                      <w:highlight w:val="none"/>
                      <w:lang w:val="en-US" w:eastAsia="zh-CN"/>
                    </w:rPr>
                    <w:t>厚砖砌墙。</w:t>
                  </w:r>
                </w:p>
              </w:tc>
            </w:tr>
            <w:tr w14:paraId="75CF2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735" w:hRule="atLeast"/>
                <w:jc w:val="center"/>
              </w:trPr>
              <w:tc>
                <w:tcPr>
                  <w:tcW w:w="996" w:type="dxa"/>
                  <w:vMerge w:val="continue"/>
                  <w:tcBorders>
                    <w:tl2br w:val="nil"/>
                    <w:tr2bl w:val="nil"/>
                  </w:tcBorders>
                  <w:noWrap w:val="0"/>
                  <w:vAlign w:val="center"/>
                </w:tcPr>
                <w:p w14:paraId="6CA48BA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443A2C50">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eastAsia="宋体" w:cs="Times New Roman"/>
                      <w:color w:val="auto"/>
                      <w:kern w:val="1"/>
                      <w:sz w:val="21"/>
                      <w:szCs w:val="21"/>
                      <w:highlight w:val="none"/>
                      <w:lang w:val="en-US" w:eastAsia="zh-CN" w:bidi="ar-SA"/>
                    </w:rPr>
                    <w:t>雨水淋溶液导排系统</w:t>
                  </w:r>
                </w:p>
              </w:tc>
              <w:tc>
                <w:tcPr>
                  <w:tcW w:w="5675" w:type="dxa"/>
                  <w:tcBorders>
                    <w:tl2br w:val="nil"/>
                    <w:tr2bl w:val="nil"/>
                  </w:tcBorders>
                  <w:noWrap w:val="0"/>
                  <w:vAlign w:val="center"/>
                </w:tcPr>
                <w:p w14:paraId="50067F9D">
                  <w:pPr>
                    <w:pStyle w:val="35"/>
                    <w:keepNext w:val="0"/>
                    <w:keepLines w:val="0"/>
                    <w:pageBreakBefore w:val="0"/>
                    <w:widowControl w:val="0"/>
                    <w:kinsoku/>
                    <w:wordWrap/>
                    <w:overflowPunct/>
                    <w:topLinePunct w:val="0"/>
                    <w:autoSpaceDE/>
                    <w:autoSpaceDN/>
                    <w:bidi w:val="0"/>
                    <w:adjustRightInd w:val="0"/>
                    <w:snapToGrid w:val="0"/>
                    <w:spacing w:before="0" w:after="0"/>
                    <w:ind w:firstLine="420" w:firstLineChars="200"/>
                    <w:jc w:val="left"/>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eastAsia="宋体" w:cs="Times New Roman"/>
                      <w:color w:val="auto"/>
                      <w:kern w:val="1"/>
                      <w:sz w:val="21"/>
                      <w:szCs w:val="21"/>
                      <w:highlight w:val="none"/>
                      <w:lang w:val="en-US" w:eastAsia="zh-CN" w:bidi="ar-SA"/>
                    </w:rPr>
                    <w:t>沿建筑垃圾</w:t>
                  </w:r>
                  <w:r>
                    <w:rPr>
                      <w:rFonts w:hint="eastAsia" w:cs="Times New Roman"/>
                      <w:color w:val="auto"/>
                      <w:kern w:val="1"/>
                      <w:sz w:val="21"/>
                      <w:szCs w:val="21"/>
                      <w:highlight w:val="none"/>
                      <w:lang w:val="en-US" w:eastAsia="zh-CN" w:bidi="ar-SA"/>
                    </w:rPr>
                    <w:t>堆填（砌）</w:t>
                  </w:r>
                  <w:r>
                    <w:rPr>
                      <w:rFonts w:hint="eastAsia" w:ascii="Times New Roman" w:hAnsi="Times New Roman" w:eastAsia="宋体" w:cs="Times New Roman"/>
                      <w:color w:val="auto"/>
                      <w:kern w:val="1"/>
                      <w:sz w:val="21"/>
                      <w:szCs w:val="21"/>
                      <w:highlight w:val="none"/>
                      <w:lang w:val="en-US" w:eastAsia="zh-CN" w:bidi="ar-SA"/>
                    </w:rPr>
                    <w:t>场场底内铺设淋溶液导排盲沟，盲沟中铺设导排集水管，场底产生的淋溶液经碎石导流层收集流入盲沟的集水管，将淋溶水收集后导入集液井。</w:t>
                  </w:r>
                  <w:r>
                    <w:rPr>
                      <w:rFonts w:hint="eastAsia" w:cs="Times New Roman"/>
                      <w:color w:val="auto"/>
                      <w:kern w:val="1"/>
                      <w:sz w:val="21"/>
                      <w:szCs w:val="21"/>
                      <w:highlight w:val="none"/>
                      <w:lang w:val="en-US" w:eastAsia="zh-CN" w:bidi="ar-SA"/>
                    </w:rPr>
                    <w:t>堆填（砌）</w:t>
                  </w:r>
                  <w:r>
                    <w:rPr>
                      <w:rFonts w:hint="eastAsia" w:ascii="Times New Roman" w:hAnsi="Times New Roman" w:eastAsia="宋体" w:cs="Times New Roman"/>
                      <w:color w:val="auto"/>
                      <w:kern w:val="1"/>
                      <w:sz w:val="21"/>
                      <w:szCs w:val="21"/>
                      <w:highlight w:val="none"/>
                      <w:lang w:val="en-US" w:eastAsia="zh-CN" w:bidi="ar-SA"/>
                    </w:rPr>
                    <w:t>区内设集液井，井内设置液位计和潜水泵，当池内水位达到一定液位时，潜水泵自动启动，将水提升至沉淀池，经沉淀后，分批次回用作区域抑尘用水。</w:t>
                  </w:r>
                </w:p>
              </w:tc>
            </w:tr>
            <w:tr w14:paraId="2E17A8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907" w:hRule="atLeast"/>
                <w:jc w:val="center"/>
              </w:trPr>
              <w:tc>
                <w:tcPr>
                  <w:tcW w:w="996" w:type="dxa"/>
                  <w:vMerge w:val="continue"/>
                  <w:tcBorders>
                    <w:tl2br w:val="nil"/>
                    <w:tr2bl w:val="nil"/>
                  </w:tcBorders>
                  <w:noWrap w:val="0"/>
                  <w:vAlign w:val="center"/>
                </w:tcPr>
                <w:p w14:paraId="7D59AC3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3564C6F3">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防渗系统</w:t>
                  </w:r>
                </w:p>
              </w:tc>
              <w:tc>
                <w:tcPr>
                  <w:tcW w:w="5675" w:type="dxa"/>
                  <w:tcBorders>
                    <w:tl2br w:val="nil"/>
                    <w:tr2bl w:val="nil"/>
                  </w:tcBorders>
                  <w:noWrap w:val="0"/>
                  <w:vAlign w:val="center"/>
                </w:tcPr>
                <w:p w14:paraId="45C99276">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1、防渗要求：对堆填（砌）场区天然黏土基础层进行人工改性压实，达到天然黏土衬里结构的等效防渗性能要求后，采用改性压实黏土类衬里作为防渗结构。</w:t>
                  </w:r>
                </w:p>
                <w:p w14:paraId="17B7CDFD">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2、场区底部及边坡防渗：对场内底部及边坡进行清表，原地基整平、压实（压实系数</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0.9）后，采用改性压实黏土类衬里作为防渗结构，饱和渗透系数小于1.0</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10</w:t>
                  </w:r>
                  <w:r>
                    <w:rPr>
                      <w:rFonts w:hint="eastAsia"/>
                      <w:color w:val="auto"/>
                      <w:sz w:val="21"/>
                      <w:szCs w:val="21"/>
                      <w:highlight w:val="none"/>
                      <w:vertAlign w:val="superscript"/>
                      <w:lang w:val="en-US" w:eastAsia="zh-CN"/>
                    </w:rPr>
                    <w:t>-7</w:t>
                  </w:r>
                  <w:r>
                    <w:rPr>
                      <w:rFonts w:hint="eastAsia"/>
                      <w:color w:val="auto"/>
                      <w:sz w:val="21"/>
                      <w:szCs w:val="21"/>
                      <w:highlight w:val="none"/>
                      <w:lang w:val="en-US" w:eastAsia="zh-CN"/>
                    </w:rPr>
                    <w:t>cm/s。</w:t>
                  </w:r>
                </w:p>
              </w:tc>
            </w:tr>
            <w:tr w14:paraId="6B29D8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650" w:hRule="atLeast"/>
                <w:jc w:val="center"/>
              </w:trPr>
              <w:tc>
                <w:tcPr>
                  <w:tcW w:w="996" w:type="dxa"/>
                  <w:vMerge w:val="continue"/>
                  <w:tcBorders>
                    <w:tl2br w:val="nil"/>
                    <w:tr2bl w:val="nil"/>
                  </w:tcBorders>
                  <w:noWrap w:val="0"/>
                  <w:vAlign w:val="center"/>
                </w:tcPr>
                <w:p w14:paraId="24A3214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06B3A22">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堆填（砌）场台阶排水沟</w:t>
                  </w:r>
                </w:p>
              </w:tc>
              <w:tc>
                <w:tcPr>
                  <w:tcW w:w="5675" w:type="dxa"/>
                  <w:tcBorders>
                    <w:tl2br w:val="nil"/>
                    <w:tr2bl w:val="nil"/>
                  </w:tcBorders>
                  <w:noWrap w:val="0"/>
                  <w:vAlign w:val="center"/>
                </w:tcPr>
                <w:p w14:paraId="0D8A9698">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堆填（砌）场采用多台阶堆筑，平台内设2~3%的反坡，在每个最终堆积平台内侧靠近台阶边坡侧修建台阶排水沟，堆填（砌）场台阶排水沟和场外截洪沟断面均为矩形断面，顶宽0.4m，底宽0.4m，高0.4m，采用浆砌块石砌筑，侧壁和底板厚度0.25m，排水沟向截洪沟方向设置1~2%的流水坡度。</w:t>
                  </w:r>
                </w:p>
              </w:tc>
            </w:tr>
            <w:tr w14:paraId="143AF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4564799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302492FD">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场区道路</w:t>
                  </w:r>
                </w:p>
              </w:tc>
              <w:tc>
                <w:tcPr>
                  <w:tcW w:w="5675" w:type="dxa"/>
                  <w:tcBorders>
                    <w:tl2br w:val="nil"/>
                    <w:tr2bl w:val="nil"/>
                  </w:tcBorders>
                  <w:noWrap w:val="0"/>
                  <w:vAlign w:val="center"/>
                </w:tcPr>
                <w:p w14:paraId="70E8A24A">
                  <w:pPr>
                    <w:pStyle w:val="35"/>
                    <w:keepNext w:val="0"/>
                    <w:keepLines w:val="0"/>
                    <w:pageBreakBefore w:val="0"/>
                    <w:widowControl w:val="0"/>
                    <w:kinsoku/>
                    <w:wordWrap/>
                    <w:overflowPunct/>
                    <w:topLinePunct w:val="0"/>
                    <w:autoSpaceDE/>
                    <w:autoSpaceDN/>
                    <w:bidi w:val="0"/>
                    <w:adjustRightInd/>
                    <w:snapToGrid/>
                    <w:spacing w:before="0" w:after="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场区设置宽度不小于7m的水泥混凝土道路。</w:t>
                  </w:r>
                </w:p>
              </w:tc>
            </w:tr>
            <w:tr w14:paraId="0C8076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91" w:hRule="atLeast"/>
                <w:jc w:val="center"/>
              </w:trPr>
              <w:tc>
                <w:tcPr>
                  <w:tcW w:w="996" w:type="dxa"/>
                  <w:vMerge w:val="continue"/>
                  <w:tcBorders>
                    <w:tl2br w:val="nil"/>
                    <w:tr2bl w:val="nil"/>
                  </w:tcBorders>
                  <w:noWrap w:val="0"/>
                  <w:vAlign w:val="center"/>
                </w:tcPr>
                <w:p w14:paraId="2DAD87D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514DBA7C">
                  <w:pPr>
                    <w:keepNext w:val="0"/>
                    <w:keepLines w:val="0"/>
                    <w:pageBreakBefore w:val="0"/>
                    <w:widowControl w:val="0"/>
                    <w:kinsoku/>
                    <w:wordWrap/>
                    <w:overflowPunct/>
                    <w:topLinePunct w:val="0"/>
                    <w:autoSpaceDE/>
                    <w:autoSpaceDN/>
                    <w:bidi w:val="0"/>
                    <w:adjustRightInd/>
                    <w:snapToGrid w:val="0"/>
                    <w:spacing w:line="0" w:lineRule="atLeast"/>
                    <w:ind w:left="0" w:leftChars="0" w:right="0" w:rightChars="0" w:firstLine="0" w:firstLineChars="0"/>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封场覆盖及生态修复系统</w:t>
                  </w:r>
                </w:p>
              </w:tc>
              <w:tc>
                <w:tcPr>
                  <w:tcW w:w="5675" w:type="dxa"/>
                  <w:tcBorders>
                    <w:tl2br w:val="nil"/>
                    <w:tr2bl w:val="nil"/>
                  </w:tcBorders>
                  <w:noWrap w:val="0"/>
                  <w:vAlign w:val="center"/>
                </w:tcPr>
                <w:p w14:paraId="5526EF09">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eastAsia" w:ascii="Times New Roman" w:hAnsi="Times New Roman" w:cs="Times New Roman"/>
                      <w:color w:val="auto"/>
                      <w:kern w:val="1"/>
                      <w:sz w:val="21"/>
                      <w:szCs w:val="21"/>
                      <w:highlight w:val="none"/>
                      <w:lang w:val="en-US" w:eastAsia="zh-CN" w:bidi="ar-SA"/>
                    </w:rPr>
                  </w:pPr>
                  <w:r>
                    <w:rPr>
                      <w:rFonts w:hint="eastAsia"/>
                      <w:color w:val="auto"/>
                      <w:sz w:val="21"/>
                      <w:szCs w:val="21"/>
                      <w:highlight w:val="none"/>
                      <w:lang w:val="en-US" w:eastAsia="zh-CN"/>
                    </w:rPr>
                    <w:t>按照《建筑垃圾堆砌地建设标准》（DB13（J）T8464-2022）要求进行封场覆盖。根据建设单位提供资料，</w:t>
                  </w:r>
                  <w:r>
                    <w:rPr>
                      <w:rFonts w:hint="eastAsia" w:ascii="Times New Roman" w:hAnsi="Times New Roman" w:eastAsia="宋体" w:cs="Times New Roman"/>
                      <w:color w:val="auto"/>
                      <w:kern w:val="1"/>
                      <w:sz w:val="21"/>
                      <w:szCs w:val="21"/>
                      <w:highlight w:val="none"/>
                      <w:lang w:val="en-US" w:eastAsia="zh-CN" w:bidi="ar-SA"/>
                    </w:rPr>
                    <w:t>项目设计堆填高度与周边地块平齐，建筑垃圾堆填</w:t>
                  </w:r>
                  <w:r>
                    <w:rPr>
                      <w:rFonts w:hint="default" w:ascii="Times New Roman" w:hAnsi="Times New Roman" w:eastAsia="宋体" w:cs="Times New Roman"/>
                      <w:color w:val="auto"/>
                      <w:kern w:val="1"/>
                      <w:sz w:val="21"/>
                      <w:szCs w:val="21"/>
                      <w:highlight w:val="none"/>
                      <w:lang w:val="en-US" w:eastAsia="zh-CN" w:bidi="ar-SA"/>
                    </w:rPr>
                    <w:t>接近设计标高时</w:t>
                  </w:r>
                  <w:r>
                    <w:rPr>
                      <w:rFonts w:hint="eastAsia" w:ascii="Times New Roman" w:hAnsi="Times New Roman" w:cs="Times New Roman"/>
                      <w:color w:val="auto"/>
                      <w:kern w:val="1"/>
                      <w:sz w:val="21"/>
                      <w:szCs w:val="21"/>
                      <w:highlight w:val="none"/>
                      <w:lang w:val="en-US" w:eastAsia="zh-CN" w:bidi="ar-SA"/>
                    </w:rPr>
                    <w:t>进行封场。</w:t>
                  </w:r>
                  <w:r>
                    <w:rPr>
                      <w:rFonts w:hint="eastAsia" w:cs="Times New Roman"/>
                      <w:color w:val="auto"/>
                      <w:kern w:val="1"/>
                      <w:sz w:val="21"/>
                      <w:szCs w:val="21"/>
                      <w:highlight w:val="none"/>
                      <w:lang w:val="en-US" w:eastAsia="zh-CN" w:bidi="ar-SA"/>
                    </w:rPr>
                    <w:t>堆填（砌）</w:t>
                  </w:r>
                  <w:r>
                    <w:rPr>
                      <w:rFonts w:hint="default" w:ascii="Times New Roman" w:hAnsi="Times New Roman" w:eastAsia="宋体" w:cs="Times New Roman"/>
                      <w:color w:val="auto"/>
                      <w:kern w:val="1"/>
                      <w:sz w:val="21"/>
                      <w:szCs w:val="21"/>
                      <w:highlight w:val="none"/>
                      <w:lang w:val="en-US" w:eastAsia="zh-CN" w:bidi="ar-SA"/>
                    </w:rPr>
                    <w:t>场封场覆盖结构各层应由下至上依次为</w:t>
                  </w:r>
                  <w:r>
                    <w:rPr>
                      <w:rFonts w:hint="eastAsia"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防渗层、排水层与植被层。</w:t>
                  </w:r>
                  <w:r>
                    <w:rPr>
                      <w:rFonts w:hint="eastAsia" w:cs="Times New Roman"/>
                      <w:color w:val="auto"/>
                      <w:kern w:val="1"/>
                      <w:sz w:val="21"/>
                      <w:szCs w:val="21"/>
                      <w:highlight w:val="none"/>
                      <w:lang w:val="en-US" w:eastAsia="zh-CN" w:bidi="ar-SA"/>
                    </w:rPr>
                    <w:t>堆填（砌）</w:t>
                  </w:r>
                  <w:r>
                    <w:rPr>
                      <w:rFonts w:hint="default" w:ascii="Times New Roman" w:hAnsi="Times New Roman" w:eastAsia="宋体" w:cs="Times New Roman"/>
                      <w:color w:val="auto"/>
                      <w:kern w:val="1"/>
                      <w:sz w:val="21"/>
                      <w:szCs w:val="21"/>
                      <w:highlight w:val="none"/>
                      <w:lang w:val="en-US" w:eastAsia="zh-CN" w:bidi="ar-SA"/>
                    </w:rPr>
                    <w:t>场封场覆盖应符合下列规定</w:t>
                  </w:r>
                  <w:r>
                    <w:rPr>
                      <w:rFonts w:hint="eastAsia" w:ascii="Times New Roman" w:hAnsi="Times New Roman" w:cs="Times New Roman"/>
                      <w:color w:val="auto"/>
                      <w:kern w:val="1"/>
                      <w:sz w:val="21"/>
                      <w:szCs w:val="21"/>
                      <w:highlight w:val="none"/>
                      <w:lang w:val="en-US" w:eastAsia="zh-CN" w:bidi="ar-SA"/>
                    </w:rPr>
                    <w:t>：</w:t>
                  </w:r>
                </w:p>
                <w:p w14:paraId="3CA890AD">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eastAsia" w:ascii="Times New Roman" w:hAnsi="Times New Roman"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1、</w:t>
                  </w:r>
                  <w:r>
                    <w:rPr>
                      <w:rFonts w:hint="default" w:ascii="Times New Roman" w:hAnsi="Times New Roman" w:eastAsia="宋体" w:cs="Times New Roman"/>
                      <w:color w:val="auto"/>
                      <w:kern w:val="1"/>
                      <w:sz w:val="21"/>
                      <w:szCs w:val="21"/>
                      <w:highlight w:val="none"/>
                      <w:lang w:val="en-US" w:eastAsia="zh-CN" w:bidi="ar-SA"/>
                    </w:rPr>
                    <w:t>防渗层</w:t>
                  </w:r>
                  <w:r>
                    <w:rPr>
                      <w:rFonts w:hint="eastAsia" w:ascii="Times New Roman" w:hAnsi="Times New Roman"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采用黏土层，采用黏土层的渗透系数不应大于1.0×10</w:t>
                  </w:r>
                  <w:r>
                    <w:rPr>
                      <w:rFonts w:hint="default" w:ascii="Times New Roman" w:hAnsi="Times New Roman" w:eastAsia="宋体" w:cs="Times New Roman"/>
                      <w:color w:val="auto"/>
                      <w:kern w:val="1"/>
                      <w:sz w:val="21"/>
                      <w:szCs w:val="21"/>
                      <w:highlight w:val="none"/>
                      <w:vertAlign w:val="superscript"/>
                      <w:lang w:val="en-US" w:eastAsia="zh-CN" w:bidi="ar-SA"/>
                    </w:rPr>
                    <w:t>-7</w:t>
                  </w:r>
                  <w:r>
                    <w:rPr>
                      <w:rFonts w:hint="default" w:ascii="Times New Roman" w:hAnsi="Times New Roman" w:eastAsia="宋体" w:cs="Times New Roman"/>
                      <w:color w:val="auto"/>
                      <w:kern w:val="1"/>
                      <w:sz w:val="21"/>
                      <w:szCs w:val="21"/>
                      <w:highlight w:val="none"/>
                      <w:lang w:val="en-US" w:eastAsia="zh-CN" w:bidi="ar-SA"/>
                    </w:rPr>
                    <w:t>cm/s，厚度为30cm</w:t>
                  </w:r>
                  <w:r>
                    <w:rPr>
                      <w:rFonts w:hint="eastAsia" w:ascii="Times New Roman" w:hAnsi="Times New Roman" w:cs="Times New Roman"/>
                      <w:color w:val="auto"/>
                      <w:kern w:val="1"/>
                      <w:sz w:val="21"/>
                      <w:szCs w:val="21"/>
                      <w:highlight w:val="none"/>
                      <w:lang w:val="en-US" w:eastAsia="zh-CN" w:bidi="ar-SA"/>
                    </w:rPr>
                    <w:t>；</w:t>
                  </w:r>
                </w:p>
                <w:p w14:paraId="4F7AEFBC">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firstLine="420" w:firstLineChars="200"/>
                    <w:jc w:val="left"/>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2、</w:t>
                  </w:r>
                  <w:r>
                    <w:rPr>
                      <w:rFonts w:hint="default" w:ascii="Times New Roman" w:hAnsi="Times New Roman" w:eastAsia="宋体" w:cs="Times New Roman"/>
                      <w:color w:val="auto"/>
                      <w:kern w:val="1"/>
                      <w:sz w:val="21"/>
                      <w:szCs w:val="21"/>
                      <w:highlight w:val="none"/>
                      <w:lang w:val="en-US" w:eastAsia="zh-CN" w:bidi="ar-SA"/>
                    </w:rPr>
                    <w:t>排水层</w:t>
                  </w:r>
                  <w:r>
                    <w:rPr>
                      <w:rFonts w:hint="eastAsia" w:ascii="Times New Roman" w:hAnsi="Times New Roman" w:cs="Times New Roman"/>
                      <w:color w:val="auto"/>
                      <w:kern w:val="1"/>
                      <w:sz w:val="21"/>
                      <w:szCs w:val="21"/>
                      <w:highlight w:val="none"/>
                      <w:lang w:val="en-US" w:eastAsia="zh-CN" w:bidi="ar-SA"/>
                    </w:rPr>
                    <w:t>：</w:t>
                  </w:r>
                  <w:r>
                    <w:rPr>
                      <w:rFonts w:hint="default" w:ascii="Times New Roman" w:hAnsi="Times New Roman" w:eastAsia="宋体" w:cs="Times New Roman"/>
                      <w:color w:val="auto"/>
                      <w:kern w:val="1"/>
                      <w:sz w:val="21"/>
                      <w:szCs w:val="21"/>
                      <w:highlight w:val="none"/>
                      <w:lang w:val="en-US" w:eastAsia="zh-CN" w:bidi="ar-SA"/>
                    </w:rPr>
                    <w:t>采用卵石，厚度为30cm</w:t>
                  </w:r>
                  <w:r>
                    <w:rPr>
                      <w:rFonts w:hint="eastAsia" w:cs="Times New Roman"/>
                      <w:color w:val="auto"/>
                      <w:kern w:val="1"/>
                      <w:sz w:val="21"/>
                      <w:szCs w:val="21"/>
                      <w:highlight w:val="none"/>
                      <w:lang w:val="en-US" w:eastAsia="zh-CN" w:bidi="ar-SA"/>
                    </w:rPr>
                    <w:t>，</w:t>
                  </w:r>
                  <w:r>
                    <w:rPr>
                      <w:rFonts w:hint="default"/>
                      <w:b w:val="0"/>
                      <w:bCs w:val="0"/>
                      <w:color w:val="auto"/>
                      <w:sz w:val="21"/>
                      <w:szCs w:val="21"/>
                      <w:highlight w:val="none"/>
                      <w:lang w:val="en-US" w:eastAsia="zh-CN"/>
                    </w:rPr>
                    <w:t>边坡采用土工复合排水网，厚度</w:t>
                  </w:r>
                  <w:r>
                    <w:rPr>
                      <w:rFonts w:hint="eastAsia"/>
                      <w:b w:val="0"/>
                      <w:bCs w:val="0"/>
                      <w:color w:val="auto"/>
                      <w:sz w:val="21"/>
                      <w:szCs w:val="21"/>
                      <w:highlight w:val="none"/>
                      <w:lang w:val="en-US" w:eastAsia="zh-CN"/>
                    </w:rPr>
                    <w:t>为</w:t>
                  </w:r>
                  <w:r>
                    <w:rPr>
                      <w:rFonts w:hint="default"/>
                      <w:b w:val="0"/>
                      <w:bCs w:val="0"/>
                      <w:color w:val="auto"/>
                      <w:sz w:val="21"/>
                      <w:szCs w:val="21"/>
                      <w:highlight w:val="none"/>
                      <w:lang w:val="en-US" w:eastAsia="zh-CN"/>
                    </w:rPr>
                    <w:t>5mm</w:t>
                  </w:r>
                  <w:r>
                    <w:rPr>
                      <w:rFonts w:hint="eastAsia" w:ascii="Times New Roman" w:hAnsi="Times New Roman" w:cs="Times New Roman"/>
                      <w:color w:val="auto"/>
                      <w:kern w:val="1"/>
                      <w:sz w:val="21"/>
                      <w:szCs w:val="21"/>
                      <w:highlight w:val="none"/>
                      <w:lang w:val="en-US" w:eastAsia="zh-CN" w:bidi="ar-SA"/>
                    </w:rPr>
                    <w:t>；</w:t>
                  </w:r>
                </w:p>
                <w:p w14:paraId="143C24DE">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highlight w:val="none"/>
                      <w:lang w:val="en-US" w:eastAsia="zh-CN"/>
                    </w:rPr>
                  </w:pPr>
                  <w:r>
                    <w:rPr>
                      <w:rFonts w:hint="eastAsia" w:ascii="Times New Roman" w:hAnsi="Times New Roman" w:cs="Times New Roman"/>
                      <w:color w:val="auto"/>
                      <w:kern w:val="1"/>
                      <w:sz w:val="21"/>
                      <w:szCs w:val="21"/>
                      <w:highlight w:val="none"/>
                      <w:lang w:val="en-US" w:eastAsia="zh-CN" w:bidi="ar-SA"/>
                    </w:rPr>
                    <w:t>3、</w:t>
                  </w:r>
                  <w:r>
                    <w:rPr>
                      <w:rFonts w:hint="default" w:ascii="Times New Roman" w:hAnsi="Times New Roman" w:eastAsia="宋体" w:cs="Times New Roman"/>
                      <w:color w:val="auto"/>
                      <w:kern w:val="1"/>
                      <w:sz w:val="21"/>
                      <w:szCs w:val="21"/>
                      <w:highlight w:val="none"/>
                      <w:lang w:val="en-US" w:eastAsia="zh-CN" w:bidi="ar-SA"/>
                    </w:rPr>
                    <w:t>植被层</w:t>
                  </w:r>
                  <w:r>
                    <w:rPr>
                      <w:rFonts w:hint="eastAsia" w:ascii="Times New Roman" w:hAnsi="Times New Roman" w:cs="Times New Roman"/>
                      <w:color w:val="auto"/>
                      <w:kern w:val="1"/>
                      <w:sz w:val="21"/>
                      <w:szCs w:val="21"/>
                      <w:highlight w:val="none"/>
                      <w:lang w:val="en-US" w:eastAsia="zh-CN" w:bidi="ar-SA"/>
                    </w:rPr>
                    <w:t>：采用自然土加表层营养土回填，自然土厚度为35cm，营养土厚度为15cm，植被层压实度大于80%</w:t>
                  </w:r>
                  <w:r>
                    <w:rPr>
                      <w:rFonts w:hint="default" w:ascii="Times New Roman" w:hAnsi="Times New Roman" w:eastAsia="宋体" w:cs="Times New Roman"/>
                      <w:color w:val="auto"/>
                      <w:kern w:val="1"/>
                      <w:sz w:val="21"/>
                      <w:szCs w:val="21"/>
                      <w:highlight w:val="none"/>
                      <w:lang w:val="en-US" w:eastAsia="zh-CN" w:bidi="ar-SA"/>
                    </w:rPr>
                    <w:t>。回填至设计标高后回填体采用植被覆盖封闭。具体覆土厚度根据土壤特性和复垦方向要求确定</w:t>
                  </w:r>
                  <w:r>
                    <w:rPr>
                      <w:rFonts w:hint="eastAsia" w:ascii="Times New Roman" w:hAnsi="Times New Roman" w:cs="Times New Roman"/>
                      <w:color w:val="auto"/>
                      <w:kern w:val="1"/>
                      <w:sz w:val="21"/>
                      <w:szCs w:val="21"/>
                      <w:highlight w:val="none"/>
                      <w:lang w:val="en-US" w:eastAsia="zh-CN" w:bidi="ar-SA"/>
                    </w:rPr>
                    <w:t>。</w:t>
                  </w:r>
                </w:p>
              </w:tc>
            </w:tr>
            <w:tr w14:paraId="75A17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restart"/>
                  <w:tcBorders>
                    <w:tl2br w:val="nil"/>
                    <w:tr2bl w:val="nil"/>
                  </w:tcBorders>
                  <w:noWrap w:val="0"/>
                  <w:vAlign w:val="center"/>
                </w:tcPr>
                <w:p w14:paraId="2D7449C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公用工程</w:t>
                  </w:r>
                </w:p>
              </w:tc>
              <w:tc>
                <w:tcPr>
                  <w:tcW w:w="1436" w:type="dxa"/>
                  <w:gridSpan w:val="2"/>
                  <w:tcBorders>
                    <w:tl2br w:val="nil"/>
                    <w:tr2bl w:val="nil"/>
                  </w:tcBorders>
                  <w:noWrap w:val="0"/>
                  <w:vAlign w:val="center"/>
                </w:tcPr>
                <w:p w14:paraId="334BAE1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取暖</w:t>
                  </w:r>
                </w:p>
              </w:tc>
              <w:tc>
                <w:tcPr>
                  <w:tcW w:w="5675" w:type="dxa"/>
                  <w:tcBorders>
                    <w:tl2br w:val="nil"/>
                    <w:tr2bl w:val="nil"/>
                  </w:tcBorders>
                  <w:noWrap w:val="0"/>
                  <w:vAlign w:val="center"/>
                </w:tcPr>
                <w:p w14:paraId="141F0E1B">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lang w:val="en-US"/>
                    </w:rPr>
                  </w:pPr>
                  <w:r>
                    <w:rPr>
                      <w:rFonts w:hint="eastAsia"/>
                      <w:color w:val="auto"/>
                      <w:sz w:val="21"/>
                      <w:szCs w:val="21"/>
                      <w:highlight w:val="none"/>
                      <w:lang w:val="en-US" w:eastAsia="zh-CN"/>
                    </w:rPr>
                    <w:t>办公取暖采用单体空调取暖，以电为能源</w:t>
                  </w:r>
                  <w:r>
                    <w:rPr>
                      <w:rFonts w:hint="eastAsia" w:cs="Times New Roman"/>
                      <w:color w:val="auto"/>
                      <w:sz w:val="21"/>
                      <w:szCs w:val="21"/>
                      <w:highlight w:val="none"/>
                      <w:lang w:val="en-US" w:eastAsia="zh-CN"/>
                    </w:rPr>
                    <w:t>。</w:t>
                  </w:r>
                </w:p>
              </w:tc>
            </w:tr>
            <w:tr w14:paraId="1BCE70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5C2AEB0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4A0871B">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给水</w:t>
                  </w:r>
                </w:p>
              </w:tc>
              <w:tc>
                <w:tcPr>
                  <w:tcW w:w="5675" w:type="dxa"/>
                  <w:tcBorders>
                    <w:tl2br w:val="nil"/>
                    <w:tr2bl w:val="nil"/>
                  </w:tcBorders>
                  <w:noWrap w:val="0"/>
                  <w:vAlign w:val="center"/>
                </w:tcPr>
                <w:p w14:paraId="3319A408">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本项目</w:t>
                  </w:r>
                  <w:r>
                    <w:rPr>
                      <w:rFonts w:hint="eastAsia"/>
                      <w:color w:val="auto"/>
                      <w:highlight w:val="none"/>
                      <w:lang w:val="en-US" w:eastAsia="zh-CN"/>
                    </w:rPr>
                    <w:t>生活用水外购桶装水，迁安市建勇矿业有限公司（原名迁安市泉鑫铁选有限公司）为本项目提供场区抑尘用水、洗车用水供水服务，迁安市建勇矿业有限公司已取得取水许可证，编号：D130283S2021-0039，年许可取水量：9.5万立方米，取水水源为地表水，迁安市建勇矿业有限公司与本项目运距约3km，实际年用水量约8万立方米，年富裕水量约1.5万立方米，本项目场区抑尘、洗车年用水量3222立方米，可满足本项目用水需求</w:t>
                  </w:r>
                  <w:r>
                    <w:rPr>
                      <w:rFonts w:hint="eastAsia"/>
                      <w:color w:val="auto"/>
                      <w:sz w:val="21"/>
                      <w:szCs w:val="21"/>
                      <w:highlight w:val="none"/>
                      <w:lang w:val="en-US" w:eastAsia="zh-CN"/>
                    </w:rPr>
                    <w:t>。</w:t>
                  </w:r>
                </w:p>
              </w:tc>
            </w:tr>
            <w:tr w14:paraId="5D5571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575" w:hRule="atLeast"/>
                <w:jc w:val="center"/>
              </w:trPr>
              <w:tc>
                <w:tcPr>
                  <w:tcW w:w="996" w:type="dxa"/>
                  <w:vMerge w:val="continue"/>
                  <w:tcBorders>
                    <w:tl2br w:val="nil"/>
                    <w:tr2bl w:val="nil"/>
                  </w:tcBorders>
                  <w:noWrap w:val="0"/>
                  <w:vAlign w:val="center"/>
                </w:tcPr>
                <w:p w14:paraId="268F452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shd w:val="clear" w:color="auto" w:fill="auto"/>
                  <w:noWrap w:val="0"/>
                  <w:vAlign w:val="center"/>
                </w:tcPr>
                <w:p w14:paraId="32A5641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排水</w:t>
                  </w:r>
                </w:p>
              </w:tc>
              <w:tc>
                <w:tcPr>
                  <w:tcW w:w="5675" w:type="dxa"/>
                  <w:tcBorders>
                    <w:tl2br w:val="nil"/>
                    <w:tr2bl w:val="nil"/>
                  </w:tcBorders>
                  <w:shd w:val="clear" w:color="auto" w:fill="auto"/>
                  <w:noWrap w:val="0"/>
                  <w:vAlign w:val="center"/>
                </w:tcPr>
                <w:p w14:paraId="77486173">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kern w:val="1"/>
                      <w:sz w:val="21"/>
                      <w:szCs w:val="21"/>
                      <w:highlight w:val="none"/>
                      <w:lang w:val="en-US" w:eastAsia="zh-CN" w:bidi="ar-SA"/>
                    </w:rPr>
                    <w:t>采取雨污分流，项目</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区场地外周边设置截洪沟，场外雨水经截洪沟收集后经西侧沉砂池消除水流能量和沉淀后排入周边沟渠；建筑垃圾</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区场地西侧配套设置</w:t>
                  </w:r>
                  <w:r>
                    <w:rPr>
                      <w:rFonts w:hint="eastAsia" w:cs="Times New Roman"/>
                      <w:color w:val="auto"/>
                      <w:kern w:val="1"/>
                      <w:sz w:val="21"/>
                      <w:szCs w:val="21"/>
                      <w:highlight w:val="none"/>
                      <w:lang w:val="en-US" w:eastAsia="zh-CN" w:bidi="ar-SA"/>
                    </w:rPr>
                    <w:t>沉淀</w:t>
                  </w:r>
                  <w:r>
                    <w:rPr>
                      <w:rFonts w:hint="eastAsia" w:ascii="Times New Roman" w:hAnsi="Times New Roman" w:cs="Times New Roman"/>
                      <w:color w:val="auto"/>
                      <w:kern w:val="1"/>
                      <w:sz w:val="21"/>
                      <w:szCs w:val="21"/>
                      <w:highlight w:val="none"/>
                      <w:lang w:val="en-US" w:eastAsia="zh-CN" w:bidi="ar-SA"/>
                    </w:rPr>
                    <w:t>池</w:t>
                  </w:r>
                  <w:r>
                    <w:rPr>
                      <w:rFonts w:hint="eastAsia" w:cs="Times New Roman"/>
                      <w:color w:val="auto"/>
                      <w:kern w:val="1"/>
                      <w:sz w:val="21"/>
                      <w:szCs w:val="21"/>
                      <w:highlight w:val="none"/>
                      <w:lang w:val="en-US" w:eastAsia="zh-CN" w:bidi="ar-SA"/>
                    </w:rPr>
                    <w:t>（</w:t>
                  </w:r>
                  <w:r>
                    <w:rPr>
                      <w:rFonts w:hint="eastAsia" w:ascii="Times New Roman" w:hAnsi="Times New Roman" w:cs="Times New Roman"/>
                      <w:color w:val="auto"/>
                      <w:kern w:val="1"/>
                      <w:sz w:val="21"/>
                      <w:szCs w:val="21"/>
                      <w:highlight w:val="none"/>
                      <w:lang w:val="en-US" w:eastAsia="zh-CN" w:bidi="ar-SA"/>
                    </w:rPr>
                    <w:t>1座，容积：</w:t>
                  </w:r>
                  <w:r>
                    <w:rPr>
                      <w:rFonts w:hint="eastAsia" w:cs="Times New Roman"/>
                      <w:color w:val="auto"/>
                      <w:kern w:val="1"/>
                      <w:sz w:val="21"/>
                      <w:szCs w:val="21"/>
                      <w:highlight w:val="none"/>
                      <w:lang w:val="en-US" w:eastAsia="zh-CN" w:bidi="ar-SA"/>
                    </w:rPr>
                    <w:t>3</w:t>
                  </w:r>
                  <w:r>
                    <w:rPr>
                      <w:rFonts w:hint="eastAsia" w:ascii="Times New Roman" w:hAnsi="Times New Roman" w:cs="Times New Roman"/>
                      <w:color w:val="auto"/>
                      <w:kern w:val="1"/>
                      <w:sz w:val="21"/>
                      <w:szCs w:val="21"/>
                      <w:highlight w:val="none"/>
                      <w:lang w:val="en-US" w:eastAsia="zh-CN" w:bidi="ar-SA"/>
                    </w:rPr>
                    <w:t>00m</w:t>
                  </w:r>
                  <w:r>
                    <w:rPr>
                      <w:rFonts w:hint="eastAsia" w:ascii="Times New Roman" w:hAnsi="Times New Roman" w:cs="Times New Roman"/>
                      <w:color w:val="auto"/>
                      <w:kern w:val="1"/>
                      <w:sz w:val="21"/>
                      <w:szCs w:val="21"/>
                      <w:highlight w:val="none"/>
                      <w:vertAlign w:val="superscript"/>
                      <w:lang w:val="en-US" w:eastAsia="zh-CN" w:bidi="ar-SA"/>
                    </w:rPr>
                    <w:t>3</w:t>
                  </w:r>
                  <w:r>
                    <w:rPr>
                      <w:rFonts w:hint="eastAsia" w:cs="Times New Roman"/>
                      <w:color w:val="auto"/>
                      <w:kern w:val="1"/>
                      <w:sz w:val="21"/>
                      <w:szCs w:val="21"/>
                      <w:highlight w:val="none"/>
                      <w:lang w:val="en-US" w:eastAsia="zh-CN" w:bidi="ar-SA"/>
                    </w:rPr>
                    <w:t>）</w:t>
                  </w:r>
                  <w:r>
                    <w:rPr>
                      <w:rFonts w:hint="eastAsia" w:ascii="Times New Roman" w:hAnsi="Times New Roman" w:cs="Times New Roman"/>
                      <w:color w:val="auto"/>
                      <w:kern w:val="1"/>
                      <w:sz w:val="21"/>
                      <w:szCs w:val="21"/>
                      <w:highlight w:val="none"/>
                      <w:lang w:val="en-US" w:eastAsia="zh-CN" w:bidi="ar-SA"/>
                    </w:rPr>
                    <w:t>，地下水导排系统收集的坑体和场底渗出的少量地下水引至沉淀池，</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区淋溶水经</w:t>
                  </w:r>
                  <w:r>
                    <w:rPr>
                      <w:rFonts w:hint="eastAsia" w:cs="Times New Roman"/>
                      <w:color w:val="auto"/>
                      <w:kern w:val="1"/>
                      <w:sz w:val="21"/>
                      <w:szCs w:val="21"/>
                      <w:highlight w:val="none"/>
                      <w:lang w:val="en-US" w:eastAsia="zh-CN" w:bidi="ar-SA"/>
                    </w:rPr>
                    <w:t>集水</w:t>
                  </w:r>
                  <w:r>
                    <w:rPr>
                      <w:rFonts w:hint="eastAsia" w:ascii="Times New Roman" w:hAnsi="Times New Roman" w:cs="Times New Roman"/>
                      <w:color w:val="auto"/>
                      <w:kern w:val="1"/>
                      <w:sz w:val="21"/>
                      <w:szCs w:val="21"/>
                      <w:highlight w:val="none"/>
                      <w:lang w:val="en-US" w:eastAsia="zh-CN" w:bidi="ar-SA"/>
                    </w:rPr>
                    <w:t>管收集后进入</w:t>
                  </w:r>
                  <w:r>
                    <w:rPr>
                      <w:rFonts w:hint="eastAsia" w:cs="Times New Roman"/>
                      <w:color w:val="auto"/>
                      <w:kern w:val="1"/>
                      <w:sz w:val="21"/>
                      <w:szCs w:val="21"/>
                      <w:highlight w:val="none"/>
                      <w:lang w:val="en-US" w:eastAsia="zh-CN" w:bidi="ar-SA"/>
                    </w:rPr>
                    <w:t>集液井，随后泵</w:t>
                  </w:r>
                  <w:r>
                    <w:rPr>
                      <w:rFonts w:hint="eastAsia" w:ascii="Times New Roman" w:hAnsi="Times New Roman" w:cs="Times New Roman"/>
                      <w:color w:val="auto"/>
                      <w:kern w:val="1"/>
                      <w:sz w:val="21"/>
                      <w:szCs w:val="21"/>
                      <w:highlight w:val="none"/>
                      <w:lang w:val="en-US" w:eastAsia="zh-CN" w:bidi="ar-SA"/>
                    </w:rPr>
                    <w:t>至沉淀池处理后，分批次回用作区域抑尘用水，不外排。</w:t>
                  </w:r>
                  <w:r>
                    <w:rPr>
                      <w:rFonts w:hint="eastAsia"/>
                      <w:color w:val="auto"/>
                      <w:sz w:val="21"/>
                      <w:szCs w:val="21"/>
                      <w:highlight w:val="none"/>
                      <w:lang w:val="en-US" w:eastAsia="zh-CN"/>
                    </w:rPr>
                    <w:t>洗车废水沉淀后循环使用；生活污水泼洒抑尘，无废水外排。</w:t>
                  </w:r>
                </w:p>
              </w:tc>
            </w:tr>
            <w:tr w14:paraId="0827D5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177D54E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23FB649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供电</w:t>
                  </w:r>
                </w:p>
              </w:tc>
              <w:tc>
                <w:tcPr>
                  <w:tcW w:w="5675" w:type="dxa"/>
                  <w:tcBorders>
                    <w:tl2br w:val="nil"/>
                    <w:tr2bl w:val="nil"/>
                  </w:tcBorders>
                  <w:noWrap w:val="0"/>
                  <w:vAlign w:val="center"/>
                </w:tcPr>
                <w:p w14:paraId="0948DDFB">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依托本地电网。</w:t>
                  </w:r>
                </w:p>
              </w:tc>
            </w:tr>
            <w:tr w14:paraId="67580A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restart"/>
                  <w:tcBorders>
                    <w:tl2br w:val="nil"/>
                    <w:tr2bl w:val="nil"/>
                  </w:tcBorders>
                  <w:noWrap w:val="0"/>
                  <w:vAlign w:val="center"/>
                </w:tcPr>
                <w:p w14:paraId="5CA07D3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辅助工程</w:t>
                  </w:r>
                </w:p>
              </w:tc>
              <w:tc>
                <w:tcPr>
                  <w:tcW w:w="1436" w:type="dxa"/>
                  <w:gridSpan w:val="2"/>
                  <w:tcBorders>
                    <w:tl2br w:val="nil"/>
                    <w:tr2bl w:val="nil"/>
                  </w:tcBorders>
                  <w:noWrap w:val="0"/>
                  <w:vAlign w:val="center"/>
                </w:tcPr>
                <w:p w14:paraId="5244C25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办公用房</w:t>
                  </w:r>
                </w:p>
              </w:tc>
              <w:tc>
                <w:tcPr>
                  <w:tcW w:w="5675" w:type="dxa"/>
                  <w:tcBorders>
                    <w:tl2br w:val="nil"/>
                    <w:tr2bl w:val="nil"/>
                  </w:tcBorders>
                  <w:noWrap w:val="0"/>
                  <w:vAlign w:val="center"/>
                </w:tcPr>
                <w:p w14:paraId="2AEA67C0">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lang w:val="en-US" w:eastAsia="zh-CN"/>
                    </w:rPr>
                  </w:pPr>
                  <w:r>
                    <w:rPr>
                      <w:rFonts w:hint="eastAsia"/>
                      <w:color w:val="auto"/>
                      <w:sz w:val="21"/>
                      <w:szCs w:val="21"/>
                      <w:highlight w:val="none"/>
                      <w:vertAlign w:val="baseline"/>
                      <w:lang w:val="en-US" w:eastAsia="zh-CN"/>
                    </w:rPr>
                    <w:t>设置1座办公用房，50m</w:t>
                  </w:r>
                  <w:r>
                    <w:rPr>
                      <w:rFonts w:hint="eastAsia"/>
                      <w:color w:val="auto"/>
                      <w:sz w:val="21"/>
                      <w:szCs w:val="21"/>
                      <w:highlight w:val="none"/>
                      <w:vertAlign w:val="superscript"/>
                      <w:lang w:val="en-US" w:eastAsia="zh-CN"/>
                    </w:rPr>
                    <w:t>2</w:t>
                  </w:r>
                  <w:r>
                    <w:rPr>
                      <w:rFonts w:hint="eastAsia"/>
                      <w:color w:val="auto"/>
                      <w:sz w:val="21"/>
                      <w:szCs w:val="21"/>
                      <w:highlight w:val="none"/>
                      <w:vertAlign w:val="baseline"/>
                      <w:lang w:val="en-US" w:eastAsia="zh-CN"/>
                    </w:rPr>
                    <w:t>，用于办公和职工休息。</w:t>
                  </w:r>
                </w:p>
              </w:tc>
            </w:tr>
            <w:tr w14:paraId="45C5D1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0903C9F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B6C541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洗车平台</w:t>
                  </w:r>
                </w:p>
              </w:tc>
              <w:tc>
                <w:tcPr>
                  <w:tcW w:w="5675" w:type="dxa"/>
                  <w:tcBorders>
                    <w:tl2br w:val="nil"/>
                    <w:tr2bl w:val="nil"/>
                  </w:tcBorders>
                  <w:noWrap w:val="0"/>
                  <w:vAlign w:val="center"/>
                </w:tcPr>
                <w:p w14:paraId="35F66415">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设置1座洗车平台，用于对进出场车辆清洗。</w:t>
                  </w:r>
                </w:p>
              </w:tc>
            </w:tr>
            <w:tr w14:paraId="586D3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restart"/>
                  <w:tcBorders>
                    <w:tl2br w:val="nil"/>
                    <w:tr2bl w:val="nil"/>
                  </w:tcBorders>
                  <w:noWrap w:val="0"/>
                  <w:vAlign w:val="center"/>
                </w:tcPr>
                <w:p w14:paraId="31A5D69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储运工程</w:t>
                  </w:r>
                </w:p>
              </w:tc>
              <w:tc>
                <w:tcPr>
                  <w:tcW w:w="1436" w:type="dxa"/>
                  <w:gridSpan w:val="2"/>
                  <w:tcBorders>
                    <w:tl2br w:val="nil"/>
                    <w:tr2bl w:val="nil"/>
                  </w:tcBorders>
                  <w:noWrap w:val="0"/>
                  <w:vAlign w:val="center"/>
                </w:tcPr>
                <w:p w14:paraId="21BA3207">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建筑垃圾运输</w:t>
                  </w:r>
                </w:p>
              </w:tc>
              <w:tc>
                <w:tcPr>
                  <w:tcW w:w="5675" w:type="dxa"/>
                  <w:tcBorders>
                    <w:tl2br w:val="nil"/>
                    <w:tr2bl w:val="nil"/>
                  </w:tcBorders>
                  <w:noWrap w:val="0"/>
                  <w:vAlign w:val="center"/>
                </w:tcPr>
                <w:p w14:paraId="0E2AEEB7">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采用国五及以上排放标准或新能源车辆运输。</w:t>
                  </w:r>
                </w:p>
              </w:tc>
            </w:tr>
            <w:tr w14:paraId="6E88C3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996" w:type="dxa"/>
                  <w:vMerge w:val="continue"/>
                  <w:tcBorders>
                    <w:tl2br w:val="nil"/>
                    <w:tr2bl w:val="nil"/>
                  </w:tcBorders>
                  <w:noWrap w:val="0"/>
                  <w:vAlign w:val="center"/>
                </w:tcPr>
                <w:p w14:paraId="4103F1A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65E1990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场内道路</w:t>
                  </w:r>
                </w:p>
              </w:tc>
              <w:tc>
                <w:tcPr>
                  <w:tcW w:w="5675" w:type="dxa"/>
                  <w:tcBorders>
                    <w:tl2br w:val="nil"/>
                    <w:tr2bl w:val="nil"/>
                  </w:tcBorders>
                  <w:shd w:val="clear" w:color="auto" w:fill="auto"/>
                  <w:noWrap w:val="0"/>
                  <w:vAlign w:val="center"/>
                </w:tcPr>
                <w:p w14:paraId="27433BBB">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场内道路为新建水泥混凝土路面。</w:t>
                  </w:r>
                </w:p>
              </w:tc>
            </w:tr>
            <w:tr w14:paraId="4133F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96" w:hRule="atLeast"/>
                <w:jc w:val="center"/>
              </w:trPr>
              <w:tc>
                <w:tcPr>
                  <w:tcW w:w="996" w:type="dxa"/>
                  <w:vMerge w:val="continue"/>
                  <w:tcBorders>
                    <w:tl2br w:val="nil"/>
                    <w:tr2bl w:val="nil"/>
                  </w:tcBorders>
                  <w:noWrap w:val="0"/>
                  <w:vAlign w:val="center"/>
                </w:tcPr>
                <w:p w14:paraId="312DDBD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42A26EC2">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场外道路</w:t>
                  </w:r>
                </w:p>
              </w:tc>
              <w:tc>
                <w:tcPr>
                  <w:tcW w:w="5675" w:type="dxa"/>
                  <w:tcBorders>
                    <w:tl2br w:val="nil"/>
                    <w:tr2bl w:val="nil"/>
                  </w:tcBorders>
                  <w:shd w:val="clear" w:color="auto" w:fill="auto"/>
                  <w:noWrap w:val="0"/>
                  <w:vAlign w:val="center"/>
                </w:tcPr>
                <w:p w14:paraId="290ADF24">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依托现有道路，经迁擂公路、乡村路运输进场，</w:t>
                  </w:r>
                  <w:r>
                    <w:rPr>
                      <w:rFonts w:hint="eastAsia"/>
                      <w:b w:val="0"/>
                      <w:bCs w:val="0"/>
                      <w:color w:val="auto"/>
                      <w:highlight w:val="none"/>
                      <w:lang w:val="en-US" w:eastAsia="zh-CN"/>
                    </w:rPr>
                    <w:t>运输过程中覆盖篷布，经过村庄路段缓慢行驶，减少鸣笛。</w:t>
                  </w:r>
                </w:p>
              </w:tc>
            </w:tr>
            <w:tr w14:paraId="2E2F1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6" w:hRule="atLeast"/>
                <w:jc w:val="center"/>
              </w:trPr>
              <w:tc>
                <w:tcPr>
                  <w:tcW w:w="996" w:type="dxa"/>
                  <w:vMerge w:val="continue"/>
                  <w:tcBorders>
                    <w:tl2br w:val="nil"/>
                    <w:tr2bl w:val="nil"/>
                  </w:tcBorders>
                  <w:noWrap w:val="0"/>
                  <w:vAlign w:val="center"/>
                </w:tcPr>
                <w:p w14:paraId="3AAA8C3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AD448F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储水罐</w:t>
                  </w:r>
                </w:p>
              </w:tc>
              <w:tc>
                <w:tcPr>
                  <w:tcW w:w="5675" w:type="dxa"/>
                  <w:tcBorders>
                    <w:tl2br w:val="nil"/>
                    <w:tr2bl w:val="nil"/>
                  </w:tcBorders>
                  <w:shd w:val="clear" w:color="auto" w:fill="auto"/>
                  <w:noWrap w:val="0"/>
                  <w:vAlign w:val="center"/>
                </w:tcPr>
                <w:p w14:paraId="70CB003F">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设置1座30m</w:t>
                  </w:r>
                  <w:r>
                    <w:rPr>
                      <w:rFonts w:hint="eastAsia"/>
                      <w:color w:val="auto"/>
                      <w:sz w:val="21"/>
                      <w:szCs w:val="21"/>
                      <w:highlight w:val="none"/>
                      <w:vertAlign w:val="superscript"/>
                      <w:lang w:val="en-US" w:eastAsia="zh-CN"/>
                    </w:rPr>
                    <w:t>3</w:t>
                  </w:r>
                  <w:r>
                    <w:rPr>
                      <w:rFonts w:hint="eastAsia"/>
                      <w:color w:val="auto"/>
                      <w:sz w:val="21"/>
                      <w:szCs w:val="21"/>
                      <w:highlight w:val="none"/>
                      <w:vertAlign w:val="baseline"/>
                      <w:lang w:val="en-US" w:eastAsia="zh-CN"/>
                    </w:rPr>
                    <w:t>的储水罐，用于储存本项目</w:t>
                  </w:r>
                  <w:r>
                    <w:rPr>
                      <w:rFonts w:hint="eastAsia"/>
                      <w:color w:val="auto"/>
                      <w:highlight w:val="none"/>
                      <w:lang w:val="en-US" w:eastAsia="zh-CN"/>
                    </w:rPr>
                    <w:t>抑尘用水、洗车用水</w:t>
                  </w:r>
                  <w:r>
                    <w:rPr>
                      <w:rFonts w:hint="eastAsia"/>
                      <w:color w:val="auto"/>
                      <w:sz w:val="21"/>
                      <w:szCs w:val="21"/>
                      <w:highlight w:val="none"/>
                      <w:vertAlign w:val="baseline"/>
                      <w:lang w:val="en-US" w:eastAsia="zh-CN"/>
                    </w:rPr>
                    <w:t>。</w:t>
                  </w:r>
                </w:p>
              </w:tc>
            </w:tr>
            <w:tr w14:paraId="06434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996" w:type="dxa"/>
                  <w:vMerge w:val="restart"/>
                  <w:tcBorders>
                    <w:tl2br w:val="nil"/>
                    <w:tr2bl w:val="nil"/>
                  </w:tcBorders>
                  <w:noWrap w:val="0"/>
                  <w:vAlign w:val="center"/>
                </w:tcPr>
                <w:p w14:paraId="1D3B588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环保工程</w:t>
                  </w:r>
                </w:p>
              </w:tc>
              <w:tc>
                <w:tcPr>
                  <w:tcW w:w="1436" w:type="dxa"/>
                  <w:gridSpan w:val="2"/>
                  <w:tcBorders>
                    <w:tl2br w:val="nil"/>
                    <w:tr2bl w:val="nil"/>
                  </w:tcBorders>
                  <w:noWrap w:val="0"/>
                  <w:vAlign w:val="center"/>
                </w:tcPr>
                <w:p w14:paraId="02FF8771">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废气</w:t>
                  </w:r>
                </w:p>
              </w:tc>
              <w:tc>
                <w:tcPr>
                  <w:tcW w:w="5675" w:type="dxa"/>
                  <w:tcBorders>
                    <w:tl2br w:val="nil"/>
                    <w:tr2bl w:val="nil"/>
                  </w:tcBorders>
                  <w:noWrap w:val="0"/>
                  <w:vAlign w:val="center"/>
                </w:tcPr>
                <w:p w14:paraId="6538C94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default"/>
                      <w:color w:val="auto"/>
                      <w:sz w:val="21"/>
                      <w:szCs w:val="21"/>
                      <w:highlight w:val="none"/>
                      <w:lang w:val="en-US" w:eastAsia="zh-CN"/>
                    </w:rPr>
                  </w:pPr>
                  <w:r>
                    <w:rPr>
                      <w:rFonts w:hint="eastAsia"/>
                      <w:color w:val="auto"/>
                      <w:sz w:val="21"/>
                      <w:szCs w:val="21"/>
                      <w:highlight w:val="none"/>
                      <w:lang w:val="en-US" w:eastAsia="zh-CN"/>
                    </w:rPr>
                    <w:t>（1）堆填（砌）</w:t>
                  </w:r>
                  <w:r>
                    <w:rPr>
                      <w:rFonts w:hint="default"/>
                      <w:color w:val="auto"/>
                      <w:sz w:val="21"/>
                      <w:szCs w:val="21"/>
                      <w:highlight w:val="none"/>
                      <w:lang w:val="en-US" w:eastAsia="zh-CN"/>
                    </w:rPr>
                    <w:t>场及时覆盖、压实作业面；配备1台洒水车定期洒水降尘</w:t>
                  </w:r>
                  <w:r>
                    <w:rPr>
                      <w:rFonts w:hint="eastAsia"/>
                      <w:color w:val="auto"/>
                      <w:sz w:val="21"/>
                      <w:szCs w:val="21"/>
                      <w:highlight w:val="none"/>
                      <w:lang w:val="en-US" w:eastAsia="zh-CN"/>
                    </w:rPr>
                    <w:t>，运输车辆加盖苫布</w:t>
                  </w:r>
                  <w:r>
                    <w:rPr>
                      <w:rFonts w:hint="default"/>
                      <w:color w:val="auto"/>
                      <w:sz w:val="21"/>
                      <w:szCs w:val="21"/>
                      <w:highlight w:val="none"/>
                      <w:lang w:val="en-US" w:eastAsia="zh-CN"/>
                    </w:rPr>
                    <w:t>。</w:t>
                  </w:r>
                </w:p>
                <w:p w14:paraId="4A6980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eastAsia"/>
                      <w:color w:val="auto"/>
                      <w:sz w:val="21"/>
                      <w:szCs w:val="21"/>
                      <w:highlight w:val="none"/>
                      <w:lang w:val="en-US" w:eastAsia="zh-CN"/>
                    </w:rPr>
                    <w:t>（2）堆填（砌）</w:t>
                  </w:r>
                  <w:r>
                    <w:rPr>
                      <w:rFonts w:hint="default"/>
                      <w:color w:val="auto"/>
                      <w:sz w:val="21"/>
                      <w:szCs w:val="21"/>
                      <w:highlight w:val="none"/>
                      <w:lang w:val="en-US" w:eastAsia="zh-CN"/>
                    </w:rPr>
                    <w:t>场运输车辆装卸降低高度落差，移动雾炮喷雾抑</w:t>
                  </w:r>
                  <w:r>
                    <w:rPr>
                      <w:rFonts w:hint="default" w:ascii="Times New Roman" w:hAnsi="Times New Roman" w:cs="Times New Roman"/>
                      <w:color w:val="auto"/>
                      <w:sz w:val="21"/>
                      <w:szCs w:val="21"/>
                      <w:highlight w:val="none"/>
                      <w:lang w:val="en-US" w:eastAsia="zh-CN"/>
                    </w:rPr>
                    <w:t>尘</w:t>
                  </w:r>
                  <w:r>
                    <w:rPr>
                      <w:rFonts w:hint="eastAsia" w:ascii="Times New Roman" w:hAnsi="Times New Roman" w:cs="Times New Roman"/>
                      <w:color w:val="auto"/>
                      <w:sz w:val="21"/>
                      <w:szCs w:val="21"/>
                      <w:highlight w:val="none"/>
                      <w:lang w:val="en-US" w:eastAsia="zh-CN"/>
                    </w:rPr>
                    <w:t>，场区设置洗车平台，对进出场车辆进行清洗</w:t>
                  </w:r>
                  <w:r>
                    <w:rPr>
                      <w:rFonts w:hint="default" w:ascii="Times New Roman" w:hAnsi="Times New Roman" w:cs="Times New Roman"/>
                      <w:color w:val="auto"/>
                      <w:sz w:val="21"/>
                      <w:szCs w:val="21"/>
                      <w:highlight w:val="none"/>
                      <w:lang w:val="en-US" w:eastAsia="zh-CN"/>
                    </w:rPr>
                    <w:t>。</w:t>
                  </w:r>
                </w:p>
                <w:p w14:paraId="177CF3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default"/>
                      <w:color w:val="auto"/>
                      <w:highlight w:val="none"/>
                      <w:lang w:val="en-US" w:eastAsia="zh-CN"/>
                    </w:rPr>
                  </w:pPr>
                  <w:r>
                    <w:rPr>
                      <w:rFonts w:hint="eastAsia"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设专人针对场区内遗落的建筑垃圾进行定期清扫，保持地面清洁，减少二次扬尘</w:t>
                  </w:r>
                  <w:r>
                    <w:rPr>
                      <w:rFonts w:hint="eastAsia" w:ascii="Times New Roman" w:hAnsi="Times New Roman" w:cs="Times New Roman"/>
                      <w:color w:val="auto"/>
                      <w:sz w:val="21"/>
                      <w:szCs w:val="21"/>
                      <w:highlight w:val="none"/>
                      <w:lang w:val="en-US" w:eastAsia="zh-CN"/>
                    </w:rPr>
                    <w:t>。</w:t>
                  </w:r>
                </w:p>
                <w:p w14:paraId="1A5D12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运输车辆定期、及时维修、保养，对非道路移动机械进行环保登记</w:t>
                  </w:r>
                  <w:r>
                    <w:rPr>
                      <w:rFonts w:hint="eastAsia" w:cs="Times New Roman"/>
                      <w:color w:val="auto"/>
                      <w:sz w:val="21"/>
                      <w:szCs w:val="21"/>
                      <w:highlight w:val="none"/>
                      <w:lang w:val="en-US" w:eastAsia="zh-CN"/>
                    </w:rPr>
                    <w:t>。</w:t>
                  </w:r>
                </w:p>
                <w:p w14:paraId="4E37F2BB">
                  <w:pPr>
                    <w:pStyle w:val="28"/>
                    <w:keepNext w:val="0"/>
                    <w:keepLines w:val="0"/>
                    <w:pageBreakBefore w:val="0"/>
                    <w:widowControl w:val="0"/>
                    <w:kinsoku/>
                    <w:wordWrap/>
                    <w:overflowPunct/>
                    <w:topLinePunct w:val="0"/>
                    <w:autoSpaceDE/>
                    <w:autoSpaceDN/>
                    <w:bidi w:val="0"/>
                    <w:adjustRightInd/>
                    <w:snapToGrid/>
                    <w:spacing w:line="240" w:lineRule="auto"/>
                    <w:ind w:leftChars="0"/>
                    <w:textAlignment w:val="auto"/>
                    <w:rPr>
                      <w:rFonts w:hint="default"/>
                      <w:color w:val="auto"/>
                      <w:highlight w:val="none"/>
                      <w:lang w:val="en-US" w:eastAsia="zh-CN"/>
                    </w:rPr>
                  </w:pPr>
                  <w:r>
                    <w:rPr>
                      <w:rFonts w:hint="eastAsia"/>
                      <w:color w:val="auto"/>
                      <w:highlight w:val="none"/>
                      <w:lang w:val="en-US" w:eastAsia="zh-CN"/>
                    </w:rPr>
                    <w:t>（5）场区边界设置扬尘监测系统，对无组织颗粒物进行监测。</w:t>
                  </w:r>
                </w:p>
              </w:tc>
            </w:tr>
            <w:tr w14:paraId="518F1A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996" w:type="dxa"/>
                  <w:vMerge w:val="continue"/>
                  <w:tcBorders>
                    <w:tl2br w:val="nil"/>
                    <w:tr2bl w:val="nil"/>
                  </w:tcBorders>
                  <w:noWrap w:val="0"/>
                  <w:vAlign w:val="center"/>
                </w:tcPr>
                <w:p w14:paraId="1368437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1ABCE048">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废水</w:t>
                  </w:r>
                </w:p>
              </w:tc>
              <w:tc>
                <w:tcPr>
                  <w:tcW w:w="5675" w:type="dxa"/>
                  <w:tcBorders>
                    <w:tl2br w:val="nil"/>
                    <w:tr2bl w:val="nil"/>
                  </w:tcBorders>
                  <w:noWrap w:val="0"/>
                  <w:vAlign w:val="center"/>
                </w:tcPr>
                <w:p w14:paraId="45F35902">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both"/>
                    <w:textAlignment w:val="auto"/>
                    <w:rPr>
                      <w:rFonts w:hint="eastAsia"/>
                      <w:color w:val="auto"/>
                      <w:sz w:val="21"/>
                      <w:szCs w:val="21"/>
                      <w:highlight w:val="none"/>
                      <w:lang w:val="en-US" w:eastAsia="zh-CN"/>
                    </w:rPr>
                  </w:pPr>
                  <w:r>
                    <w:rPr>
                      <w:rFonts w:hint="eastAsia"/>
                      <w:color w:val="auto"/>
                      <w:sz w:val="21"/>
                      <w:szCs w:val="21"/>
                      <w:highlight w:val="none"/>
                      <w:lang w:val="en-US" w:eastAsia="zh-CN"/>
                    </w:rPr>
                    <w:t>洗车废水沉淀后循环使用；生活污水泼洒抑尘，无废水外排。</w:t>
                  </w:r>
                </w:p>
                <w:p w14:paraId="0CDD695A">
                  <w:pPr>
                    <w:pStyle w:val="35"/>
                    <w:keepNext w:val="0"/>
                    <w:keepLines w:val="0"/>
                    <w:pageBreakBefore w:val="0"/>
                    <w:widowControl w:val="0"/>
                    <w:kinsoku/>
                    <w:wordWrap/>
                    <w:overflowPunct/>
                    <w:topLinePunct w:val="0"/>
                    <w:autoSpaceDE/>
                    <w:autoSpaceDN/>
                    <w:bidi w:val="0"/>
                    <w:adjustRightInd/>
                    <w:snapToGrid/>
                    <w:spacing w:before="0" w:after="0"/>
                    <w:ind w:firstLine="420" w:firstLineChars="200"/>
                    <w:jc w:val="both"/>
                    <w:textAlignment w:val="auto"/>
                    <w:rPr>
                      <w:rFonts w:hint="default"/>
                      <w:color w:val="auto"/>
                      <w:highlight w:val="none"/>
                      <w:lang w:val="en-US" w:eastAsia="zh-CN"/>
                    </w:rPr>
                  </w:pPr>
                  <w:r>
                    <w:rPr>
                      <w:rFonts w:hint="eastAsia" w:ascii="Times New Roman" w:hAnsi="Times New Roman" w:cs="Times New Roman"/>
                      <w:color w:val="auto"/>
                      <w:kern w:val="1"/>
                      <w:sz w:val="21"/>
                      <w:szCs w:val="21"/>
                      <w:highlight w:val="none"/>
                      <w:lang w:val="en-US" w:eastAsia="zh-CN" w:bidi="ar-SA"/>
                    </w:rPr>
                    <w:t>项目</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区场地</w:t>
                  </w:r>
                  <w:r>
                    <w:rPr>
                      <w:rFonts w:hint="eastAsia" w:cs="Times New Roman"/>
                      <w:color w:val="auto"/>
                      <w:kern w:val="1"/>
                      <w:sz w:val="21"/>
                      <w:szCs w:val="21"/>
                      <w:highlight w:val="none"/>
                      <w:lang w:val="en-US" w:eastAsia="zh-CN" w:bidi="ar-SA"/>
                    </w:rPr>
                    <w:t>及周边</w:t>
                  </w:r>
                  <w:r>
                    <w:rPr>
                      <w:rFonts w:hint="eastAsia" w:ascii="Times New Roman" w:hAnsi="Times New Roman" w:cs="Times New Roman"/>
                      <w:color w:val="auto"/>
                      <w:kern w:val="1"/>
                      <w:sz w:val="21"/>
                      <w:szCs w:val="21"/>
                      <w:highlight w:val="none"/>
                      <w:lang w:val="en-US" w:eastAsia="zh-CN" w:bidi="ar-SA"/>
                    </w:rPr>
                    <w:t>雨水经截洪沟</w:t>
                  </w:r>
                  <w:r>
                    <w:rPr>
                      <w:rFonts w:hint="eastAsia" w:cs="Times New Roman"/>
                      <w:color w:val="auto"/>
                      <w:kern w:val="1"/>
                      <w:sz w:val="21"/>
                      <w:szCs w:val="21"/>
                      <w:highlight w:val="none"/>
                      <w:lang w:val="en-US" w:eastAsia="zh-CN" w:bidi="ar-SA"/>
                    </w:rPr>
                    <w:t>和雨水明渠</w:t>
                  </w:r>
                  <w:r>
                    <w:rPr>
                      <w:rFonts w:hint="eastAsia" w:ascii="Times New Roman" w:hAnsi="Times New Roman" w:cs="Times New Roman"/>
                      <w:color w:val="auto"/>
                      <w:kern w:val="1"/>
                      <w:sz w:val="21"/>
                      <w:szCs w:val="21"/>
                      <w:highlight w:val="none"/>
                      <w:lang w:val="en-US" w:eastAsia="zh-CN" w:bidi="ar-SA"/>
                    </w:rPr>
                    <w:t>收集后</w:t>
                  </w:r>
                  <w:r>
                    <w:rPr>
                      <w:rFonts w:hint="eastAsia" w:cs="Times New Roman"/>
                      <w:color w:val="auto"/>
                      <w:kern w:val="1"/>
                      <w:sz w:val="21"/>
                      <w:szCs w:val="21"/>
                      <w:highlight w:val="none"/>
                      <w:lang w:val="en-US" w:eastAsia="zh-CN" w:bidi="ar-SA"/>
                    </w:rPr>
                    <w:t>引入</w:t>
                  </w:r>
                  <w:r>
                    <w:rPr>
                      <w:rFonts w:hint="eastAsia" w:ascii="Times New Roman" w:hAnsi="Times New Roman" w:cs="Times New Roman"/>
                      <w:color w:val="auto"/>
                      <w:kern w:val="1"/>
                      <w:sz w:val="21"/>
                      <w:szCs w:val="21"/>
                      <w:highlight w:val="none"/>
                      <w:lang w:val="en-US" w:eastAsia="zh-CN" w:bidi="ar-SA"/>
                    </w:rPr>
                    <w:t>沉砂池</w:t>
                  </w:r>
                  <w:r>
                    <w:rPr>
                      <w:rFonts w:hint="eastAsia" w:cs="Times New Roman"/>
                      <w:color w:val="auto"/>
                      <w:kern w:val="1"/>
                      <w:sz w:val="21"/>
                      <w:szCs w:val="21"/>
                      <w:highlight w:val="none"/>
                      <w:lang w:val="en-US" w:eastAsia="zh-CN" w:bidi="ar-SA"/>
                    </w:rPr>
                    <w:t>沉淀，</w:t>
                  </w:r>
                  <w:r>
                    <w:rPr>
                      <w:rFonts w:hint="eastAsia" w:ascii="Times New Roman" w:hAnsi="Times New Roman" w:cs="Times New Roman"/>
                      <w:color w:val="auto"/>
                      <w:kern w:val="1"/>
                      <w:sz w:val="21"/>
                      <w:szCs w:val="21"/>
                      <w:highlight w:val="none"/>
                      <w:lang w:val="en-US" w:eastAsia="zh-CN" w:bidi="ar-SA"/>
                    </w:rPr>
                    <w:t>沉淀后排入周边沟渠；地下水导排系统收集的坑体和场底渗出的少量地下水引至沉淀池，</w:t>
                  </w:r>
                  <w:r>
                    <w:rPr>
                      <w:rFonts w:hint="eastAsia" w:cs="Times New Roman"/>
                      <w:color w:val="auto"/>
                      <w:kern w:val="1"/>
                      <w:sz w:val="21"/>
                      <w:szCs w:val="21"/>
                      <w:highlight w:val="none"/>
                      <w:lang w:val="en-US" w:eastAsia="zh-CN" w:bidi="ar-SA"/>
                    </w:rPr>
                    <w:t>堆填（砌）</w:t>
                  </w:r>
                  <w:r>
                    <w:rPr>
                      <w:rFonts w:hint="eastAsia" w:ascii="Times New Roman" w:hAnsi="Times New Roman" w:cs="Times New Roman"/>
                      <w:color w:val="auto"/>
                      <w:kern w:val="1"/>
                      <w:sz w:val="21"/>
                      <w:szCs w:val="21"/>
                      <w:highlight w:val="none"/>
                      <w:lang w:val="en-US" w:eastAsia="zh-CN" w:bidi="ar-SA"/>
                    </w:rPr>
                    <w:t>区淋溶水经</w:t>
                  </w:r>
                  <w:r>
                    <w:rPr>
                      <w:rFonts w:hint="eastAsia" w:cs="Times New Roman"/>
                      <w:color w:val="auto"/>
                      <w:kern w:val="1"/>
                      <w:sz w:val="21"/>
                      <w:szCs w:val="21"/>
                      <w:highlight w:val="none"/>
                      <w:lang w:val="en-US" w:eastAsia="zh-CN" w:bidi="ar-SA"/>
                    </w:rPr>
                    <w:t>集水管</w:t>
                  </w:r>
                  <w:r>
                    <w:rPr>
                      <w:rFonts w:hint="eastAsia" w:ascii="Times New Roman" w:hAnsi="Times New Roman" w:cs="Times New Roman"/>
                      <w:color w:val="auto"/>
                      <w:kern w:val="1"/>
                      <w:sz w:val="21"/>
                      <w:szCs w:val="21"/>
                      <w:highlight w:val="none"/>
                      <w:lang w:val="en-US" w:eastAsia="zh-CN" w:bidi="ar-SA"/>
                    </w:rPr>
                    <w:t>收集后进入</w:t>
                  </w:r>
                  <w:r>
                    <w:rPr>
                      <w:rFonts w:hint="eastAsia" w:cs="Times New Roman"/>
                      <w:color w:val="auto"/>
                      <w:kern w:val="1"/>
                      <w:sz w:val="21"/>
                      <w:szCs w:val="21"/>
                      <w:highlight w:val="none"/>
                      <w:lang w:val="en-US" w:eastAsia="zh-CN" w:bidi="ar-SA"/>
                    </w:rPr>
                    <w:t>集液井，随后泵</w:t>
                  </w:r>
                  <w:r>
                    <w:rPr>
                      <w:rFonts w:hint="eastAsia" w:ascii="Times New Roman" w:hAnsi="Times New Roman" w:cs="Times New Roman"/>
                      <w:color w:val="auto"/>
                      <w:kern w:val="1"/>
                      <w:sz w:val="21"/>
                      <w:szCs w:val="21"/>
                      <w:highlight w:val="none"/>
                      <w:lang w:val="en-US" w:eastAsia="zh-CN" w:bidi="ar-SA"/>
                    </w:rPr>
                    <w:t>至沉淀池处理后，分批次回用作区域抑尘用水，不外排。</w:t>
                  </w:r>
                </w:p>
              </w:tc>
            </w:tr>
            <w:tr w14:paraId="7ABA21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15" w:hRule="atLeast"/>
                <w:jc w:val="center"/>
              </w:trPr>
              <w:tc>
                <w:tcPr>
                  <w:tcW w:w="996" w:type="dxa"/>
                  <w:vMerge w:val="continue"/>
                  <w:tcBorders>
                    <w:tl2br w:val="nil"/>
                    <w:tr2bl w:val="nil"/>
                  </w:tcBorders>
                  <w:noWrap w:val="0"/>
                  <w:vAlign w:val="center"/>
                </w:tcPr>
                <w:p w14:paraId="18EF1A7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1436" w:type="dxa"/>
                  <w:gridSpan w:val="2"/>
                  <w:tcBorders>
                    <w:tl2br w:val="nil"/>
                    <w:tr2bl w:val="nil"/>
                  </w:tcBorders>
                  <w:noWrap w:val="0"/>
                  <w:vAlign w:val="center"/>
                </w:tcPr>
                <w:p w14:paraId="049CFC77">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噪声</w:t>
                  </w:r>
                </w:p>
              </w:tc>
              <w:tc>
                <w:tcPr>
                  <w:tcW w:w="5675" w:type="dxa"/>
                  <w:tcBorders>
                    <w:tl2br w:val="nil"/>
                    <w:tr2bl w:val="nil"/>
                  </w:tcBorders>
                  <w:noWrap w:val="0"/>
                  <w:vAlign w:val="center"/>
                </w:tcPr>
                <w:p w14:paraId="3419BAF3">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采取选用低噪声设备，定期维修保养；车辆减速慢行、禁止鸣笛。</w:t>
                  </w:r>
                </w:p>
              </w:tc>
            </w:tr>
            <w:tr w14:paraId="630E9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76" w:hRule="atLeast"/>
                <w:jc w:val="center"/>
              </w:trPr>
              <w:tc>
                <w:tcPr>
                  <w:tcW w:w="996" w:type="dxa"/>
                  <w:vMerge w:val="continue"/>
                  <w:tcBorders>
                    <w:tl2br w:val="nil"/>
                    <w:tr2bl w:val="nil"/>
                  </w:tcBorders>
                  <w:noWrap w:val="0"/>
                  <w:vAlign w:val="center"/>
                </w:tcPr>
                <w:p w14:paraId="5A4A621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restart"/>
                  <w:tcBorders>
                    <w:tl2br w:val="nil"/>
                    <w:tr2bl w:val="nil"/>
                  </w:tcBorders>
                  <w:shd w:val="clear" w:color="auto" w:fill="auto"/>
                  <w:noWrap w:val="0"/>
                  <w:vAlign w:val="center"/>
                </w:tcPr>
                <w:p w14:paraId="774758C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固废</w:t>
                  </w:r>
                </w:p>
              </w:tc>
              <w:tc>
                <w:tcPr>
                  <w:tcW w:w="955" w:type="dxa"/>
                  <w:tcBorders>
                    <w:tl2br w:val="nil"/>
                    <w:tr2bl w:val="nil"/>
                  </w:tcBorders>
                  <w:shd w:val="clear" w:color="auto" w:fill="auto"/>
                  <w:noWrap w:val="0"/>
                  <w:vAlign w:val="center"/>
                </w:tcPr>
                <w:p w14:paraId="64851E5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一般工业固体废物</w:t>
                  </w:r>
                </w:p>
              </w:tc>
              <w:tc>
                <w:tcPr>
                  <w:tcW w:w="5675" w:type="dxa"/>
                  <w:tcBorders>
                    <w:tl2br w:val="nil"/>
                    <w:tr2bl w:val="nil"/>
                  </w:tcBorders>
                  <w:shd w:val="clear" w:color="auto" w:fill="auto"/>
                  <w:noWrap w:val="0"/>
                  <w:vAlign w:val="center"/>
                </w:tcPr>
                <w:p w14:paraId="67A8ECD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洗车平台污泥与建筑垃圾一起</w:t>
                  </w:r>
                  <w:r>
                    <w:rPr>
                      <w:rFonts w:hint="eastAsia" w:cs="Times New Roman"/>
                      <w:color w:val="auto"/>
                      <w:sz w:val="21"/>
                      <w:szCs w:val="21"/>
                      <w:highlight w:val="none"/>
                      <w:lang w:val="en-US" w:eastAsia="zh-CN"/>
                    </w:rPr>
                    <w:t>堆填</w:t>
                  </w:r>
                  <w:r>
                    <w:rPr>
                      <w:rFonts w:hint="eastAsia" w:ascii="Times New Roman" w:hAnsi="Times New Roman" w:cs="Times New Roman"/>
                      <w:color w:val="auto"/>
                      <w:sz w:val="21"/>
                      <w:szCs w:val="21"/>
                      <w:highlight w:val="none"/>
                      <w:lang w:val="en-US" w:eastAsia="zh-CN"/>
                    </w:rPr>
                    <w:t>处理。</w:t>
                  </w:r>
                </w:p>
                <w:p w14:paraId="4EC70A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沉砂池和沉淀池的沉渣定期清掏后运送至建筑垃圾堆填区域进行堆填处理。</w:t>
                  </w:r>
                </w:p>
              </w:tc>
            </w:tr>
            <w:tr w14:paraId="552C1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87" w:hRule="atLeast"/>
                <w:jc w:val="center"/>
              </w:trPr>
              <w:tc>
                <w:tcPr>
                  <w:tcW w:w="996" w:type="dxa"/>
                  <w:vMerge w:val="continue"/>
                  <w:tcBorders>
                    <w:tl2br w:val="nil"/>
                    <w:tr2bl w:val="nil"/>
                  </w:tcBorders>
                  <w:noWrap w:val="0"/>
                  <w:vAlign w:val="center"/>
                </w:tcPr>
                <w:p w14:paraId="5FB0E8A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continue"/>
                  <w:tcBorders>
                    <w:tl2br w:val="nil"/>
                    <w:tr2bl w:val="nil"/>
                  </w:tcBorders>
                  <w:shd w:val="clear" w:color="auto" w:fill="auto"/>
                  <w:noWrap w:val="0"/>
                  <w:vAlign w:val="center"/>
                </w:tcPr>
                <w:p w14:paraId="3CC1979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p>
              </w:tc>
              <w:tc>
                <w:tcPr>
                  <w:tcW w:w="955" w:type="dxa"/>
                  <w:tcBorders>
                    <w:tl2br w:val="nil"/>
                    <w:tr2bl w:val="nil"/>
                  </w:tcBorders>
                  <w:shd w:val="clear" w:color="auto" w:fill="auto"/>
                  <w:noWrap w:val="0"/>
                  <w:vAlign w:val="center"/>
                </w:tcPr>
                <w:p w14:paraId="314A09B3">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危险废物</w:t>
                  </w:r>
                </w:p>
              </w:tc>
              <w:tc>
                <w:tcPr>
                  <w:tcW w:w="5675" w:type="dxa"/>
                  <w:tcBorders>
                    <w:tl2br w:val="nil"/>
                    <w:tr2bl w:val="nil"/>
                  </w:tcBorders>
                  <w:shd w:val="clear" w:color="auto" w:fill="auto"/>
                  <w:noWrap w:val="0"/>
                  <w:vAlign w:val="center"/>
                </w:tcPr>
                <w:p w14:paraId="0B8E615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jc w:val="left"/>
                    <w:textAlignment w:val="auto"/>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本项目不设置维修车间和危废间。车辆维修保养委托附近</w:t>
                  </w:r>
                  <w:r>
                    <w:rPr>
                      <w:rFonts w:hint="eastAsia" w:ascii="Times New Roman" w:hAnsi="Times New Roman" w:cs="Times New Roman"/>
                      <w:bCs/>
                      <w:color w:val="auto"/>
                      <w:sz w:val="21"/>
                      <w:szCs w:val="21"/>
                      <w:highlight w:val="none"/>
                      <w:lang w:val="en-US" w:eastAsia="zh-CN"/>
                    </w:rPr>
                    <w:t>专门维修厂</w:t>
                  </w:r>
                  <w:r>
                    <w:rPr>
                      <w:rFonts w:hint="eastAsia" w:ascii="Times New Roman" w:hAnsi="Times New Roman" w:cs="Times New Roman"/>
                      <w:color w:val="auto"/>
                      <w:sz w:val="21"/>
                      <w:szCs w:val="21"/>
                      <w:highlight w:val="none"/>
                      <w:lang w:val="en-US" w:eastAsia="zh-CN"/>
                    </w:rPr>
                    <w:t>进行，维修保养产生的废机油、废油桶等由汽车修理保养单位负责处理、处置。</w:t>
                  </w:r>
                </w:p>
              </w:tc>
            </w:tr>
            <w:tr w14:paraId="19776D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7" w:hRule="atLeast"/>
                <w:jc w:val="center"/>
              </w:trPr>
              <w:tc>
                <w:tcPr>
                  <w:tcW w:w="996" w:type="dxa"/>
                  <w:vMerge w:val="continue"/>
                  <w:tcBorders>
                    <w:tl2br w:val="nil"/>
                    <w:tr2bl w:val="nil"/>
                  </w:tcBorders>
                  <w:noWrap w:val="0"/>
                  <w:vAlign w:val="center"/>
                </w:tcPr>
                <w:p w14:paraId="247FC82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continue"/>
                  <w:tcBorders>
                    <w:tl2br w:val="nil"/>
                    <w:tr2bl w:val="nil"/>
                  </w:tcBorders>
                  <w:noWrap w:val="0"/>
                  <w:vAlign w:val="center"/>
                </w:tcPr>
                <w:p w14:paraId="41D01B5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p>
              </w:tc>
              <w:tc>
                <w:tcPr>
                  <w:tcW w:w="955" w:type="dxa"/>
                  <w:tcBorders>
                    <w:tl2br w:val="nil"/>
                    <w:tr2bl w:val="nil"/>
                  </w:tcBorders>
                  <w:shd w:val="clear" w:color="auto" w:fill="auto"/>
                  <w:noWrap w:val="0"/>
                  <w:vAlign w:val="center"/>
                </w:tcPr>
                <w:p w14:paraId="0DD6984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生活垃圾</w:t>
                  </w:r>
                </w:p>
              </w:tc>
              <w:tc>
                <w:tcPr>
                  <w:tcW w:w="5675" w:type="dxa"/>
                  <w:tcBorders>
                    <w:tl2br w:val="nil"/>
                    <w:tr2bl w:val="nil"/>
                  </w:tcBorders>
                  <w:shd w:val="clear" w:color="auto" w:fill="auto"/>
                  <w:noWrap w:val="0"/>
                  <w:vAlign w:val="center"/>
                </w:tcPr>
                <w:p w14:paraId="63E0AB25">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eastAsia" w:ascii="宋体" w:hAnsi="宋体" w:eastAsia="宋体" w:cs="宋体"/>
                      <w:color w:val="auto"/>
                      <w:kern w:val="1"/>
                      <w:sz w:val="21"/>
                      <w:szCs w:val="21"/>
                      <w:highlight w:val="none"/>
                      <w:lang w:val="en-US" w:eastAsia="zh-CN" w:bidi="ar-SA"/>
                    </w:rPr>
                  </w:pPr>
                  <w:r>
                    <w:rPr>
                      <w:rFonts w:hint="eastAsia" w:ascii="宋体" w:hAnsi="宋体" w:cs="宋体"/>
                      <w:color w:val="auto"/>
                      <w:sz w:val="21"/>
                      <w:szCs w:val="21"/>
                      <w:highlight w:val="none"/>
                      <w:lang w:val="en-US" w:eastAsia="zh-CN"/>
                    </w:rPr>
                    <w:t>袋装化收集，</w:t>
                  </w:r>
                  <w:r>
                    <w:rPr>
                      <w:rFonts w:hint="eastAsia" w:ascii="Times New Roman" w:hAnsi="Times New Roman" w:eastAsia="宋体" w:cs="Times New Roman"/>
                      <w:color w:val="auto"/>
                      <w:sz w:val="21"/>
                      <w:szCs w:val="21"/>
                      <w:highlight w:val="none"/>
                      <w:shd w:val="clear" w:color="auto" w:fill="auto"/>
                      <w:lang w:val="en-US" w:eastAsia="zh-CN"/>
                    </w:rPr>
                    <w:t>送至环卫部门指定地点统一处理</w:t>
                  </w:r>
                  <w:r>
                    <w:rPr>
                      <w:rFonts w:hint="eastAsia" w:cs="Times New Roman"/>
                      <w:color w:val="auto"/>
                      <w:sz w:val="21"/>
                      <w:szCs w:val="21"/>
                      <w:highlight w:val="none"/>
                      <w:shd w:val="clear" w:color="auto" w:fill="auto"/>
                      <w:lang w:val="en-US" w:eastAsia="zh-CN"/>
                    </w:rPr>
                    <w:t>。</w:t>
                  </w:r>
                </w:p>
              </w:tc>
            </w:tr>
            <w:tr w14:paraId="545ED1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848" w:hRule="atLeast"/>
                <w:jc w:val="center"/>
              </w:trPr>
              <w:tc>
                <w:tcPr>
                  <w:tcW w:w="996" w:type="dxa"/>
                  <w:vMerge w:val="continue"/>
                  <w:tcBorders>
                    <w:tl2br w:val="nil"/>
                    <w:tr2bl w:val="nil"/>
                  </w:tcBorders>
                  <w:noWrap w:val="0"/>
                  <w:vAlign w:val="center"/>
                </w:tcPr>
                <w:p w14:paraId="1237A85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restart"/>
                  <w:tcBorders>
                    <w:tl2br w:val="nil"/>
                    <w:tr2bl w:val="nil"/>
                  </w:tcBorders>
                  <w:noWrap w:val="0"/>
                  <w:vAlign w:val="center"/>
                </w:tcPr>
                <w:p w14:paraId="6C4875A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防渗</w:t>
                  </w:r>
                </w:p>
              </w:tc>
              <w:tc>
                <w:tcPr>
                  <w:tcW w:w="955" w:type="dxa"/>
                  <w:tcBorders>
                    <w:tl2br w:val="nil"/>
                    <w:tr2bl w:val="nil"/>
                  </w:tcBorders>
                  <w:noWrap w:val="0"/>
                  <w:vAlign w:val="center"/>
                </w:tcPr>
                <w:p w14:paraId="589A270A">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一般防渗区</w:t>
                  </w:r>
                </w:p>
              </w:tc>
              <w:tc>
                <w:tcPr>
                  <w:tcW w:w="5675" w:type="dxa"/>
                  <w:tcBorders>
                    <w:tl2br w:val="nil"/>
                    <w:tr2bl w:val="nil"/>
                  </w:tcBorders>
                  <w:noWrap w:val="0"/>
                  <w:vAlign w:val="center"/>
                </w:tcPr>
                <w:p w14:paraId="5F0FD699">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洗车平台：设置沉淀池，为地下式抗渗混凝土结构，渗透系数</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1</w:t>
                  </w:r>
                  <w:r>
                    <w:rPr>
                      <w:rFonts w:hint="default" w:ascii="Times New Roman" w:hAnsi="Times New Roman" w:cs="Times New Roman"/>
                      <w:color w:val="auto"/>
                      <w:sz w:val="21"/>
                      <w:szCs w:val="21"/>
                      <w:highlight w:val="none"/>
                      <w:lang w:val="en-US" w:eastAsia="zh-CN"/>
                    </w:rPr>
                    <w:t>×</w:t>
                  </w:r>
                  <w:r>
                    <w:rPr>
                      <w:rFonts w:hint="default"/>
                      <w:color w:val="auto"/>
                      <w:sz w:val="21"/>
                      <w:szCs w:val="21"/>
                      <w:highlight w:val="none"/>
                      <w:lang w:val="en-US" w:eastAsia="zh-CN"/>
                    </w:rPr>
                    <w:t>10</w:t>
                  </w:r>
                  <w:r>
                    <w:rPr>
                      <w:rFonts w:hint="default"/>
                      <w:color w:val="auto"/>
                      <w:sz w:val="21"/>
                      <w:szCs w:val="21"/>
                      <w:highlight w:val="none"/>
                      <w:vertAlign w:val="superscript"/>
                      <w:lang w:val="en-US" w:eastAsia="zh-CN"/>
                    </w:rPr>
                    <w:t xml:space="preserve"> -7</w:t>
                  </w:r>
                  <w:r>
                    <w:rPr>
                      <w:rFonts w:hint="default"/>
                      <w:color w:val="auto"/>
                      <w:sz w:val="21"/>
                      <w:szCs w:val="21"/>
                      <w:highlight w:val="none"/>
                      <w:lang w:val="en-US" w:eastAsia="zh-CN"/>
                    </w:rPr>
                    <w:t>cm/s</w:t>
                  </w:r>
                  <w:r>
                    <w:rPr>
                      <w:rFonts w:hint="eastAsia"/>
                      <w:color w:val="auto"/>
                      <w:sz w:val="21"/>
                      <w:szCs w:val="21"/>
                      <w:highlight w:val="none"/>
                      <w:lang w:val="en-US" w:eastAsia="zh-CN"/>
                    </w:rPr>
                    <w:t>。</w:t>
                  </w:r>
                </w:p>
                <w:p w14:paraId="38DC904D">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default"/>
                      <w:color w:val="auto"/>
                      <w:highlight w:val="none"/>
                      <w:lang w:val="en-US" w:eastAsia="zh-CN"/>
                    </w:rPr>
                  </w:pPr>
                  <w:r>
                    <w:rPr>
                      <w:rFonts w:hint="eastAsia"/>
                      <w:color w:val="auto"/>
                      <w:sz w:val="21"/>
                      <w:szCs w:val="21"/>
                      <w:highlight w:val="none"/>
                      <w:lang w:val="en-US" w:eastAsia="zh-CN"/>
                    </w:rPr>
                    <w:t>库区底部及边坡防渗：对场内底部及边坡进行清表，原地基整平、压实（压实系数</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0.9）后，采用改性压实黏土类衬里作为防渗结构，饱和渗透系数小于1.0</w:t>
                  </w:r>
                  <w:r>
                    <w:rPr>
                      <w:rFonts w:hint="default" w:ascii="Times New Roman" w:hAnsi="Times New Roman" w:cs="Times New Roman"/>
                      <w:color w:val="auto"/>
                      <w:sz w:val="21"/>
                      <w:szCs w:val="21"/>
                      <w:highlight w:val="none"/>
                      <w:lang w:val="en-US" w:eastAsia="zh-CN"/>
                    </w:rPr>
                    <w:t>×</w:t>
                  </w:r>
                  <w:r>
                    <w:rPr>
                      <w:rFonts w:hint="eastAsia"/>
                      <w:color w:val="auto"/>
                      <w:sz w:val="21"/>
                      <w:szCs w:val="21"/>
                      <w:highlight w:val="none"/>
                      <w:lang w:val="en-US" w:eastAsia="zh-CN"/>
                    </w:rPr>
                    <w:t>10</w:t>
                  </w:r>
                  <w:r>
                    <w:rPr>
                      <w:rFonts w:hint="eastAsia"/>
                      <w:color w:val="auto"/>
                      <w:sz w:val="21"/>
                      <w:szCs w:val="21"/>
                      <w:highlight w:val="none"/>
                      <w:vertAlign w:val="superscript"/>
                      <w:lang w:val="en-US" w:eastAsia="zh-CN"/>
                    </w:rPr>
                    <w:t>-7</w:t>
                  </w:r>
                  <w:r>
                    <w:rPr>
                      <w:rFonts w:hint="eastAsia"/>
                      <w:color w:val="auto"/>
                      <w:sz w:val="21"/>
                      <w:szCs w:val="21"/>
                      <w:highlight w:val="none"/>
                      <w:lang w:val="en-US" w:eastAsia="zh-CN"/>
                    </w:rPr>
                    <w:t>cm/s。</w:t>
                  </w:r>
                  <w:r>
                    <w:rPr>
                      <w:rFonts w:hint="eastAsia" w:ascii="Times New Roman" w:hAnsi="Times New Roman" w:eastAsia="宋体" w:cs="Times New Roman"/>
                      <w:color w:val="auto"/>
                      <w:kern w:val="1"/>
                      <w:sz w:val="21"/>
                      <w:szCs w:val="21"/>
                      <w:highlight w:val="none"/>
                      <w:lang w:val="en-US" w:eastAsia="zh-CN" w:bidi="ar-SA"/>
                    </w:rPr>
                    <w:t>场区截</w:t>
                  </w:r>
                  <w:r>
                    <w:rPr>
                      <w:rFonts w:hint="eastAsia" w:cs="Times New Roman"/>
                      <w:color w:val="auto"/>
                      <w:kern w:val="1"/>
                      <w:sz w:val="21"/>
                      <w:szCs w:val="21"/>
                      <w:highlight w:val="none"/>
                      <w:lang w:val="en-US" w:eastAsia="zh-CN" w:bidi="ar-SA"/>
                    </w:rPr>
                    <w:t>洪</w:t>
                  </w:r>
                  <w:r>
                    <w:rPr>
                      <w:rFonts w:hint="eastAsia" w:ascii="Times New Roman" w:hAnsi="Times New Roman" w:eastAsia="宋体" w:cs="Times New Roman"/>
                      <w:color w:val="auto"/>
                      <w:kern w:val="1"/>
                      <w:sz w:val="21"/>
                      <w:szCs w:val="21"/>
                      <w:highlight w:val="none"/>
                      <w:lang w:val="en-US" w:eastAsia="zh-CN" w:bidi="ar-SA"/>
                    </w:rPr>
                    <w:t>沟：采用浆砌块石砌筑，沟底铺设厚度</w:t>
                  </w:r>
                  <w:r>
                    <w:rPr>
                      <w:rFonts w:hint="default" w:ascii="Times New Roman" w:hAnsi="Times New Roman" w:eastAsia="宋体" w:cs="Times New Roman"/>
                      <w:color w:val="auto"/>
                      <w:kern w:val="1"/>
                      <w:sz w:val="21"/>
                      <w:szCs w:val="21"/>
                      <w:highlight w:val="none"/>
                      <w:lang w:val="en-US" w:eastAsia="zh-CN" w:bidi="ar-SA"/>
                    </w:rPr>
                    <w:t>15</w:t>
                  </w:r>
                  <w:r>
                    <w:rPr>
                      <w:rFonts w:hint="eastAsia" w:ascii="Times New Roman" w:hAnsi="Times New Roman" w:eastAsia="宋体" w:cs="Times New Roman"/>
                      <w:color w:val="auto"/>
                      <w:kern w:val="1"/>
                      <w:sz w:val="21"/>
                      <w:szCs w:val="21"/>
                      <w:highlight w:val="none"/>
                      <w:lang w:val="en-US" w:eastAsia="zh-CN" w:bidi="ar-SA"/>
                    </w:rPr>
                    <w:t>厘米的</w:t>
                  </w:r>
                  <w:r>
                    <w:rPr>
                      <w:rFonts w:hint="default" w:ascii="Times New Roman" w:hAnsi="Times New Roman" w:eastAsia="宋体" w:cs="Times New Roman"/>
                      <w:color w:val="auto"/>
                      <w:kern w:val="1"/>
                      <w:sz w:val="21"/>
                      <w:szCs w:val="21"/>
                      <w:highlight w:val="none"/>
                      <w:lang w:val="en-US" w:eastAsia="zh-CN" w:bidi="ar-SA"/>
                    </w:rPr>
                    <w:t>C15</w:t>
                  </w:r>
                  <w:r>
                    <w:rPr>
                      <w:rFonts w:hint="eastAsia" w:ascii="Times New Roman" w:hAnsi="Times New Roman" w:eastAsia="宋体" w:cs="Times New Roman"/>
                      <w:color w:val="auto"/>
                      <w:kern w:val="1"/>
                      <w:sz w:val="21"/>
                      <w:szCs w:val="21"/>
                      <w:highlight w:val="none"/>
                      <w:lang w:val="en-US" w:eastAsia="zh-CN" w:bidi="ar-SA"/>
                    </w:rPr>
                    <w:t>混凝土垫层；明渠为</w:t>
                  </w:r>
                  <w:r>
                    <w:rPr>
                      <w:rFonts w:hint="default" w:ascii="Times New Roman" w:hAnsi="Times New Roman" w:eastAsia="宋体" w:cs="Times New Roman"/>
                      <w:color w:val="auto"/>
                      <w:kern w:val="1"/>
                      <w:sz w:val="21"/>
                      <w:szCs w:val="21"/>
                      <w:highlight w:val="none"/>
                      <w:lang w:val="en-US" w:eastAsia="zh-CN" w:bidi="ar-SA"/>
                    </w:rPr>
                    <w:t>370</w:t>
                  </w:r>
                  <w:r>
                    <w:rPr>
                      <w:rFonts w:hint="eastAsia" w:ascii="Times New Roman" w:hAnsi="Times New Roman" w:eastAsia="宋体" w:cs="Times New Roman"/>
                      <w:color w:val="auto"/>
                      <w:kern w:val="1"/>
                      <w:sz w:val="21"/>
                      <w:szCs w:val="21"/>
                      <w:highlight w:val="none"/>
                      <w:lang w:val="en-US" w:eastAsia="zh-CN" w:bidi="ar-SA"/>
                    </w:rPr>
                    <w:t>厚砖砌墙；雨水沉砂池和沉淀池均采用浆砌石砌筑，确保渗透系数小于1.0</w:t>
                  </w:r>
                  <w:r>
                    <w:rPr>
                      <w:rFonts w:hint="default" w:ascii="Times New Roman" w:hAnsi="Times New Roman" w:eastAsia="宋体" w:cs="Times New Roman"/>
                      <w:color w:val="auto"/>
                      <w:kern w:val="1"/>
                      <w:sz w:val="21"/>
                      <w:szCs w:val="21"/>
                      <w:highlight w:val="none"/>
                      <w:lang w:val="en-US" w:eastAsia="zh-CN" w:bidi="ar-SA"/>
                    </w:rPr>
                    <w:t>×</w:t>
                  </w:r>
                  <w:r>
                    <w:rPr>
                      <w:rFonts w:hint="eastAsia" w:ascii="Times New Roman" w:hAnsi="Times New Roman" w:eastAsia="宋体" w:cs="Times New Roman"/>
                      <w:color w:val="auto"/>
                      <w:kern w:val="1"/>
                      <w:sz w:val="21"/>
                      <w:szCs w:val="21"/>
                      <w:highlight w:val="none"/>
                      <w:lang w:val="en-US" w:eastAsia="zh-CN" w:bidi="ar-SA"/>
                    </w:rPr>
                    <w:t>10</w:t>
                  </w:r>
                  <w:r>
                    <w:rPr>
                      <w:rFonts w:hint="eastAsia" w:ascii="Times New Roman" w:hAnsi="Times New Roman" w:eastAsia="宋体" w:cs="Times New Roman"/>
                      <w:color w:val="auto"/>
                      <w:kern w:val="1"/>
                      <w:sz w:val="21"/>
                      <w:szCs w:val="21"/>
                      <w:highlight w:val="none"/>
                      <w:vertAlign w:val="superscript"/>
                      <w:lang w:val="en-US" w:eastAsia="zh-CN" w:bidi="ar-SA"/>
                    </w:rPr>
                    <w:t>-7</w:t>
                  </w:r>
                  <w:r>
                    <w:rPr>
                      <w:rFonts w:hint="eastAsia" w:ascii="Times New Roman" w:hAnsi="Times New Roman" w:eastAsia="宋体" w:cs="Times New Roman"/>
                      <w:color w:val="auto"/>
                      <w:kern w:val="1"/>
                      <w:sz w:val="21"/>
                      <w:szCs w:val="21"/>
                      <w:highlight w:val="none"/>
                      <w:lang w:val="en-US" w:eastAsia="zh-CN" w:bidi="ar-SA"/>
                    </w:rPr>
                    <w:t>cm/s，集水管采用</w:t>
                  </w:r>
                  <w:r>
                    <w:rPr>
                      <w:rFonts w:hint="default" w:ascii="Times New Roman" w:hAnsi="Times New Roman" w:eastAsia="宋体" w:cs="Times New Roman"/>
                      <w:color w:val="auto"/>
                      <w:kern w:val="1"/>
                      <w:sz w:val="21"/>
                      <w:szCs w:val="21"/>
                      <w:highlight w:val="none"/>
                      <w:lang w:val="en-US" w:eastAsia="zh-CN" w:bidi="ar-SA"/>
                    </w:rPr>
                    <w:t>HDPE穿孔花管</w:t>
                  </w:r>
                  <w:r>
                    <w:rPr>
                      <w:rFonts w:hint="eastAsia" w:ascii="Times New Roman" w:hAnsi="Times New Roman" w:eastAsia="宋体" w:cs="Times New Roman"/>
                      <w:color w:val="auto"/>
                      <w:kern w:val="1"/>
                      <w:sz w:val="21"/>
                      <w:szCs w:val="21"/>
                      <w:highlight w:val="none"/>
                      <w:lang w:val="en-US" w:eastAsia="zh-CN" w:bidi="ar-SA"/>
                    </w:rPr>
                    <w:t>。</w:t>
                  </w:r>
                </w:p>
              </w:tc>
            </w:tr>
            <w:tr w14:paraId="2422D3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38" w:hRule="atLeast"/>
                <w:jc w:val="center"/>
              </w:trPr>
              <w:tc>
                <w:tcPr>
                  <w:tcW w:w="996" w:type="dxa"/>
                  <w:vMerge w:val="continue"/>
                  <w:tcBorders>
                    <w:tl2br w:val="nil"/>
                    <w:tr2bl w:val="nil"/>
                  </w:tcBorders>
                  <w:noWrap w:val="0"/>
                  <w:vAlign w:val="center"/>
                </w:tcPr>
                <w:p w14:paraId="5EF9F05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p>
              </w:tc>
              <w:tc>
                <w:tcPr>
                  <w:tcW w:w="481" w:type="dxa"/>
                  <w:vMerge w:val="continue"/>
                  <w:tcBorders>
                    <w:tl2br w:val="nil"/>
                    <w:tr2bl w:val="nil"/>
                  </w:tcBorders>
                  <w:noWrap w:val="0"/>
                  <w:vAlign w:val="center"/>
                </w:tcPr>
                <w:p w14:paraId="4115C776">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p>
              </w:tc>
              <w:tc>
                <w:tcPr>
                  <w:tcW w:w="955" w:type="dxa"/>
                  <w:tcBorders>
                    <w:tl2br w:val="nil"/>
                    <w:tr2bl w:val="nil"/>
                  </w:tcBorders>
                  <w:noWrap w:val="0"/>
                  <w:vAlign w:val="center"/>
                </w:tcPr>
                <w:p w14:paraId="5E1586FC">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简单防渗区</w:t>
                  </w:r>
                </w:p>
              </w:tc>
              <w:tc>
                <w:tcPr>
                  <w:tcW w:w="5675" w:type="dxa"/>
                  <w:tcBorders>
                    <w:tl2br w:val="nil"/>
                    <w:tr2bl w:val="nil"/>
                  </w:tcBorders>
                  <w:noWrap w:val="0"/>
                  <w:vAlign w:val="center"/>
                </w:tcPr>
                <w:p w14:paraId="7E1912F6">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420" w:firstLineChars="200"/>
                    <w:jc w:val="left"/>
                    <w:textAlignment w:val="auto"/>
                    <w:rPr>
                      <w:rFonts w:hint="default"/>
                      <w:color w:val="auto"/>
                      <w:sz w:val="21"/>
                      <w:szCs w:val="21"/>
                      <w:highlight w:val="none"/>
                      <w:lang w:val="en-US" w:eastAsia="zh-CN"/>
                    </w:rPr>
                  </w:pPr>
                  <w:r>
                    <w:rPr>
                      <w:rFonts w:hint="eastAsia"/>
                      <w:color w:val="auto"/>
                      <w:sz w:val="21"/>
                      <w:szCs w:val="21"/>
                      <w:highlight w:val="none"/>
                      <w:lang w:val="en-US" w:eastAsia="zh-CN"/>
                    </w:rPr>
                    <w:t>办公区及厂区地面为简单防渗区，地面非绿即硬。</w:t>
                  </w:r>
                </w:p>
              </w:tc>
            </w:tr>
          </w:tbl>
          <w:p w14:paraId="40989960">
            <w:pPr>
              <w:pStyle w:val="11"/>
              <w:ind w:left="0" w:leftChars="0" w:firstLine="480" w:firstLineChars="200"/>
              <w:rPr>
                <w:rFonts w:hint="eastAsia"/>
                <w:color w:val="auto"/>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注：本项目不设置预处理系统，项目进场建筑垃圾均须符合堆填（砌）要求</w:t>
            </w:r>
            <w:r>
              <w:rPr>
                <w:rFonts w:hint="eastAsia" w:cs="Times New Roman"/>
                <w:color w:val="auto"/>
                <w:kern w:val="2"/>
                <w:sz w:val="24"/>
                <w:szCs w:val="24"/>
                <w:highlight w:val="none"/>
                <w:lang w:val="en-US" w:eastAsia="zh-CN" w:bidi="ar-SA"/>
              </w:rPr>
              <w:t>。</w:t>
            </w:r>
          </w:p>
          <w:p w14:paraId="184A0A09">
            <w:pPr>
              <w:numPr>
                <w:ilvl w:val="0"/>
                <w:numId w:val="0"/>
              </w:numPr>
              <w:tabs>
                <w:tab w:val="left" w:pos="313"/>
              </w:tabs>
              <w:bidi w:val="0"/>
              <w:ind w:leftChars="200"/>
              <w:rPr>
                <w:rFonts w:hint="default"/>
                <w:color w:val="auto"/>
                <w:highlight w:val="none"/>
                <w:lang w:val="en-US" w:eastAsia="zh-CN"/>
              </w:rPr>
            </w:pPr>
            <w:r>
              <w:rPr>
                <w:rFonts w:hint="eastAsia"/>
                <w:color w:val="auto"/>
                <w:highlight w:val="none"/>
                <w:lang w:val="en-US" w:eastAsia="zh-CN"/>
              </w:rPr>
              <w:t>7、建设规模</w:t>
            </w:r>
          </w:p>
          <w:p w14:paraId="621BD24E">
            <w:pPr>
              <w:keepNext w:val="0"/>
              <w:keepLines w:val="0"/>
              <w:widowControl/>
              <w:suppressLineNumbers w:val="0"/>
              <w:jc w:val="left"/>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val="en-US" w:eastAsia="zh-CN"/>
              </w:rPr>
              <w:t>本项目建筑垃圾堆填（砌）场设计库容19万m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，设计服务年限3年，</w:t>
            </w:r>
            <w:r>
              <w:rPr>
                <w:rFonts w:hint="eastAsia" w:ascii="Times New Roman" w:hAnsi="Times New Roman" w:eastAsia="宋体" w:cs="Times New Roman"/>
                <w:color w:val="auto"/>
                <w:kern w:val="2"/>
                <w:sz w:val="24"/>
                <w:szCs w:val="24"/>
                <w:highlight w:val="none"/>
                <w:lang w:val="en-US" w:eastAsia="zh-CN" w:bidi="ar-SA"/>
              </w:rPr>
              <w:t>预计进场建筑垃圾约</w:t>
            </w:r>
            <w:r>
              <w:rPr>
                <w:rFonts w:hint="eastAsia" w:cs="Times New Roman"/>
                <w:color w:val="auto"/>
                <w:kern w:val="2"/>
                <w:sz w:val="24"/>
                <w:szCs w:val="24"/>
                <w:highlight w:val="none"/>
                <w:lang w:val="en-US" w:eastAsia="zh-CN" w:bidi="ar-SA"/>
              </w:rPr>
              <w:t>10.63</w:t>
            </w:r>
            <w:r>
              <w:rPr>
                <w:rFonts w:hint="eastAsia" w:ascii="Times New Roman" w:hAnsi="Times New Roman" w:eastAsia="宋体" w:cs="Times New Roman"/>
                <w:color w:val="auto"/>
                <w:kern w:val="2"/>
                <w:sz w:val="24"/>
                <w:szCs w:val="24"/>
                <w:highlight w:val="none"/>
                <w:lang w:val="en-US" w:eastAsia="zh-CN" w:bidi="ar-SA"/>
              </w:rPr>
              <w:t>万</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（按堆积密度1</w:t>
            </w:r>
            <w:r>
              <w:rPr>
                <w:rFonts w:hint="eastAsia" w:cs="Times New Roman"/>
                <w:color w:val="auto"/>
                <w:kern w:val="2"/>
                <w:sz w:val="24"/>
                <w:szCs w:val="24"/>
                <w:highlight w:val="none"/>
                <w:lang w:val="en-US" w:eastAsia="zh-CN" w:bidi="ar-SA"/>
              </w:rPr>
              <w:t>68</w:t>
            </w:r>
            <w:r>
              <w:rPr>
                <w:rFonts w:hint="eastAsia" w:ascii="Times New Roman" w:hAnsi="Times New Roman" w:eastAsia="宋体" w:cs="Times New Roman"/>
                <w:color w:val="auto"/>
                <w:kern w:val="2"/>
                <w:sz w:val="24"/>
                <w:szCs w:val="24"/>
                <w:highlight w:val="none"/>
                <w:lang w:val="en-US" w:eastAsia="zh-CN" w:bidi="ar-SA"/>
              </w:rPr>
              <w:t>0kg/m</w:t>
            </w:r>
            <w:r>
              <w:rPr>
                <w:rFonts w:hint="eastAsia" w:ascii="Times New Roman" w:hAnsi="Times New Roman" w:eastAsia="宋体"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计算）。</w:t>
            </w:r>
          </w:p>
          <w:p w14:paraId="3A30E65A">
            <w:pPr>
              <w:keepNext w:val="0"/>
              <w:keepLines w:val="0"/>
              <w:widowControl/>
              <w:suppressLineNumbers w:val="0"/>
              <w:jc w:val="left"/>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根据《迁安市建筑垃圾污染环境防治工作规划（2025-2035）》，迁安市建筑垃圾近期（2027年）预测产生总量为28.78万t/a，本项目接收迁安市范围内符合堆填要求的建筑垃圾，预计进场建筑垃圾10.63</w:t>
            </w:r>
            <w:r>
              <w:rPr>
                <w:rFonts w:hint="eastAsia" w:ascii="Times New Roman" w:hAnsi="Times New Roman" w:eastAsia="宋体" w:cs="Times New Roman"/>
                <w:color w:val="auto"/>
                <w:kern w:val="2"/>
                <w:sz w:val="24"/>
                <w:szCs w:val="24"/>
                <w:highlight w:val="none"/>
                <w:lang w:val="en-US" w:eastAsia="zh-CN" w:bidi="ar-SA"/>
              </w:rPr>
              <w:t>万</w:t>
            </w:r>
            <w:r>
              <w:rPr>
                <w:rFonts w:hint="default" w:ascii="Times New Roman" w:hAnsi="Times New Roman" w:eastAsia="宋体" w:cs="Times New Roman"/>
                <w:color w:val="auto"/>
                <w:kern w:val="2"/>
                <w:sz w:val="24"/>
                <w:szCs w:val="24"/>
                <w:highlight w:val="none"/>
                <w:lang w:val="en-US" w:eastAsia="zh-CN" w:bidi="ar-SA"/>
              </w:rPr>
              <w:t>t/a</w:t>
            </w:r>
            <w:r>
              <w:rPr>
                <w:rFonts w:hint="eastAsia" w:cs="Times New Roman"/>
                <w:color w:val="auto"/>
                <w:kern w:val="2"/>
                <w:sz w:val="24"/>
                <w:szCs w:val="24"/>
                <w:highlight w:val="none"/>
                <w:lang w:val="en-US" w:eastAsia="zh-CN" w:bidi="ar-SA"/>
              </w:rPr>
              <w:t>，满足本项目堆填要求。</w:t>
            </w:r>
          </w:p>
          <w:p w14:paraId="154048A7">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8、工作制度及劳动定员</w:t>
            </w:r>
          </w:p>
          <w:p w14:paraId="63C85C8A">
            <w:pPr>
              <w:bidi w:val="0"/>
              <w:rPr>
                <w:rFonts w:hint="default"/>
                <w:color w:val="auto"/>
                <w:highlight w:val="none"/>
                <w:lang w:val="en-US" w:eastAsia="zh-CN"/>
              </w:rPr>
            </w:pPr>
            <w:r>
              <w:rPr>
                <w:rFonts w:hint="eastAsia"/>
                <w:color w:val="auto"/>
                <w:highlight w:val="none"/>
                <w:lang w:val="en-US" w:eastAsia="zh-CN"/>
              </w:rPr>
              <w:t>本项目年工作360天，每天1班，每班8小时，劳动定员为5人。</w:t>
            </w:r>
          </w:p>
          <w:p w14:paraId="4159A0E5">
            <w:pPr>
              <w:bidi w:val="0"/>
              <w:rPr>
                <w:rFonts w:hint="eastAsia"/>
                <w:color w:val="auto"/>
                <w:highlight w:val="none"/>
                <w:lang w:val="en-US" w:eastAsia="zh-CN"/>
              </w:rPr>
            </w:pPr>
            <w:r>
              <w:rPr>
                <w:rFonts w:hint="eastAsia"/>
                <w:color w:val="auto"/>
                <w:highlight w:val="none"/>
                <w:lang w:val="en-US" w:eastAsia="zh-CN"/>
              </w:rPr>
              <w:t>9、主要原辅材料及能源消耗</w:t>
            </w:r>
          </w:p>
          <w:p w14:paraId="127FE43A">
            <w:pPr>
              <w:bidi w:val="0"/>
              <w:rPr>
                <w:rFonts w:hint="eastAsia"/>
                <w:color w:val="auto"/>
                <w:highlight w:val="none"/>
                <w:lang w:val="en-US" w:eastAsia="zh-CN"/>
              </w:rPr>
            </w:pPr>
            <w:r>
              <w:rPr>
                <w:rFonts w:hint="eastAsia"/>
                <w:color w:val="auto"/>
                <w:highlight w:val="none"/>
                <w:lang w:val="en-US" w:eastAsia="zh-CN"/>
              </w:rPr>
              <w:t>本项目主要原辅材料及能源消耗情况见下表。</w:t>
            </w:r>
          </w:p>
          <w:p w14:paraId="46428F9D">
            <w:pPr>
              <w:pStyle w:val="36"/>
              <w:numPr>
                <w:ilvl w:val="0"/>
                <w:numId w:val="12"/>
              </w:numPr>
              <w:bidi w:val="0"/>
              <w:ind w:left="0" w:leftChars="0" w:firstLine="0" w:firstLineChars="0"/>
              <w:rPr>
                <w:rFonts w:hint="default"/>
                <w:color w:val="auto"/>
                <w:sz w:val="24"/>
                <w:szCs w:val="24"/>
                <w:highlight w:val="none"/>
              </w:rPr>
            </w:pPr>
            <w:r>
              <w:rPr>
                <w:rFonts w:hint="eastAsia"/>
                <w:color w:val="auto"/>
                <w:highlight w:val="none"/>
                <w:lang w:val="en-US" w:eastAsia="zh-CN"/>
              </w:rPr>
              <w:t>本项目</w:t>
            </w:r>
            <w:r>
              <w:rPr>
                <w:rFonts w:hint="default"/>
                <w:color w:val="auto"/>
                <w:sz w:val="21"/>
                <w:szCs w:val="21"/>
                <w:highlight w:val="none"/>
              </w:rPr>
              <w:t>主要原辅材料及能源消耗</w:t>
            </w:r>
            <w:r>
              <w:rPr>
                <w:rFonts w:hint="eastAsia"/>
                <w:color w:val="auto"/>
                <w:sz w:val="21"/>
                <w:szCs w:val="21"/>
                <w:highlight w:val="none"/>
                <w:lang w:val="en-US" w:eastAsia="zh-CN"/>
              </w:rPr>
              <w:t>一览</w:t>
            </w:r>
            <w:r>
              <w:rPr>
                <w:rFonts w:hint="default"/>
                <w:color w:val="auto"/>
                <w:sz w:val="21"/>
                <w:szCs w:val="21"/>
                <w:highlight w:val="none"/>
              </w:rPr>
              <w:t>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685"/>
              <w:gridCol w:w="1259"/>
              <w:gridCol w:w="1151"/>
              <w:gridCol w:w="977"/>
              <w:gridCol w:w="4035"/>
            </w:tblGrid>
            <w:tr w14:paraId="05F63D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1719FCC2">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序号</w:t>
                  </w:r>
                </w:p>
              </w:tc>
              <w:tc>
                <w:tcPr>
                  <w:tcW w:w="1259" w:type="dxa"/>
                  <w:tcBorders>
                    <w:tl2br w:val="nil"/>
                    <w:tr2bl w:val="nil"/>
                  </w:tcBorders>
                  <w:noWrap w:val="0"/>
                  <w:vAlign w:val="center"/>
                </w:tcPr>
                <w:p w14:paraId="13BA2AA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名称</w:t>
                  </w:r>
                </w:p>
              </w:tc>
              <w:tc>
                <w:tcPr>
                  <w:tcW w:w="1151" w:type="dxa"/>
                  <w:tcBorders>
                    <w:tl2br w:val="nil"/>
                    <w:tr2bl w:val="nil"/>
                  </w:tcBorders>
                  <w:noWrap w:val="0"/>
                  <w:vAlign w:val="center"/>
                </w:tcPr>
                <w:p w14:paraId="3190C0F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单位</w:t>
                  </w:r>
                </w:p>
              </w:tc>
              <w:tc>
                <w:tcPr>
                  <w:tcW w:w="977" w:type="dxa"/>
                  <w:tcBorders>
                    <w:tl2br w:val="nil"/>
                    <w:tr2bl w:val="nil"/>
                  </w:tcBorders>
                  <w:noWrap w:val="0"/>
                  <w:vAlign w:val="center"/>
                </w:tcPr>
                <w:p w14:paraId="7106F63A">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消耗量</w:t>
                  </w:r>
                </w:p>
              </w:tc>
              <w:tc>
                <w:tcPr>
                  <w:tcW w:w="4035" w:type="dxa"/>
                  <w:tcBorders>
                    <w:tl2br w:val="nil"/>
                    <w:tr2bl w:val="nil"/>
                  </w:tcBorders>
                  <w:noWrap w:val="0"/>
                  <w:vAlign w:val="center"/>
                </w:tcPr>
                <w:p w14:paraId="3A99F6A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rPr>
                  </w:pPr>
                  <w:r>
                    <w:rPr>
                      <w:rFonts w:hint="default"/>
                      <w:color w:val="auto"/>
                      <w:sz w:val="21"/>
                      <w:szCs w:val="21"/>
                      <w:highlight w:val="none"/>
                    </w:rPr>
                    <w:t>备注</w:t>
                  </w:r>
                </w:p>
              </w:tc>
            </w:tr>
            <w:tr w14:paraId="213748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52" w:hRule="atLeast"/>
                <w:jc w:val="center"/>
              </w:trPr>
              <w:tc>
                <w:tcPr>
                  <w:tcW w:w="685" w:type="dxa"/>
                  <w:tcBorders>
                    <w:tl2br w:val="nil"/>
                    <w:tr2bl w:val="nil"/>
                  </w:tcBorders>
                  <w:noWrap w:val="0"/>
                  <w:vAlign w:val="center"/>
                </w:tcPr>
                <w:p w14:paraId="40B0DD5D">
                  <w:pPr>
                    <w:keepNext w:val="0"/>
                    <w:keepLines w:val="0"/>
                    <w:pageBreakBefore w:val="0"/>
                    <w:widowControl w:val="0"/>
                    <w:numPr>
                      <w:ilvl w:val="0"/>
                      <w:numId w:val="14"/>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noWrap w:val="0"/>
                  <w:vAlign w:val="center"/>
                </w:tcPr>
                <w:p w14:paraId="484E176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建筑垃圾</w:t>
                  </w:r>
                </w:p>
              </w:tc>
              <w:tc>
                <w:tcPr>
                  <w:tcW w:w="1151" w:type="dxa"/>
                  <w:tcBorders>
                    <w:tl2br w:val="nil"/>
                    <w:tr2bl w:val="nil"/>
                  </w:tcBorders>
                  <w:noWrap w:val="0"/>
                  <w:vAlign w:val="center"/>
                </w:tcPr>
                <w:p w14:paraId="69762651">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万t/a</w:t>
                  </w:r>
                </w:p>
              </w:tc>
              <w:tc>
                <w:tcPr>
                  <w:tcW w:w="977" w:type="dxa"/>
                  <w:tcBorders>
                    <w:tl2br w:val="nil"/>
                    <w:tr2bl w:val="nil"/>
                  </w:tcBorders>
                  <w:noWrap w:val="0"/>
                  <w:vAlign w:val="center"/>
                </w:tcPr>
                <w:p w14:paraId="62C0C76F">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10.63</w:t>
                  </w:r>
                </w:p>
              </w:tc>
              <w:tc>
                <w:tcPr>
                  <w:tcW w:w="4035" w:type="dxa"/>
                  <w:tcBorders>
                    <w:tl2br w:val="nil"/>
                    <w:tr2bl w:val="nil"/>
                  </w:tcBorders>
                  <w:noWrap w:val="0"/>
                  <w:vAlign w:val="center"/>
                </w:tcPr>
                <w:p w14:paraId="06A6F7C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本项目接收迁安市范围符合堆填要求的建筑垃圾，主要包括工程渣土、工程泥浆、工程垃圾等，</w:t>
                  </w:r>
                  <w:r>
                    <w:rPr>
                      <w:rFonts w:hint="default"/>
                      <w:color w:val="auto"/>
                      <w:sz w:val="21"/>
                      <w:szCs w:val="21"/>
                      <w:highlight w:val="none"/>
                      <w:lang w:val="en-US" w:eastAsia="zh-CN"/>
                    </w:rPr>
                    <w:t>进场物料粒径小于0.3m</w:t>
                  </w:r>
                  <w:r>
                    <w:rPr>
                      <w:rFonts w:hint="eastAsia"/>
                      <w:color w:val="auto"/>
                      <w:sz w:val="21"/>
                      <w:szCs w:val="21"/>
                      <w:highlight w:val="none"/>
                      <w:lang w:val="en-US" w:eastAsia="zh-CN"/>
                    </w:rPr>
                    <w:t>；</w:t>
                  </w:r>
                  <w:r>
                    <w:rPr>
                      <w:rFonts w:hint="default"/>
                      <w:color w:val="auto"/>
                      <w:sz w:val="21"/>
                      <w:szCs w:val="21"/>
                      <w:highlight w:val="none"/>
                      <w:lang w:val="en-US" w:eastAsia="zh-CN"/>
                    </w:rPr>
                    <w:t>进场物料中废旧管材、废旧木材、竹木、纺织物等含量</w:t>
                  </w:r>
                  <w:r>
                    <w:rPr>
                      <w:rFonts w:hint="eastAsia"/>
                      <w:color w:val="auto"/>
                      <w:sz w:val="21"/>
                      <w:szCs w:val="21"/>
                      <w:highlight w:val="none"/>
                      <w:lang w:val="en-US" w:eastAsia="zh-CN"/>
                    </w:rPr>
                    <w:t>小于</w:t>
                  </w:r>
                  <w:r>
                    <w:rPr>
                      <w:rFonts w:hint="default"/>
                      <w:color w:val="auto"/>
                      <w:sz w:val="21"/>
                      <w:szCs w:val="21"/>
                      <w:highlight w:val="none"/>
                      <w:lang w:val="en-US" w:eastAsia="zh-CN"/>
                    </w:rPr>
                    <w:t>5%</w:t>
                  </w:r>
                  <w:r>
                    <w:rPr>
                      <w:rFonts w:hint="eastAsia"/>
                      <w:color w:val="auto"/>
                      <w:sz w:val="21"/>
                      <w:szCs w:val="21"/>
                      <w:highlight w:val="none"/>
                      <w:lang w:val="en-US" w:eastAsia="zh-CN"/>
                    </w:rPr>
                    <w:t>，且不含废沥青、金属</w:t>
                  </w:r>
                  <w:r>
                    <w:rPr>
                      <w:rFonts w:hint="default"/>
                      <w:color w:val="auto"/>
                      <w:sz w:val="21"/>
                      <w:szCs w:val="21"/>
                      <w:highlight w:val="none"/>
                      <w:lang w:val="en-US" w:eastAsia="zh-CN"/>
                    </w:rPr>
                    <w:t>、橡</w:t>
                  </w:r>
                  <w:r>
                    <w:rPr>
                      <w:rFonts w:hint="eastAsia"/>
                      <w:color w:val="auto"/>
                      <w:sz w:val="21"/>
                      <w:szCs w:val="21"/>
                      <w:highlight w:val="none"/>
                      <w:lang w:val="en-US" w:eastAsia="zh-CN"/>
                    </w:rPr>
                    <w:t>（</w:t>
                  </w:r>
                  <w:r>
                    <w:rPr>
                      <w:rFonts w:hint="default"/>
                      <w:color w:val="auto"/>
                      <w:sz w:val="21"/>
                      <w:szCs w:val="21"/>
                      <w:highlight w:val="none"/>
                      <w:lang w:val="en-US" w:eastAsia="zh-CN"/>
                    </w:rPr>
                    <w:t>胶</w:t>
                  </w:r>
                  <w:r>
                    <w:rPr>
                      <w:rFonts w:hint="eastAsia"/>
                      <w:color w:val="auto"/>
                      <w:sz w:val="21"/>
                      <w:szCs w:val="21"/>
                      <w:highlight w:val="none"/>
                      <w:lang w:val="en-US" w:eastAsia="zh-CN"/>
                    </w:rPr>
                    <w:t>）</w:t>
                  </w:r>
                  <w:r>
                    <w:rPr>
                      <w:rFonts w:hint="default"/>
                      <w:color w:val="auto"/>
                      <w:sz w:val="21"/>
                      <w:szCs w:val="21"/>
                      <w:highlight w:val="none"/>
                      <w:lang w:val="en-US" w:eastAsia="zh-CN"/>
                    </w:rPr>
                    <w:t>塑</w:t>
                  </w:r>
                  <w:r>
                    <w:rPr>
                      <w:rFonts w:hint="eastAsia"/>
                      <w:color w:val="auto"/>
                      <w:sz w:val="21"/>
                      <w:szCs w:val="21"/>
                      <w:highlight w:val="none"/>
                      <w:lang w:val="en-US" w:eastAsia="zh-CN"/>
                    </w:rPr>
                    <w:t>（料）；</w:t>
                  </w:r>
                  <w:r>
                    <w:rPr>
                      <w:rFonts w:hint="default"/>
                      <w:color w:val="auto"/>
                      <w:sz w:val="21"/>
                      <w:szCs w:val="21"/>
                      <w:highlight w:val="none"/>
                      <w:lang w:val="en-US" w:eastAsia="zh-CN"/>
                    </w:rPr>
                    <w:t>工程渣土与泥浆</w:t>
                  </w:r>
                  <w:r>
                    <w:rPr>
                      <w:rFonts w:hint="eastAsia"/>
                      <w:color w:val="auto"/>
                      <w:sz w:val="21"/>
                      <w:szCs w:val="21"/>
                      <w:highlight w:val="none"/>
                      <w:lang w:val="en-US" w:eastAsia="zh-CN"/>
                    </w:rPr>
                    <w:t>须经</w:t>
                  </w:r>
                  <w:r>
                    <w:rPr>
                      <w:rFonts w:hint="default"/>
                      <w:color w:val="auto"/>
                      <w:sz w:val="21"/>
                      <w:szCs w:val="21"/>
                      <w:highlight w:val="none"/>
                      <w:lang w:val="en-US" w:eastAsia="zh-CN"/>
                    </w:rPr>
                    <w:t>预处理</w:t>
                  </w:r>
                  <w:r>
                    <w:rPr>
                      <w:rFonts w:hint="eastAsia"/>
                      <w:color w:val="auto"/>
                      <w:sz w:val="21"/>
                      <w:szCs w:val="21"/>
                      <w:highlight w:val="none"/>
                      <w:lang w:val="en-US" w:eastAsia="zh-CN"/>
                    </w:rPr>
                    <w:t>改性后满足</w:t>
                  </w:r>
                  <w:r>
                    <w:rPr>
                      <w:rFonts w:hint="default"/>
                      <w:color w:val="auto"/>
                      <w:sz w:val="21"/>
                      <w:szCs w:val="21"/>
                      <w:highlight w:val="none"/>
                      <w:lang w:val="en-US" w:eastAsia="zh-CN"/>
                    </w:rPr>
                    <w:t>物料含水率小于40%、相关力学指标符合标准要求后方可</w:t>
                  </w:r>
                  <w:r>
                    <w:rPr>
                      <w:rFonts w:hint="eastAsia"/>
                      <w:color w:val="auto"/>
                      <w:sz w:val="21"/>
                      <w:szCs w:val="21"/>
                      <w:highlight w:val="none"/>
                      <w:lang w:val="en-US" w:eastAsia="zh-CN"/>
                    </w:rPr>
                    <w:t>进场。</w:t>
                  </w:r>
                </w:p>
              </w:tc>
            </w:tr>
            <w:tr w14:paraId="5C9B49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7A61C01B">
                  <w:pPr>
                    <w:keepNext w:val="0"/>
                    <w:keepLines w:val="0"/>
                    <w:pageBreakBefore w:val="0"/>
                    <w:widowControl w:val="0"/>
                    <w:numPr>
                      <w:ilvl w:val="0"/>
                      <w:numId w:val="14"/>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71C9D472">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水（回填期）</w:t>
                  </w:r>
                </w:p>
              </w:tc>
              <w:tc>
                <w:tcPr>
                  <w:tcW w:w="1151" w:type="dxa"/>
                  <w:tcBorders>
                    <w:tl2br w:val="nil"/>
                    <w:tr2bl w:val="nil"/>
                  </w:tcBorders>
                  <w:shd w:val="clear" w:color="auto" w:fill="auto"/>
                  <w:noWrap w:val="0"/>
                  <w:vAlign w:val="center"/>
                </w:tcPr>
                <w:p w14:paraId="504019C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/a</w:t>
                  </w:r>
                </w:p>
              </w:tc>
              <w:tc>
                <w:tcPr>
                  <w:tcW w:w="977" w:type="dxa"/>
                  <w:tcBorders>
                    <w:tl2br w:val="nil"/>
                    <w:tr2bl w:val="nil"/>
                  </w:tcBorders>
                  <w:shd w:val="clear" w:color="auto" w:fill="auto"/>
                  <w:noWrap w:val="0"/>
                  <w:vAlign w:val="center"/>
                </w:tcPr>
                <w:p w14:paraId="2A69210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3240</w:t>
                  </w:r>
                </w:p>
              </w:tc>
              <w:tc>
                <w:tcPr>
                  <w:tcW w:w="4035" w:type="dxa"/>
                  <w:tcBorders>
                    <w:tl2br w:val="nil"/>
                    <w:tr2bl w:val="nil"/>
                  </w:tcBorders>
                  <w:shd w:val="clear" w:color="auto" w:fill="auto"/>
                  <w:noWrap w:val="0"/>
                  <w:vAlign w:val="center"/>
                </w:tcPr>
                <w:p w14:paraId="210ED76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highlight w:val="none"/>
                      <w:lang w:val="en-US" w:eastAsia="zh-CN"/>
                    </w:rPr>
                    <w:t>迁安市建勇矿业有限公司提供</w:t>
                  </w:r>
                </w:p>
              </w:tc>
            </w:tr>
            <w:tr w14:paraId="277AFB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85" w:type="dxa"/>
                  <w:tcBorders>
                    <w:tl2br w:val="nil"/>
                    <w:tr2bl w:val="nil"/>
                  </w:tcBorders>
                  <w:noWrap w:val="0"/>
                  <w:vAlign w:val="center"/>
                </w:tcPr>
                <w:p w14:paraId="78E0C6EA">
                  <w:pPr>
                    <w:keepNext w:val="0"/>
                    <w:keepLines w:val="0"/>
                    <w:pageBreakBefore w:val="0"/>
                    <w:widowControl w:val="0"/>
                    <w:numPr>
                      <w:ilvl w:val="0"/>
                      <w:numId w:val="14"/>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1A0D2972">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水（生态恢复期）</w:t>
                  </w:r>
                </w:p>
              </w:tc>
              <w:tc>
                <w:tcPr>
                  <w:tcW w:w="1151" w:type="dxa"/>
                  <w:tcBorders>
                    <w:tl2br w:val="nil"/>
                    <w:tr2bl w:val="nil"/>
                  </w:tcBorders>
                  <w:shd w:val="clear" w:color="auto" w:fill="auto"/>
                  <w:noWrap w:val="0"/>
                  <w:vAlign w:val="center"/>
                </w:tcPr>
                <w:p w14:paraId="5752EDD4">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/a</w:t>
                  </w:r>
                </w:p>
              </w:tc>
              <w:tc>
                <w:tcPr>
                  <w:tcW w:w="977" w:type="dxa"/>
                  <w:tcBorders>
                    <w:tl2br w:val="nil"/>
                    <w:tr2bl w:val="nil"/>
                  </w:tcBorders>
                  <w:shd w:val="clear" w:color="auto" w:fill="auto"/>
                  <w:noWrap w:val="0"/>
                  <w:vAlign w:val="center"/>
                </w:tcPr>
                <w:p w14:paraId="30A7E98A">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1233.96</w:t>
                  </w:r>
                </w:p>
              </w:tc>
              <w:tc>
                <w:tcPr>
                  <w:tcW w:w="4035" w:type="dxa"/>
                  <w:tcBorders>
                    <w:tl2br w:val="nil"/>
                    <w:tr2bl w:val="nil"/>
                  </w:tcBorders>
                  <w:shd w:val="clear" w:color="auto" w:fill="auto"/>
                  <w:noWrap w:val="0"/>
                  <w:vAlign w:val="center"/>
                </w:tcPr>
                <w:p w14:paraId="77991FB7">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highlight w:val="none"/>
                      <w:lang w:val="en-US" w:eastAsia="zh-CN"/>
                    </w:rPr>
                    <w:t>迁安市建勇矿业有限公司提供</w:t>
                  </w:r>
                </w:p>
              </w:tc>
            </w:tr>
            <w:tr w14:paraId="0CDE81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3E5B1FAE">
                  <w:pPr>
                    <w:keepNext w:val="0"/>
                    <w:keepLines w:val="0"/>
                    <w:pageBreakBefore w:val="0"/>
                    <w:widowControl w:val="0"/>
                    <w:numPr>
                      <w:ilvl w:val="0"/>
                      <w:numId w:val="14"/>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142135DB">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电</w:t>
                  </w:r>
                </w:p>
              </w:tc>
              <w:tc>
                <w:tcPr>
                  <w:tcW w:w="1151" w:type="dxa"/>
                  <w:tcBorders>
                    <w:tl2br w:val="nil"/>
                    <w:tr2bl w:val="nil"/>
                  </w:tcBorders>
                  <w:shd w:val="clear" w:color="auto" w:fill="auto"/>
                  <w:noWrap w:val="0"/>
                  <w:vAlign w:val="center"/>
                </w:tcPr>
                <w:p w14:paraId="69AB2901">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万kWh/a</w:t>
                  </w:r>
                </w:p>
              </w:tc>
              <w:tc>
                <w:tcPr>
                  <w:tcW w:w="977" w:type="dxa"/>
                  <w:tcBorders>
                    <w:tl2br w:val="nil"/>
                    <w:tr2bl w:val="nil"/>
                  </w:tcBorders>
                  <w:shd w:val="clear" w:color="auto" w:fill="auto"/>
                  <w:noWrap w:val="0"/>
                  <w:vAlign w:val="center"/>
                </w:tcPr>
                <w:p w14:paraId="58D2EF7D">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1</w:t>
                  </w:r>
                </w:p>
              </w:tc>
              <w:tc>
                <w:tcPr>
                  <w:tcW w:w="4035" w:type="dxa"/>
                  <w:tcBorders>
                    <w:tl2br w:val="nil"/>
                    <w:tr2bl w:val="nil"/>
                  </w:tcBorders>
                  <w:shd w:val="clear" w:color="auto" w:fill="auto"/>
                  <w:noWrap w:val="0"/>
                  <w:vAlign w:val="center"/>
                </w:tcPr>
                <w:p w14:paraId="5A674D61">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本地电网提供</w:t>
                  </w:r>
                </w:p>
              </w:tc>
            </w:tr>
            <w:tr w14:paraId="76BA72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7E9B0454">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7EA6F394">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收集管</w:t>
                  </w:r>
                </w:p>
              </w:tc>
              <w:tc>
                <w:tcPr>
                  <w:tcW w:w="1151" w:type="dxa"/>
                  <w:tcBorders>
                    <w:tl2br w:val="nil"/>
                    <w:tr2bl w:val="nil"/>
                  </w:tcBorders>
                  <w:shd w:val="clear" w:color="auto" w:fill="auto"/>
                  <w:noWrap w:val="0"/>
                  <w:vAlign w:val="center"/>
                </w:tcPr>
                <w:p w14:paraId="776D8B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w:t>
                  </w:r>
                </w:p>
              </w:tc>
              <w:tc>
                <w:tcPr>
                  <w:tcW w:w="977" w:type="dxa"/>
                  <w:tcBorders>
                    <w:tl2br w:val="nil"/>
                    <w:tr2bl w:val="nil"/>
                  </w:tcBorders>
                  <w:shd w:val="clear" w:color="auto" w:fill="auto"/>
                  <w:noWrap w:val="0"/>
                  <w:vAlign w:val="center"/>
                </w:tcPr>
                <w:p w14:paraId="72CA9A9A">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540</w:t>
                  </w:r>
                </w:p>
              </w:tc>
              <w:tc>
                <w:tcPr>
                  <w:tcW w:w="4035" w:type="dxa"/>
                  <w:tcBorders>
                    <w:tl2br w:val="nil"/>
                    <w:tr2bl w:val="nil"/>
                  </w:tcBorders>
                  <w:shd w:val="clear" w:color="auto" w:fill="auto"/>
                  <w:noWrap w:val="0"/>
                  <w:vAlign w:val="center"/>
                </w:tcPr>
                <w:p w14:paraId="5586B3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DN250</w:t>
                  </w:r>
                </w:p>
              </w:tc>
            </w:tr>
            <w:tr w14:paraId="64AD7D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599F546C">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69067B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碎石</w:t>
                  </w:r>
                </w:p>
              </w:tc>
              <w:tc>
                <w:tcPr>
                  <w:tcW w:w="1151" w:type="dxa"/>
                  <w:tcBorders>
                    <w:tl2br w:val="nil"/>
                    <w:tr2bl w:val="nil"/>
                  </w:tcBorders>
                  <w:shd w:val="clear" w:color="auto" w:fill="auto"/>
                  <w:noWrap w:val="0"/>
                  <w:vAlign w:val="center"/>
                </w:tcPr>
                <w:p w14:paraId="6EFED804">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万m</w:t>
                  </w:r>
                  <w:r>
                    <w:rPr>
                      <w:rFonts w:hint="default" w:ascii="Times New Roman" w:hAnsi="Times New Roman" w:eastAsia="宋体" w:cs="Times New Roman"/>
                      <w:color w:val="auto"/>
                      <w:sz w:val="21"/>
                      <w:szCs w:val="21"/>
                      <w:highlight w:val="none"/>
                      <w:vertAlign w:val="superscript"/>
                      <w:lang w:val="en-US" w:eastAsia="zh-CN"/>
                    </w:rPr>
                    <w:t>2</w:t>
                  </w:r>
                </w:p>
              </w:tc>
              <w:tc>
                <w:tcPr>
                  <w:tcW w:w="977" w:type="dxa"/>
                  <w:tcBorders>
                    <w:tl2br w:val="nil"/>
                    <w:tr2bl w:val="nil"/>
                  </w:tcBorders>
                  <w:shd w:val="clear" w:color="auto" w:fill="auto"/>
                  <w:noWrap w:val="0"/>
                  <w:vAlign w:val="center"/>
                </w:tcPr>
                <w:p w14:paraId="3D7BE705">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w:t>
                  </w:r>
                  <w:r>
                    <w:rPr>
                      <w:rFonts w:hint="eastAsia" w:cs="Times New Roman"/>
                      <w:color w:val="auto"/>
                      <w:sz w:val="21"/>
                      <w:szCs w:val="21"/>
                      <w:highlight w:val="none"/>
                      <w:lang w:val="en-US" w:eastAsia="zh-CN"/>
                    </w:rPr>
                    <w:t>.8</w:t>
                  </w:r>
                </w:p>
              </w:tc>
              <w:tc>
                <w:tcPr>
                  <w:tcW w:w="4035" w:type="dxa"/>
                  <w:tcBorders>
                    <w:tl2br w:val="nil"/>
                    <w:tr2bl w:val="nil"/>
                  </w:tcBorders>
                  <w:shd w:val="clear" w:color="auto" w:fill="auto"/>
                  <w:noWrap w:val="0"/>
                  <w:vAlign w:val="center"/>
                </w:tcPr>
                <w:p w14:paraId="736DDA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w:t>
                  </w:r>
                </w:p>
              </w:tc>
            </w:tr>
            <w:tr w14:paraId="2472CF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16D59DB8">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6F433E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土工布</w:t>
                  </w:r>
                </w:p>
              </w:tc>
              <w:tc>
                <w:tcPr>
                  <w:tcW w:w="1151" w:type="dxa"/>
                  <w:tcBorders>
                    <w:tl2br w:val="nil"/>
                    <w:tr2bl w:val="nil"/>
                  </w:tcBorders>
                  <w:shd w:val="clear" w:color="auto" w:fill="auto"/>
                  <w:noWrap w:val="0"/>
                  <w:vAlign w:val="center"/>
                </w:tcPr>
                <w:p w14:paraId="0CA114BF">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万m</w:t>
                  </w:r>
                  <w:r>
                    <w:rPr>
                      <w:rFonts w:hint="default" w:ascii="Times New Roman" w:hAnsi="Times New Roman" w:eastAsia="宋体" w:cs="Times New Roman"/>
                      <w:color w:val="auto"/>
                      <w:sz w:val="21"/>
                      <w:szCs w:val="21"/>
                      <w:highlight w:val="none"/>
                      <w:vertAlign w:val="superscript"/>
                      <w:lang w:val="en-US" w:eastAsia="zh-CN"/>
                    </w:rPr>
                    <w:t>2</w:t>
                  </w:r>
                </w:p>
              </w:tc>
              <w:tc>
                <w:tcPr>
                  <w:tcW w:w="977" w:type="dxa"/>
                  <w:tcBorders>
                    <w:tl2br w:val="nil"/>
                    <w:tr2bl w:val="nil"/>
                  </w:tcBorders>
                  <w:shd w:val="clear" w:color="auto" w:fill="auto"/>
                  <w:noWrap w:val="0"/>
                  <w:vAlign w:val="center"/>
                </w:tcPr>
                <w:p w14:paraId="04214BD4">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2.3</w:t>
                  </w:r>
                </w:p>
              </w:tc>
              <w:tc>
                <w:tcPr>
                  <w:tcW w:w="4035" w:type="dxa"/>
                  <w:tcBorders>
                    <w:tl2br w:val="nil"/>
                    <w:tr2bl w:val="nil"/>
                  </w:tcBorders>
                  <w:shd w:val="clear" w:color="auto" w:fill="auto"/>
                  <w:noWrap w:val="0"/>
                  <w:vAlign w:val="center"/>
                </w:tcPr>
                <w:p w14:paraId="534CC0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2</w:t>
                  </w:r>
                  <w:r>
                    <w:rPr>
                      <w:rFonts w:hint="default" w:ascii="Times New Roman" w:hAnsi="Times New Roman" w:eastAsia="宋体" w:cs="Times New Roman"/>
                      <w:color w:val="auto"/>
                      <w:kern w:val="0"/>
                      <w:sz w:val="21"/>
                      <w:szCs w:val="21"/>
                      <w:highlight w:val="none"/>
                      <w:lang w:val="en-US" w:eastAsia="zh-CN" w:bidi="ar"/>
                    </w:rPr>
                    <w:t>00g/m</w:t>
                  </w:r>
                  <w:r>
                    <w:rPr>
                      <w:rFonts w:hint="default" w:ascii="Times New Roman" w:hAnsi="Times New Roman" w:eastAsia="宋体" w:cs="Times New Roman"/>
                      <w:color w:val="auto"/>
                      <w:kern w:val="0"/>
                      <w:sz w:val="21"/>
                      <w:szCs w:val="21"/>
                      <w:highlight w:val="none"/>
                      <w:vertAlign w:val="superscript"/>
                      <w:lang w:val="en-US" w:eastAsia="zh-CN" w:bidi="ar"/>
                    </w:rPr>
                    <w:t>2</w:t>
                  </w:r>
                </w:p>
              </w:tc>
            </w:tr>
            <w:tr w14:paraId="680D56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85" w:type="dxa"/>
                  <w:tcBorders>
                    <w:tl2br w:val="nil"/>
                    <w:tr2bl w:val="nil"/>
                  </w:tcBorders>
                  <w:noWrap w:val="0"/>
                  <w:vAlign w:val="center"/>
                </w:tcPr>
                <w:p w14:paraId="64253C53">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52B849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黏土</w:t>
                  </w:r>
                </w:p>
              </w:tc>
              <w:tc>
                <w:tcPr>
                  <w:tcW w:w="1151" w:type="dxa"/>
                  <w:tcBorders>
                    <w:tl2br w:val="nil"/>
                    <w:tr2bl w:val="nil"/>
                  </w:tcBorders>
                  <w:shd w:val="clear" w:color="auto" w:fill="auto"/>
                  <w:noWrap w:val="0"/>
                  <w:vAlign w:val="center"/>
                </w:tcPr>
                <w:p w14:paraId="13B9EB0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p>
              </w:tc>
              <w:tc>
                <w:tcPr>
                  <w:tcW w:w="977" w:type="dxa"/>
                  <w:tcBorders>
                    <w:tl2br w:val="nil"/>
                    <w:tr2bl w:val="nil"/>
                  </w:tcBorders>
                  <w:shd w:val="clear" w:color="auto" w:fill="auto"/>
                  <w:noWrap w:val="0"/>
                  <w:vAlign w:val="center"/>
                </w:tcPr>
                <w:p w14:paraId="4805A666">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sz w:val="21"/>
                      <w:szCs w:val="21"/>
                      <w:highlight w:val="none"/>
                      <w:lang w:val="en-US" w:eastAsia="zh-CN"/>
                    </w:rPr>
                    <w:t>18652</w:t>
                  </w:r>
                </w:p>
              </w:tc>
              <w:tc>
                <w:tcPr>
                  <w:tcW w:w="4035" w:type="dxa"/>
                  <w:tcBorders>
                    <w:tl2br w:val="nil"/>
                    <w:tr2bl w:val="nil"/>
                  </w:tcBorders>
                  <w:shd w:val="clear" w:color="auto" w:fill="auto"/>
                  <w:noWrap w:val="0"/>
                  <w:vAlign w:val="center"/>
                </w:tcPr>
                <w:p w14:paraId="06BAD1A5">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sz w:val="21"/>
                      <w:szCs w:val="21"/>
                      <w:highlight w:val="none"/>
                      <w:lang w:val="en-US" w:eastAsia="zh-CN"/>
                    </w:rPr>
                    <w:t>改性黏土，用于封场覆盖、单元作业结束覆盖和防渗</w:t>
                  </w:r>
                </w:p>
              </w:tc>
            </w:tr>
            <w:tr w14:paraId="2A3C27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85" w:type="dxa"/>
                  <w:tcBorders>
                    <w:tl2br w:val="nil"/>
                    <w:tr2bl w:val="nil"/>
                  </w:tcBorders>
                  <w:noWrap w:val="0"/>
                  <w:vAlign w:val="center"/>
                </w:tcPr>
                <w:p w14:paraId="3E8EDE14">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4F397A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土工复合排水网</w:t>
                  </w:r>
                </w:p>
              </w:tc>
              <w:tc>
                <w:tcPr>
                  <w:tcW w:w="1151" w:type="dxa"/>
                  <w:tcBorders>
                    <w:tl2br w:val="nil"/>
                    <w:tr2bl w:val="nil"/>
                  </w:tcBorders>
                  <w:shd w:val="clear" w:color="auto" w:fill="auto"/>
                  <w:noWrap w:val="0"/>
                  <w:vAlign w:val="center"/>
                </w:tcPr>
                <w:p w14:paraId="436860F3">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m</w:t>
                  </w:r>
                  <w:r>
                    <w:rPr>
                      <w:rFonts w:hint="eastAsia" w:cs="Times New Roman"/>
                      <w:color w:val="auto"/>
                      <w:sz w:val="21"/>
                      <w:szCs w:val="21"/>
                      <w:highlight w:val="none"/>
                      <w:vertAlign w:val="superscript"/>
                      <w:lang w:val="en-US" w:eastAsia="zh-CN"/>
                    </w:rPr>
                    <w:t>2</w:t>
                  </w:r>
                </w:p>
              </w:tc>
              <w:tc>
                <w:tcPr>
                  <w:tcW w:w="977" w:type="dxa"/>
                  <w:tcBorders>
                    <w:tl2br w:val="nil"/>
                    <w:tr2bl w:val="nil"/>
                  </w:tcBorders>
                  <w:shd w:val="clear" w:color="auto" w:fill="auto"/>
                  <w:noWrap w:val="0"/>
                  <w:vAlign w:val="center"/>
                </w:tcPr>
                <w:p w14:paraId="15EDBAC5">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600</w:t>
                  </w:r>
                </w:p>
              </w:tc>
              <w:tc>
                <w:tcPr>
                  <w:tcW w:w="4035" w:type="dxa"/>
                  <w:tcBorders>
                    <w:tl2br w:val="nil"/>
                    <w:tr2bl w:val="nil"/>
                  </w:tcBorders>
                  <w:shd w:val="clear" w:color="auto" w:fill="auto"/>
                  <w:noWrap w:val="0"/>
                  <w:vAlign w:val="center"/>
                </w:tcPr>
                <w:p w14:paraId="6BD9AE65">
                  <w:pPr>
                    <w:pStyle w:val="35"/>
                    <w:keepNext w:val="0"/>
                    <w:keepLines w:val="0"/>
                    <w:pageBreakBefore w:val="0"/>
                    <w:widowControl w:val="0"/>
                    <w:kinsoku/>
                    <w:wordWrap/>
                    <w:overflowPunct/>
                    <w:topLinePunct w:val="0"/>
                    <w:autoSpaceDE/>
                    <w:autoSpaceDN/>
                    <w:bidi w:val="0"/>
                    <w:adjustRightInd/>
                    <w:snapToGrid/>
                    <w:spacing w:before="0" w:after="0" w:line="240" w:lineRule="auto"/>
                    <w:ind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054681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17C34B15">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0D45A5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土石方</w:t>
                  </w:r>
                </w:p>
              </w:tc>
              <w:tc>
                <w:tcPr>
                  <w:tcW w:w="1151" w:type="dxa"/>
                  <w:tcBorders>
                    <w:tl2br w:val="nil"/>
                    <w:tr2bl w:val="nil"/>
                  </w:tcBorders>
                  <w:shd w:val="clear" w:color="auto" w:fill="auto"/>
                  <w:noWrap w:val="0"/>
                  <w:vAlign w:val="center"/>
                </w:tcPr>
                <w:p w14:paraId="4D3CE2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m</w:t>
                  </w:r>
                  <w:r>
                    <w:rPr>
                      <w:rFonts w:hint="eastAsia" w:ascii="Times New Roman" w:hAnsi="Times New Roman" w:eastAsia="宋体" w:cs="Times New Roman"/>
                      <w:color w:val="auto"/>
                      <w:kern w:val="0"/>
                      <w:sz w:val="21"/>
                      <w:szCs w:val="21"/>
                      <w:highlight w:val="none"/>
                      <w:vertAlign w:val="superscript"/>
                      <w:lang w:val="en-US" w:eastAsia="zh-CN" w:bidi="ar"/>
                    </w:rPr>
                    <w:t>3</w:t>
                  </w:r>
                </w:p>
              </w:tc>
              <w:tc>
                <w:tcPr>
                  <w:tcW w:w="977" w:type="dxa"/>
                  <w:tcBorders>
                    <w:tl2br w:val="nil"/>
                    <w:tr2bl w:val="nil"/>
                  </w:tcBorders>
                  <w:shd w:val="clear" w:color="auto" w:fill="auto"/>
                  <w:noWrap w:val="0"/>
                  <w:vAlign w:val="center"/>
                </w:tcPr>
                <w:p w14:paraId="2B31E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1800</w:t>
                  </w:r>
                </w:p>
              </w:tc>
              <w:tc>
                <w:tcPr>
                  <w:tcW w:w="4035" w:type="dxa"/>
                  <w:tcBorders>
                    <w:tl2br w:val="nil"/>
                    <w:tr2bl w:val="nil"/>
                  </w:tcBorders>
                  <w:shd w:val="clear" w:color="auto" w:fill="auto"/>
                  <w:noWrap w:val="0"/>
                  <w:vAlign w:val="center"/>
                </w:tcPr>
                <w:p w14:paraId="11DD31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外购</w:t>
                  </w:r>
                </w:p>
              </w:tc>
            </w:tr>
            <w:tr w14:paraId="39DFA1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63AAD961">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03C1B9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卵石</w:t>
                  </w:r>
                </w:p>
              </w:tc>
              <w:tc>
                <w:tcPr>
                  <w:tcW w:w="1151" w:type="dxa"/>
                  <w:tcBorders>
                    <w:tl2br w:val="nil"/>
                    <w:tr2bl w:val="nil"/>
                  </w:tcBorders>
                  <w:shd w:val="clear" w:color="auto" w:fill="auto"/>
                  <w:noWrap w:val="0"/>
                  <w:vAlign w:val="center"/>
                </w:tcPr>
                <w:p w14:paraId="058AE0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m</w:t>
                  </w:r>
                  <w:r>
                    <w:rPr>
                      <w:rFonts w:hint="eastAsia" w:ascii="Times New Roman" w:hAnsi="Times New Roman" w:eastAsia="宋体" w:cs="Times New Roman"/>
                      <w:color w:val="auto"/>
                      <w:kern w:val="0"/>
                      <w:sz w:val="21"/>
                      <w:szCs w:val="21"/>
                      <w:highlight w:val="none"/>
                      <w:vertAlign w:val="superscript"/>
                      <w:lang w:val="en-US" w:eastAsia="zh-CN" w:bidi="ar"/>
                    </w:rPr>
                    <w:t>3</w:t>
                  </w:r>
                </w:p>
              </w:tc>
              <w:tc>
                <w:tcPr>
                  <w:tcW w:w="977" w:type="dxa"/>
                  <w:tcBorders>
                    <w:tl2br w:val="nil"/>
                    <w:tr2bl w:val="nil"/>
                  </w:tcBorders>
                  <w:shd w:val="clear" w:color="auto" w:fill="auto"/>
                  <w:noWrap w:val="0"/>
                  <w:vAlign w:val="center"/>
                </w:tcPr>
                <w:p w14:paraId="0A3D3C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1763</w:t>
                  </w:r>
                </w:p>
              </w:tc>
              <w:tc>
                <w:tcPr>
                  <w:tcW w:w="4035" w:type="dxa"/>
                  <w:tcBorders>
                    <w:tl2br w:val="nil"/>
                    <w:tr2bl w:val="nil"/>
                  </w:tcBorders>
                  <w:shd w:val="clear" w:color="auto" w:fill="auto"/>
                  <w:noWrap w:val="0"/>
                  <w:vAlign w:val="center"/>
                </w:tcPr>
                <w:p w14:paraId="0535E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外购</w:t>
                  </w:r>
                </w:p>
              </w:tc>
            </w:tr>
            <w:tr w14:paraId="09BE9F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3FDD7E10">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7FA592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自然土</w:t>
                  </w:r>
                </w:p>
              </w:tc>
              <w:tc>
                <w:tcPr>
                  <w:tcW w:w="1151" w:type="dxa"/>
                  <w:tcBorders>
                    <w:tl2br w:val="nil"/>
                    <w:tr2bl w:val="nil"/>
                  </w:tcBorders>
                  <w:shd w:val="clear" w:color="auto" w:fill="auto"/>
                  <w:noWrap w:val="0"/>
                  <w:vAlign w:val="center"/>
                </w:tcPr>
                <w:p w14:paraId="5880BB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m</w:t>
                  </w:r>
                  <w:r>
                    <w:rPr>
                      <w:rFonts w:hint="eastAsia" w:ascii="Times New Roman" w:hAnsi="Times New Roman" w:eastAsia="宋体" w:cs="Times New Roman"/>
                      <w:color w:val="auto"/>
                      <w:kern w:val="0"/>
                      <w:sz w:val="21"/>
                      <w:szCs w:val="21"/>
                      <w:highlight w:val="none"/>
                      <w:vertAlign w:val="superscript"/>
                      <w:lang w:val="en-US" w:eastAsia="zh-CN" w:bidi="ar"/>
                    </w:rPr>
                    <w:t>3</w:t>
                  </w:r>
                </w:p>
              </w:tc>
              <w:tc>
                <w:tcPr>
                  <w:tcW w:w="977" w:type="dxa"/>
                  <w:tcBorders>
                    <w:tl2br w:val="nil"/>
                    <w:tr2bl w:val="nil"/>
                  </w:tcBorders>
                  <w:shd w:val="clear" w:color="auto" w:fill="auto"/>
                  <w:noWrap w:val="0"/>
                  <w:vAlign w:val="center"/>
                </w:tcPr>
                <w:p w14:paraId="393FEF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881</w:t>
                  </w:r>
                </w:p>
              </w:tc>
              <w:tc>
                <w:tcPr>
                  <w:tcW w:w="4035" w:type="dxa"/>
                  <w:tcBorders>
                    <w:tl2br w:val="nil"/>
                    <w:tr2bl w:val="nil"/>
                  </w:tcBorders>
                  <w:shd w:val="clear" w:color="auto" w:fill="auto"/>
                  <w:noWrap w:val="0"/>
                  <w:vAlign w:val="center"/>
                </w:tcPr>
                <w:p w14:paraId="796E57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用于封场覆盖</w:t>
                  </w:r>
                </w:p>
              </w:tc>
            </w:tr>
            <w:tr w14:paraId="1C25C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08" w:hRule="atLeast"/>
                <w:jc w:val="center"/>
              </w:trPr>
              <w:tc>
                <w:tcPr>
                  <w:tcW w:w="685" w:type="dxa"/>
                  <w:tcBorders>
                    <w:tl2br w:val="nil"/>
                    <w:tr2bl w:val="nil"/>
                  </w:tcBorders>
                  <w:noWrap w:val="0"/>
                  <w:vAlign w:val="center"/>
                </w:tcPr>
                <w:p w14:paraId="40C0BB01">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1259" w:type="dxa"/>
                  <w:tcBorders>
                    <w:tl2br w:val="nil"/>
                    <w:tr2bl w:val="nil"/>
                  </w:tcBorders>
                  <w:shd w:val="clear" w:color="auto" w:fill="auto"/>
                  <w:noWrap w:val="0"/>
                  <w:vAlign w:val="center"/>
                </w:tcPr>
                <w:p w14:paraId="79F226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种植土</w:t>
                  </w:r>
                </w:p>
              </w:tc>
              <w:tc>
                <w:tcPr>
                  <w:tcW w:w="1151" w:type="dxa"/>
                  <w:tcBorders>
                    <w:tl2br w:val="nil"/>
                    <w:tr2bl w:val="nil"/>
                  </w:tcBorders>
                  <w:shd w:val="clear" w:color="auto" w:fill="auto"/>
                  <w:noWrap w:val="0"/>
                  <w:vAlign w:val="center"/>
                </w:tcPr>
                <w:p w14:paraId="333C6B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m</w:t>
                  </w:r>
                  <w:r>
                    <w:rPr>
                      <w:rFonts w:hint="eastAsia" w:ascii="Times New Roman" w:hAnsi="Times New Roman" w:eastAsia="宋体" w:cs="Times New Roman"/>
                      <w:color w:val="auto"/>
                      <w:kern w:val="0"/>
                      <w:sz w:val="21"/>
                      <w:szCs w:val="21"/>
                      <w:highlight w:val="none"/>
                      <w:vertAlign w:val="superscript"/>
                      <w:lang w:val="en-US" w:eastAsia="zh-CN" w:bidi="ar"/>
                    </w:rPr>
                    <w:t>3</w:t>
                  </w:r>
                </w:p>
              </w:tc>
              <w:tc>
                <w:tcPr>
                  <w:tcW w:w="977" w:type="dxa"/>
                  <w:tcBorders>
                    <w:tl2br w:val="nil"/>
                    <w:tr2bl w:val="nil"/>
                  </w:tcBorders>
                  <w:shd w:val="clear" w:color="auto" w:fill="auto"/>
                  <w:noWrap w:val="0"/>
                  <w:vAlign w:val="center"/>
                </w:tcPr>
                <w:p w14:paraId="11F616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2057</w:t>
                  </w:r>
                </w:p>
              </w:tc>
              <w:tc>
                <w:tcPr>
                  <w:tcW w:w="4035" w:type="dxa"/>
                  <w:tcBorders>
                    <w:tl2br w:val="nil"/>
                    <w:tr2bl w:val="nil"/>
                  </w:tcBorders>
                  <w:shd w:val="clear" w:color="auto" w:fill="auto"/>
                  <w:noWrap w:val="0"/>
                  <w:vAlign w:val="center"/>
                </w:tcPr>
                <w:p w14:paraId="7B54E7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用于封场覆盖</w:t>
                  </w:r>
                </w:p>
              </w:tc>
            </w:tr>
          </w:tbl>
          <w:p w14:paraId="669232AF">
            <w:pPr>
              <w:bidi w:val="0"/>
              <w:rPr>
                <w:rFonts w:hint="eastAsia"/>
                <w:color w:val="auto"/>
                <w:highlight w:val="none"/>
                <w:lang w:val="zh-CN"/>
              </w:rPr>
            </w:pPr>
            <w:r>
              <w:rPr>
                <w:rFonts w:hint="eastAsia"/>
                <w:color w:val="auto"/>
                <w:highlight w:val="none"/>
                <w:lang w:val="zh-CN"/>
              </w:rPr>
              <w:t>根据《建筑垃圾处理技术标准》（CJJ/T134-2019）、《建筑垃圾堆砌地建设标准》（DB13（J）T8464-2022）</w:t>
            </w:r>
            <w:r>
              <w:rPr>
                <w:rFonts w:hint="eastAsia"/>
                <w:color w:val="auto"/>
                <w:highlight w:val="none"/>
                <w:lang w:val="en-US" w:eastAsia="zh-CN"/>
              </w:rPr>
              <w:t>等</w:t>
            </w:r>
            <w:r>
              <w:rPr>
                <w:rFonts w:hint="eastAsia"/>
                <w:color w:val="auto"/>
                <w:highlight w:val="none"/>
                <w:lang w:val="zh-CN"/>
              </w:rPr>
              <w:t>要求，本项目堆填（砌）物料为工程渣土（900-001-S70）、工程垃圾（900-001-S72）、工程泥浆（900-001-S71）。</w:t>
            </w:r>
          </w:p>
          <w:p w14:paraId="1E02C33B">
            <w:pPr>
              <w:pStyle w:val="56"/>
              <w:widowControl/>
              <w:spacing w:line="480" w:lineRule="exact"/>
              <w:rPr>
                <w:rFonts w:eastAsiaTheme="minorEastAsia"/>
                <w:color w:val="auto"/>
                <w:sz w:val="24"/>
                <w:szCs w:val="24"/>
                <w:highlight w:val="none"/>
              </w:rPr>
            </w:pPr>
            <w:r>
              <w:rPr>
                <w:rFonts w:hint="eastAsia"/>
                <w:color w:val="auto"/>
                <w:kern w:val="24"/>
                <w:sz w:val="24"/>
                <w:szCs w:val="24"/>
                <w:highlight w:val="none"/>
              </w:rPr>
              <w:t>①</w:t>
            </w:r>
            <w:r>
              <w:rPr>
                <w:rFonts w:hint="eastAsia" w:eastAsiaTheme="minorEastAsia"/>
                <w:color w:val="auto"/>
                <w:sz w:val="24"/>
                <w:szCs w:val="24"/>
                <w:highlight w:val="none"/>
              </w:rPr>
              <w:t>工程渣土：各类建筑物、构筑物、管网等基础开挖过程中产生的弃土。本项目处理的主要为</w:t>
            </w:r>
            <w:r>
              <w:rPr>
                <w:rFonts w:hint="eastAsia" w:eastAsiaTheme="minorEastAsia"/>
                <w:color w:val="auto"/>
                <w:sz w:val="24"/>
                <w:szCs w:val="24"/>
                <w:highlight w:val="none"/>
                <w:lang w:val="en-US" w:eastAsia="zh-CN"/>
              </w:rPr>
              <w:t>迁安</w:t>
            </w:r>
            <w:r>
              <w:rPr>
                <w:rFonts w:hint="eastAsia" w:eastAsiaTheme="minorEastAsia"/>
                <w:color w:val="auto"/>
                <w:sz w:val="24"/>
                <w:szCs w:val="24"/>
                <w:highlight w:val="none"/>
              </w:rPr>
              <w:t>市境内各类（构）筑物、管网等基础开挖过程中产生的土石方弃料，主要成分为：砾石土、砂性土、粉土等。</w:t>
            </w:r>
          </w:p>
          <w:p w14:paraId="6B087803">
            <w:pPr>
              <w:pStyle w:val="56"/>
              <w:widowControl/>
              <w:spacing w:line="480" w:lineRule="exact"/>
              <w:rPr>
                <w:rFonts w:eastAsiaTheme="minorEastAsia"/>
                <w:color w:val="auto"/>
                <w:sz w:val="24"/>
                <w:szCs w:val="24"/>
                <w:highlight w:val="none"/>
              </w:rPr>
            </w:pPr>
            <w:r>
              <w:rPr>
                <w:rFonts w:hint="eastAsia"/>
                <w:color w:val="auto"/>
                <w:kern w:val="24"/>
                <w:sz w:val="24"/>
                <w:szCs w:val="24"/>
                <w:highlight w:val="none"/>
              </w:rPr>
              <w:t>②</w:t>
            </w:r>
            <w:r>
              <w:rPr>
                <w:rFonts w:hint="eastAsia" w:eastAsiaTheme="minorEastAsia"/>
                <w:color w:val="auto"/>
                <w:sz w:val="24"/>
                <w:szCs w:val="24"/>
                <w:highlight w:val="none"/>
              </w:rPr>
              <w:t>工程垃圾：各类建筑物、构筑物等建设过程中产生的弃料。本项目处理的主要为废混凝土和石头。</w:t>
            </w:r>
          </w:p>
          <w:p w14:paraId="3CAD77A3">
            <w:pPr>
              <w:spacing w:line="480" w:lineRule="exact"/>
              <w:ind w:firstLine="480" w:firstLineChars="200"/>
              <w:rPr>
                <w:color w:val="auto"/>
                <w:sz w:val="24"/>
                <w:highlight w:val="none"/>
              </w:rPr>
            </w:pPr>
            <w:r>
              <w:rPr>
                <w:rFonts w:hint="eastAsia"/>
                <w:color w:val="auto"/>
                <w:sz w:val="24"/>
                <w:szCs w:val="24"/>
                <w:highlight w:val="none"/>
              </w:rPr>
              <w:t>③</w:t>
            </w:r>
            <w:r>
              <w:rPr>
                <w:rFonts w:hint="eastAsia"/>
                <w:color w:val="auto"/>
                <w:sz w:val="24"/>
                <w:highlight w:val="none"/>
              </w:rPr>
              <w:t>工程泥浆：钻孔桩基施工、地下连续墙施工、泥水盾构施工、水平定向钻及泥水顶管等施工产生的泥浆，主要成分为：由水、粘土、膨润土及处理剂</w:t>
            </w:r>
            <w:r>
              <w:rPr>
                <w:rFonts w:hint="eastAsia"/>
                <w:color w:val="auto"/>
                <w:sz w:val="24"/>
                <w:highlight w:val="none"/>
                <w:lang w:eastAsia="zh-CN"/>
              </w:rPr>
              <w:t>（</w:t>
            </w:r>
            <w:r>
              <w:rPr>
                <w:rFonts w:hint="eastAsia"/>
                <w:color w:val="auto"/>
                <w:sz w:val="24"/>
                <w:highlight w:val="none"/>
              </w:rPr>
              <w:t>无机化</w:t>
            </w:r>
            <w:r>
              <w:rPr>
                <w:color w:val="auto"/>
                <w:sz w:val="24"/>
                <w:highlight w:val="none"/>
              </w:rPr>
              <w:t>学成分主要</w:t>
            </w:r>
            <w:r>
              <w:rPr>
                <w:rFonts w:hint="default" w:ascii="Times New Roman" w:hAnsi="Times New Roman" w:cs="Times New Roman" w:eastAsiaTheme="minorEastAsia"/>
                <w:color w:val="auto"/>
                <w:sz w:val="24"/>
                <w:szCs w:val="24"/>
                <w:highlight w:val="none"/>
              </w:rPr>
              <w:t>为SiO₂、Al₂O₃、Fe₂O₃等</w:t>
            </w:r>
            <w:r>
              <w:rPr>
                <w:color w:val="auto"/>
                <w:sz w:val="24"/>
                <w:highlight w:val="none"/>
              </w:rPr>
              <w:t>氧化物</w:t>
            </w:r>
            <w:r>
              <w:rPr>
                <w:rFonts w:hint="eastAsia"/>
                <w:color w:val="auto"/>
                <w:sz w:val="24"/>
                <w:highlight w:val="none"/>
                <w:lang w:eastAsia="zh-CN"/>
              </w:rPr>
              <w:t>）</w:t>
            </w:r>
            <w:r>
              <w:rPr>
                <w:color w:val="auto"/>
                <w:sz w:val="24"/>
                <w:highlight w:val="none"/>
              </w:rPr>
              <w:t>。</w:t>
            </w:r>
          </w:p>
          <w:p w14:paraId="0F950C2C">
            <w:pPr>
              <w:autoSpaceDE w:val="0"/>
              <w:autoSpaceDN w:val="0"/>
              <w:adjustRightInd w:val="0"/>
              <w:spacing w:line="480" w:lineRule="exact"/>
              <w:ind w:firstLine="480" w:firstLineChars="200"/>
              <w:rPr>
                <w:rFonts w:hint="default"/>
                <w:color w:val="auto"/>
                <w:highlight w:val="none"/>
                <w:lang w:val="zh-CN"/>
              </w:rPr>
            </w:pPr>
            <w:r>
              <w:rPr>
                <w:color w:val="auto"/>
                <w:sz w:val="24"/>
                <w:highlight w:val="none"/>
              </w:rPr>
              <w:t>本项目建筑垃圾堆填场</w:t>
            </w:r>
            <w:r>
              <w:rPr>
                <w:rFonts w:hint="eastAsia"/>
                <w:color w:val="auto"/>
                <w:sz w:val="24"/>
                <w:highlight w:val="none"/>
                <w:lang w:val="en-US" w:eastAsia="zh-CN"/>
              </w:rPr>
              <w:t>区</w:t>
            </w:r>
            <w:r>
              <w:rPr>
                <w:rFonts w:hint="eastAsia"/>
                <w:color w:val="auto"/>
                <w:sz w:val="24"/>
                <w:highlight w:val="none"/>
              </w:rPr>
              <w:t>堆填</w:t>
            </w:r>
            <w:r>
              <w:rPr>
                <w:color w:val="auto"/>
                <w:sz w:val="24"/>
                <w:highlight w:val="none"/>
              </w:rPr>
              <w:t>工程渣土</w:t>
            </w:r>
            <w:r>
              <w:rPr>
                <w:rFonts w:hint="eastAsia"/>
                <w:color w:val="auto"/>
                <w:sz w:val="24"/>
                <w:highlight w:val="none"/>
              </w:rPr>
              <w:t>、</w:t>
            </w:r>
            <w:r>
              <w:rPr>
                <w:color w:val="auto"/>
                <w:sz w:val="24"/>
                <w:highlight w:val="none"/>
              </w:rPr>
              <w:t>工程泥浆、工程垃圾</w:t>
            </w:r>
            <w:r>
              <w:rPr>
                <w:rFonts w:hint="eastAsia"/>
                <w:color w:val="auto"/>
                <w:sz w:val="24"/>
                <w:highlight w:val="none"/>
                <w:lang w:eastAsia="zh-CN"/>
              </w:rPr>
              <w:t>，</w:t>
            </w:r>
            <w:r>
              <w:rPr>
                <w:rFonts w:hint="eastAsia"/>
                <w:color w:val="auto"/>
                <w:sz w:val="24"/>
                <w:highlight w:val="none"/>
                <w:lang w:val="en-US" w:eastAsia="zh-CN"/>
              </w:rPr>
              <w:t>不包括</w:t>
            </w:r>
            <w:r>
              <w:rPr>
                <w:color w:val="auto"/>
                <w:sz w:val="24"/>
                <w:highlight w:val="none"/>
              </w:rPr>
              <w:t>拆除垃圾</w:t>
            </w:r>
            <w:r>
              <w:rPr>
                <w:rFonts w:hint="eastAsia"/>
                <w:color w:val="auto"/>
                <w:sz w:val="24"/>
                <w:highlight w:val="none"/>
                <w:lang w:eastAsia="zh-CN"/>
              </w:rPr>
              <w:t>、</w:t>
            </w:r>
            <w:r>
              <w:rPr>
                <w:color w:val="auto"/>
                <w:sz w:val="24"/>
                <w:highlight w:val="none"/>
              </w:rPr>
              <w:t>装修垃圾以及经检验、鉴定为危险废物的建筑垃圾。</w:t>
            </w:r>
            <w:r>
              <w:rPr>
                <w:rFonts w:hint="eastAsia"/>
                <w:color w:val="auto"/>
                <w:highlight w:val="none"/>
                <w:lang w:val="zh-CN"/>
              </w:rPr>
              <w:t>进入本项目堆填场地的物料粒径小于0.3m，不含有废沥青、金属、橡（胶）塑（料），废旧管材、废旧木材、竹木、纺织物等含量不大于5%；工程渣土与泥浆含水率小于40%、相关力学指标符合标准</w:t>
            </w:r>
            <w:r>
              <w:rPr>
                <w:rFonts w:hint="eastAsia"/>
                <w:color w:val="auto"/>
                <w:highlight w:val="none"/>
                <w:lang w:val="en-US" w:eastAsia="zh-CN"/>
              </w:rPr>
              <w:t>要</w:t>
            </w:r>
            <w:r>
              <w:rPr>
                <w:rFonts w:hint="eastAsia"/>
                <w:color w:val="auto"/>
                <w:highlight w:val="none"/>
                <w:lang w:val="zh-CN"/>
              </w:rPr>
              <w:t>求。</w:t>
            </w:r>
            <w:r>
              <w:rPr>
                <w:rFonts w:hint="eastAsia"/>
                <w:color w:val="auto"/>
                <w:highlight w:val="none"/>
                <w:lang w:val="en-US" w:eastAsia="zh-CN"/>
              </w:rPr>
              <w:t>不符合要求的物料禁止入场。</w:t>
            </w:r>
            <w:r>
              <w:rPr>
                <w:rFonts w:hint="eastAsia" w:ascii="宋体" w:hAnsi="宋体" w:eastAsia="宋体" w:cs="宋体"/>
                <w:color w:val="auto"/>
                <w:kern w:val="0"/>
                <w:sz w:val="24"/>
                <w:szCs w:val="24"/>
                <w:highlight w:val="none"/>
                <w:lang w:val="en-US" w:eastAsia="zh-CN" w:bidi="ar"/>
              </w:rPr>
              <w:t>建筑垃圾收运和入场回填全过程不应混入生活垃圾、污泥、河湖疏浚底泥、工业垃圾和危险废物；不收集装修垃圾，装修垃圾禁止回填。产生单位均需提前签订协议，明确产生来源和入场要求，运到后由工作人员先对车内物料进行检查方可入场，卸料时进行监督，发现</w:t>
            </w:r>
            <w:r>
              <w:rPr>
                <w:rFonts w:hint="eastAsia"/>
                <w:color w:val="auto"/>
                <w:highlight w:val="none"/>
                <w:lang w:val="en-US" w:eastAsia="zh-CN"/>
              </w:rPr>
              <w:t>不符合要求的</w:t>
            </w:r>
            <w:r>
              <w:rPr>
                <w:rFonts w:hint="eastAsia" w:ascii="宋体" w:hAnsi="宋体" w:eastAsia="宋体" w:cs="宋体"/>
                <w:color w:val="auto"/>
                <w:kern w:val="0"/>
                <w:sz w:val="24"/>
                <w:szCs w:val="24"/>
                <w:highlight w:val="none"/>
                <w:lang w:val="en-US" w:eastAsia="zh-CN" w:bidi="ar"/>
              </w:rPr>
              <w:t>立即退运。</w:t>
            </w:r>
          </w:p>
          <w:p w14:paraId="44E520C9">
            <w:pPr>
              <w:bidi w:val="0"/>
              <w:rPr>
                <w:rFonts w:hint="eastAsia"/>
                <w:color w:val="auto"/>
                <w:highlight w:val="none"/>
                <w:lang w:val="en-US" w:eastAsia="zh-CN"/>
              </w:rPr>
            </w:pPr>
            <w:r>
              <w:rPr>
                <w:rFonts w:hint="eastAsia"/>
                <w:color w:val="auto"/>
                <w:highlight w:val="none"/>
                <w:lang w:val="en-US" w:eastAsia="zh-CN"/>
              </w:rPr>
              <w:t>10、主要生产设备、设施</w:t>
            </w:r>
          </w:p>
          <w:p w14:paraId="199070D4">
            <w:pPr>
              <w:bidi w:val="0"/>
              <w:rPr>
                <w:rFonts w:hint="eastAsia"/>
                <w:color w:val="auto"/>
                <w:highlight w:val="none"/>
                <w:lang w:val="en-US" w:eastAsia="zh-CN"/>
              </w:rPr>
            </w:pPr>
            <w:r>
              <w:rPr>
                <w:rFonts w:hint="eastAsia"/>
                <w:color w:val="auto"/>
                <w:highlight w:val="none"/>
                <w:lang w:val="en-US" w:eastAsia="zh-CN"/>
              </w:rPr>
              <w:t>本项目主要生产设备、设施见下表。</w:t>
            </w:r>
          </w:p>
          <w:p w14:paraId="1A1098DF">
            <w:pPr>
              <w:pStyle w:val="36"/>
              <w:numPr>
                <w:ilvl w:val="0"/>
                <w:numId w:val="12"/>
              </w:numPr>
              <w:bidi w:val="0"/>
              <w:ind w:left="0" w:leftChars="0" w:firstLine="0" w:firstLineChars="0"/>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本项目</w:t>
            </w:r>
            <w:r>
              <w:rPr>
                <w:rFonts w:hint="eastAsia" w:ascii="Times New Roman" w:eastAsia="宋体"/>
                <w:b/>
                <w:bCs/>
                <w:color w:val="auto"/>
                <w:sz w:val="21"/>
                <w:szCs w:val="21"/>
                <w:highlight w:val="none"/>
                <w:lang w:val="en-US" w:eastAsia="zh-CN"/>
              </w:rPr>
              <w:t>主要生产设备</w:t>
            </w:r>
            <w:r>
              <w:rPr>
                <w:rFonts w:hint="eastAsia"/>
                <w:b/>
                <w:bCs/>
                <w:color w:val="auto"/>
                <w:sz w:val="21"/>
                <w:szCs w:val="21"/>
                <w:highlight w:val="none"/>
                <w:lang w:val="en-US" w:eastAsia="zh-CN"/>
              </w:rPr>
              <w:t>、设施</w:t>
            </w:r>
            <w:r>
              <w:rPr>
                <w:rFonts w:hint="eastAsia" w:ascii="Times New Roman" w:eastAsia="宋体"/>
                <w:b/>
                <w:bCs/>
                <w:color w:val="auto"/>
                <w:sz w:val="21"/>
                <w:szCs w:val="21"/>
                <w:highlight w:val="none"/>
                <w:lang w:val="en-US" w:eastAsia="zh-CN"/>
              </w:rPr>
              <w:t>一览表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503"/>
              <w:gridCol w:w="820"/>
              <w:gridCol w:w="776"/>
              <w:gridCol w:w="1034"/>
              <w:gridCol w:w="1807"/>
              <w:gridCol w:w="1040"/>
              <w:gridCol w:w="2127"/>
            </w:tblGrid>
            <w:tr w14:paraId="50A009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29" w:hRule="atLeast"/>
                <w:jc w:val="center"/>
              </w:trPr>
              <w:tc>
                <w:tcPr>
                  <w:tcW w:w="503" w:type="dxa"/>
                  <w:tcBorders>
                    <w:tl2br w:val="nil"/>
                    <w:tr2bl w:val="nil"/>
                  </w:tcBorders>
                  <w:noWrap w:val="0"/>
                  <w:vAlign w:val="center"/>
                </w:tcPr>
                <w:p w14:paraId="76949E7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序号</w:t>
                  </w:r>
                </w:p>
              </w:tc>
              <w:tc>
                <w:tcPr>
                  <w:tcW w:w="820" w:type="dxa"/>
                  <w:tcBorders>
                    <w:tl2br w:val="nil"/>
                    <w:tr2bl w:val="nil"/>
                  </w:tcBorders>
                  <w:noWrap w:val="0"/>
                  <w:vAlign w:val="center"/>
                </w:tcPr>
                <w:p w14:paraId="2DF4E39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eastAsia="zh-CN"/>
                    </w:rPr>
                    <w:t>主要</w:t>
                  </w:r>
                  <w:r>
                    <w:rPr>
                      <w:rFonts w:hint="eastAsia" w:ascii="Times New Roman" w:hAnsi="Times New Roman" w:cs="Times New Roman"/>
                      <w:bCs/>
                      <w:color w:val="auto"/>
                      <w:sz w:val="21"/>
                      <w:szCs w:val="21"/>
                      <w:highlight w:val="none"/>
                      <w:lang w:val="en-US" w:eastAsia="zh-CN"/>
                    </w:rPr>
                    <w:t>生产单元</w:t>
                  </w:r>
                </w:p>
              </w:tc>
              <w:tc>
                <w:tcPr>
                  <w:tcW w:w="776" w:type="dxa"/>
                  <w:tcBorders>
                    <w:tl2br w:val="nil"/>
                    <w:tr2bl w:val="nil"/>
                  </w:tcBorders>
                  <w:noWrap w:val="0"/>
                  <w:vAlign w:val="center"/>
                </w:tcPr>
                <w:p w14:paraId="32E2117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主要工艺</w:t>
                  </w:r>
                </w:p>
              </w:tc>
              <w:tc>
                <w:tcPr>
                  <w:tcW w:w="1034" w:type="dxa"/>
                  <w:tcBorders>
                    <w:tl2br w:val="nil"/>
                    <w:tr2bl w:val="nil"/>
                  </w:tcBorders>
                  <w:noWrap w:val="0"/>
                  <w:vAlign w:val="center"/>
                </w:tcPr>
                <w:p w14:paraId="7006DFC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rPr>
                    <w:t>名称</w:t>
                  </w:r>
                </w:p>
              </w:tc>
              <w:tc>
                <w:tcPr>
                  <w:tcW w:w="1807" w:type="dxa"/>
                  <w:tcBorders>
                    <w:tl2br w:val="nil"/>
                    <w:tr2bl w:val="nil"/>
                  </w:tcBorders>
                  <w:noWrap w:val="0"/>
                  <w:vAlign w:val="center"/>
                </w:tcPr>
                <w:p w14:paraId="6DB3A45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设备参数</w:t>
                  </w:r>
                </w:p>
              </w:tc>
              <w:tc>
                <w:tcPr>
                  <w:tcW w:w="1040" w:type="dxa"/>
                  <w:tcBorders>
                    <w:tl2br w:val="nil"/>
                    <w:tr2bl w:val="nil"/>
                  </w:tcBorders>
                  <w:noWrap w:val="0"/>
                  <w:vAlign w:val="center"/>
                </w:tcPr>
                <w:p w14:paraId="1F62839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ascii="Times New Roman" w:hAnsi="Times New Roman" w:cs="Times New Roman"/>
                      <w:bCs/>
                      <w:color w:val="auto"/>
                      <w:sz w:val="21"/>
                      <w:szCs w:val="21"/>
                      <w:highlight w:val="none"/>
                    </w:rPr>
                    <w:t>数量</w:t>
                  </w:r>
                  <w:r>
                    <w:rPr>
                      <w:rFonts w:hint="eastAsia" w:ascii="Times New Roman" w:hAnsi="Times New Roman" w:cs="Times New Roman"/>
                      <w:bCs/>
                      <w:color w:val="auto"/>
                      <w:sz w:val="21"/>
                      <w:szCs w:val="21"/>
                      <w:highlight w:val="none"/>
                      <w:lang w:eastAsia="zh-CN"/>
                    </w:rPr>
                    <w:t>（</w:t>
                  </w:r>
                  <w:r>
                    <w:rPr>
                      <w:rFonts w:hint="eastAsia" w:ascii="Times New Roman" w:hAnsi="Times New Roman" w:cs="Times New Roman"/>
                      <w:bCs/>
                      <w:color w:val="auto"/>
                      <w:sz w:val="21"/>
                      <w:szCs w:val="21"/>
                      <w:highlight w:val="none"/>
                      <w:lang w:val="en-US" w:eastAsia="zh-CN"/>
                    </w:rPr>
                    <w:t>台/套/辆</w:t>
                  </w:r>
                  <w:r>
                    <w:rPr>
                      <w:rFonts w:hint="eastAsia" w:ascii="Times New Roman" w:hAnsi="Times New Roman" w:cs="Times New Roman"/>
                      <w:bCs/>
                      <w:color w:val="auto"/>
                      <w:sz w:val="21"/>
                      <w:szCs w:val="21"/>
                      <w:highlight w:val="none"/>
                      <w:lang w:eastAsia="zh-CN"/>
                    </w:rPr>
                    <w:t>）</w:t>
                  </w:r>
                </w:p>
              </w:tc>
              <w:tc>
                <w:tcPr>
                  <w:tcW w:w="2127" w:type="dxa"/>
                  <w:tcBorders>
                    <w:tl2br w:val="nil"/>
                    <w:tr2bl w:val="nil"/>
                  </w:tcBorders>
                  <w:noWrap w:val="0"/>
                  <w:vAlign w:val="center"/>
                </w:tcPr>
                <w:p w14:paraId="5EEC2ED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备注</w:t>
                  </w:r>
                </w:p>
              </w:tc>
            </w:tr>
            <w:tr w14:paraId="0724B0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21" w:hRule="atLeast"/>
                <w:jc w:val="center"/>
              </w:trPr>
              <w:tc>
                <w:tcPr>
                  <w:tcW w:w="503" w:type="dxa"/>
                  <w:tcBorders>
                    <w:tl2br w:val="nil"/>
                    <w:tr2bl w:val="nil"/>
                  </w:tcBorders>
                  <w:noWrap w:val="0"/>
                  <w:vAlign w:val="center"/>
                </w:tcPr>
                <w:p w14:paraId="4DA754A7">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restart"/>
                  <w:tcBorders>
                    <w:tl2br w:val="nil"/>
                    <w:tr2bl w:val="nil"/>
                  </w:tcBorders>
                  <w:noWrap w:val="0"/>
                  <w:vAlign w:val="center"/>
                </w:tcPr>
                <w:p w14:paraId="530D4DD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主体工程</w:t>
                  </w:r>
                </w:p>
              </w:tc>
              <w:tc>
                <w:tcPr>
                  <w:tcW w:w="776" w:type="dxa"/>
                  <w:vMerge w:val="restart"/>
                  <w:tcBorders>
                    <w:tl2br w:val="nil"/>
                    <w:tr2bl w:val="nil"/>
                  </w:tcBorders>
                  <w:noWrap w:val="0"/>
                  <w:vAlign w:val="center"/>
                </w:tcPr>
                <w:p w14:paraId="461D910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场地清理</w:t>
                  </w:r>
                </w:p>
              </w:tc>
              <w:tc>
                <w:tcPr>
                  <w:tcW w:w="1034" w:type="dxa"/>
                  <w:tcBorders>
                    <w:tl2br w:val="nil"/>
                    <w:tr2bl w:val="nil"/>
                  </w:tcBorders>
                  <w:noWrap w:val="0"/>
                  <w:vAlign w:val="center"/>
                </w:tcPr>
                <w:p w14:paraId="5C96C53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挖掘机</w:t>
                  </w:r>
                </w:p>
              </w:tc>
              <w:tc>
                <w:tcPr>
                  <w:tcW w:w="1807" w:type="dxa"/>
                  <w:tcBorders>
                    <w:tl2br w:val="nil"/>
                    <w:tr2bl w:val="nil"/>
                  </w:tcBorders>
                  <w:shd w:val="clear" w:color="auto" w:fill="auto"/>
                  <w:noWrap w:val="0"/>
                  <w:vAlign w:val="center"/>
                </w:tcPr>
                <w:p w14:paraId="7A2FC07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shd w:val="clear" w:color="auto" w:fill="auto"/>
                  <w:noWrap w:val="0"/>
                  <w:vAlign w:val="center"/>
                </w:tcPr>
                <w:p w14:paraId="5E553B0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08BDD53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172755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42" w:hRule="atLeast"/>
                <w:jc w:val="center"/>
              </w:trPr>
              <w:tc>
                <w:tcPr>
                  <w:tcW w:w="503" w:type="dxa"/>
                  <w:tcBorders>
                    <w:tl2br w:val="nil"/>
                    <w:tr2bl w:val="nil"/>
                  </w:tcBorders>
                  <w:noWrap w:val="0"/>
                  <w:vAlign w:val="center"/>
                </w:tcPr>
                <w:p w14:paraId="366CEE9C">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7B7246B4">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276695A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1034" w:type="dxa"/>
                  <w:tcBorders>
                    <w:tl2br w:val="nil"/>
                    <w:tr2bl w:val="nil"/>
                  </w:tcBorders>
                  <w:shd w:val="clear" w:color="auto" w:fill="auto"/>
                  <w:noWrap w:val="0"/>
                  <w:vAlign w:val="center"/>
                </w:tcPr>
                <w:p w14:paraId="0931E36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压路机</w:t>
                  </w:r>
                </w:p>
              </w:tc>
              <w:tc>
                <w:tcPr>
                  <w:tcW w:w="1807" w:type="dxa"/>
                  <w:tcBorders>
                    <w:tl2br w:val="nil"/>
                    <w:tr2bl w:val="nil"/>
                  </w:tcBorders>
                  <w:shd w:val="clear" w:color="auto" w:fill="auto"/>
                  <w:noWrap w:val="0"/>
                  <w:vAlign w:val="center"/>
                </w:tcPr>
                <w:p w14:paraId="09BA0C2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shd w:val="clear" w:color="auto" w:fill="auto"/>
                  <w:noWrap w:val="0"/>
                  <w:vAlign w:val="center"/>
                </w:tcPr>
                <w:p w14:paraId="0E1AADB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5BA39BA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569D48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503" w:type="dxa"/>
                  <w:tcBorders>
                    <w:tl2br w:val="nil"/>
                    <w:tr2bl w:val="nil"/>
                  </w:tcBorders>
                  <w:noWrap w:val="0"/>
                  <w:vAlign w:val="center"/>
                </w:tcPr>
                <w:p w14:paraId="74BF3B01">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2577C06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544F508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1034" w:type="dxa"/>
                  <w:tcBorders>
                    <w:tl2br w:val="nil"/>
                    <w:tr2bl w:val="nil"/>
                  </w:tcBorders>
                  <w:shd w:val="clear" w:color="auto" w:fill="auto"/>
                  <w:noWrap w:val="0"/>
                  <w:vAlign w:val="center"/>
                </w:tcPr>
                <w:p w14:paraId="5693B89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固废清运车</w:t>
                  </w:r>
                </w:p>
              </w:tc>
              <w:tc>
                <w:tcPr>
                  <w:tcW w:w="1807" w:type="dxa"/>
                  <w:tcBorders>
                    <w:tl2br w:val="nil"/>
                    <w:tr2bl w:val="nil"/>
                  </w:tcBorders>
                  <w:shd w:val="clear" w:color="auto" w:fill="auto"/>
                  <w:noWrap w:val="0"/>
                  <w:vAlign w:val="center"/>
                </w:tcPr>
                <w:p w14:paraId="1066421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国五及以上排放标准或新能源</w:t>
                  </w:r>
                </w:p>
              </w:tc>
              <w:tc>
                <w:tcPr>
                  <w:tcW w:w="1040" w:type="dxa"/>
                  <w:tcBorders>
                    <w:tl2br w:val="nil"/>
                    <w:tr2bl w:val="nil"/>
                  </w:tcBorders>
                  <w:shd w:val="clear" w:color="auto" w:fill="auto"/>
                  <w:noWrap w:val="0"/>
                  <w:vAlign w:val="center"/>
                </w:tcPr>
                <w:p w14:paraId="3581CD1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08BBF9B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073C8F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10" w:hRule="atLeast"/>
                <w:jc w:val="center"/>
              </w:trPr>
              <w:tc>
                <w:tcPr>
                  <w:tcW w:w="503" w:type="dxa"/>
                  <w:tcBorders>
                    <w:tl2br w:val="nil"/>
                    <w:tr2bl w:val="nil"/>
                  </w:tcBorders>
                  <w:noWrap w:val="0"/>
                  <w:vAlign w:val="center"/>
                </w:tcPr>
                <w:p w14:paraId="0B78003F">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699A811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776" w:type="dxa"/>
                  <w:vMerge w:val="restart"/>
                  <w:tcBorders>
                    <w:tl2br w:val="nil"/>
                    <w:tr2bl w:val="nil"/>
                  </w:tcBorders>
                  <w:noWrap w:val="0"/>
                  <w:vAlign w:val="center"/>
                </w:tcPr>
                <w:p w14:paraId="6F36C9E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堆填</w:t>
                  </w:r>
                </w:p>
              </w:tc>
              <w:tc>
                <w:tcPr>
                  <w:tcW w:w="1034" w:type="dxa"/>
                  <w:tcBorders>
                    <w:tl2br w:val="nil"/>
                    <w:tr2bl w:val="nil"/>
                  </w:tcBorders>
                  <w:noWrap w:val="0"/>
                  <w:vAlign w:val="center"/>
                </w:tcPr>
                <w:p w14:paraId="095017B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振动压实机</w:t>
                  </w:r>
                </w:p>
              </w:tc>
              <w:tc>
                <w:tcPr>
                  <w:tcW w:w="1807" w:type="dxa"/>
                  <w:tcBorders>
                    <w:tl2br w:val="nil"/>
                    <w:tr2bl w:val="nil"/>
                  </w:tcBorders>
                  <w:shd w:val="clear" w:color="auto" w:fill="auto"/>
                  <w:noWrap w:val="0"/>
                  <w:vAlign w:val="center"/>
                </w:tcPr>
                <w:p w14:paraId="5B41748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noWrap w:val="0"/>
                  <w:vAlign w:val="center"/>
                </w:tcPr>
                <w:p w14:paraId="0384D17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6DF9EAD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52DF52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010" w:hRule="atLeast"/>
                <w:jc w:val="center"/>
              </w:trPr>
              <w:tc>
                <w:tcPr>
                  <w:tcW w:w="503" w:type="dxa"/>
                  <w:tcBorders>
                    <w:tl2br w:val="nil"/>
                    <w:tr2bl w:val="nil"/>
                  </w:tcBorders>
                  <w:noWrap w:val="0"/>
                  <w:vAlign w:val="center"/>
                </w:tcPr>
                <w:p w14:paraId="174C9D25">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7D3C74A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0060A87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1034" w:type="dxa"/>
                  <w:tcBorders>
                    <w:tl2br w:val="nil"/>
                    <w:tr2bl w:val="nil"/>
                  </w:tcBorders>
                  <w:noWrap w:val="0"/>
                  <w:vAlign w:val="center"/>
                </w:tcPr>
                <w:p w14:paraId="2FD3B92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装载机</w:t>
                  </w:r>
                </w:p>
              </w:tc>
              <w:tc>
                <w:tcPr>
                  <w:tcW w:w="1807" w:type="dxa"/>
                  <w:tcBorders>
                    <w:tl2br w:val="nil"/>
                    <w:tr2bl w:val="nil"/>
                  </w:tcBorders>
                  <w:noWrap w:val="0"/>
                  <w:vAlign w:val="center"/>
                </w:tcPr>
                <w:p w14:paraId="69D74BD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noWrap w:val="0"/>
                  <w:vAlign w:val="center"/>
                </w:tcPr>
                <w:p w14:paraId="6D77998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12F1AF4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114908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31" w:hRule="atLeast"/>
                <w:jc w:val="center"/>
              </w:trPr>
              <w:tc>
                <w:tcPr>
                  <w:tcW w:w="503" w:type="dxa"/>
                  <w:tcBorders>
                    <w:tl2br w:val="nil"/>
                    <w:tr2bl w:val="nil"/>
                  </w:tcBorders>
                  <w:noWrap w:val="0"/>
                  <w:vAlign w:val="center"/>
                </w:tcPr>
                <w:p w14:paraId="21864E68">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1565C6D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1B11701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1034" w:type="dxa"/>
                  <w:tcBorders>
                    <w:tl2br w:val="nil"/>
                    <w:tr2bl w:val="nil"/>
                  </w:tcBorders>
                  <w:noWrap w:val="0"/>
                  <w:vAlign w:val="center"/>
                </w:tcPr>
                <w:p w14:paraId="5C5A42D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推土机</w:t>
                  </w:r>
                </w:p>
              </w:tc>
              <w:tc>
                <w:tcPr>
                  <w:tcW w:w="1807" w:type="dxa"/>
                  <w:tcBorders>
                    <w:tl2br w:val="nil"/>
                    <w:tr2bl w:val="nil"/>
                  </w:tcBorders>
                  <w:noWrap w:val="0"/>
                  <w:vAlign w:val="center"/>
                </w:tcPr>
                <w:p w14:paraId="499F774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noWrap w:val="0"/>
                  <w:vAlign w:val="center"/>
                </w:tcPr>
                <w:p w14:paraId="526D44D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2F8F8C0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运至专门维修厂维修、保养，不在场区内进行维修、保养</w:t>
                  </w:r>
                </w:p>
              </w:tc>
            </w:tr>
            <w:tr w14:paraId="4713E2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503" w:type="dxa"/>
                  <w:tcBorders>
                    <w:tl2br w:val="nil"/>
                    <w:tr2bl w:val="nil"/>
                  </w:tcBorders>
                  <w:noWrap w:val="0"/>
                  <w:vAlign w:val="center"/>
                </w:tcPr>
                <w:p w14:paraId="48007393">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restart"/>
                  <w:tcBorders>
                    <w:tl2br w:val="nil"/>
                    <w:tr2bl w:val="nil"/>
                  </w:tcBorders>
                  <w:noWrap w:val="0"/>
                  <w:vAlign w:val="center"/>
                </w:tcPr>
                <w:p w14:paraId="26B5EBA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辅助工程</w:t>
                  </w:r>
                </w:p>
              </w:tc>
              <w:tc>
                <w:tcPr>
                  <w:tcW w:w="776" w:type="dxa"/>
                  <w:vMerge w:val="restart"/>
                  <w:tcBorders>
                    <w:tl2br w:val="nil"/>
                    <w:tr2bl w:val="nil"/>
                  </w:tcBorders>
                  <w:noWrap w:val="0"/>
                  <w:vAlign w:val="center"/>
                </w:tcPr>
                <w:p w14:paraId="71261C1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抑尘</w:t>
                  </w:r>
                </w:p>
              </w:tc>
              <w:tc>
                <w:tcPr>
                  <w:tcW w:w="1034" w:type="dxa"/>
                  <w:tcBorders>
                    <w:tl2br w:val="nil"/>
                    <w:tr2bl w:val="nil"/>
                  </w:tcBorders>
                  <w:noWrap w:val="0"/>
                  <w:vAlign w:val="center"/>
                </w:tcPr>
                <w:p w14:paraId="44C6A0D6">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雾炮</w:t>
                  </w:r>
                </w:p>
              </w:tc>
              <w:tc>
                <w:tcPr>
                  <w:tcW w:w="1807" w:type="dxa"/>
                  <w:tcBorders>
                    <w:tl2br w:val="nil"/>
                    <w:tr2bl w:val="nil"/>
                  </w:tcBorders>
                  <w:noWrap w:val="0"/>
                  <w:vAlign w:val="center"/>
                </w:tcPr>
                <w:p w14:paraId="1156AD7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额定扬程：90-120m</w:t>
                  </w:r>
                </w:p>
              </w:tc>
              <w:tc>
                <w:tcPr>
                  <w:tcW w:w="1040" w:type="dxa"/>
                  <w:tcBorders>
                    <w:tl2br w:val="nil"/>
                    <w:tr2bl w:val="nil"/>
                  </w:tcBorders>
                  <w:noWrap w:val="0"/>
                  <w:vAlign w:val="center"/>
                </w:tcPr>
                <w:p w14:paraId="20DA2CA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6FC5FF7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0EABA3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26" w:hRule="atLeast"/>
                <w:jc w:val="center"/>
              </w:trPr>
              <w:tc>
                <w:tcPr>
                  <w:tcW w:w="503" w:type="dxa"/>
                  <w:tcBorders>
                    <w:tl2br w:val="nil"/>
                    <w:tr2bl w:val="nil"/>
                  </w:tcBorders>
                  <w:noWrap w:val="0"/>
                  <w:vAlign w:val="center"/>
                </w:tcPr>
                <w:p w14:paraId="7A99D712">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4FE448A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vMerge w:val="continue"/>
                  <w:tcBorders>
                    <w:tl2br w:val="nil"/>
                    <w:tr2bl w:val="nil"/>
                  </w:tcBorders>
                  <w:noWrap w:val="0"/>
                  <w:vAlign w:val="center"/>
                </w:tcPr>
                <w:p w14:paraId="6ACDE5F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p>
              </w:tc>
              <w:tc>
                <w:tcPr>
                  <w:tcW w:w="1034" w:type="dxa"/>
                  <w:tcBorders>
                    <w:tl2br w:val="nil"/>
                    <w:tr2bl w:val="nil"/>
                  </w:tcBorders>
                  <w:noWrap w:val="0"/>
                  <w:vAlign w:val="center"/>
                </w:tcPr>
                <w:p w14:paraId="2F4FACA6">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洒水车</w:t>
                  </w:r>
                </w:p>
              </w:tc>
              <w:tc>
                <w:tcPr>
                  <w:tcW w:w="1807" w:type="dxa"/>
                  <w:tcBorders>
                    <w:tl2br w:val="nil"/>
                    <w:tr2bl w:val="nil"/>
                  </w:tcBorders>
                  <w:noWrap w:val="0"/>
                  <w:vAlign w:val="center"/>
                </w:tcPr>
                <w:p w14:paraId="441136A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国四及以上排放标准或新能源</w:t>
                  </w:r>
                </w:p>
              </w:tc>
              <w:tc>
                <w:tcPr>
                  <w:tcW w:w="1040" w:type="dxa"/>
                  <w:tcBorders>
                    <w:tl2br w:val="nil"/>
                    <w:tr2bl w:val="nil"/>
                  </w:tcBorders>
                  <w:noWrap w:val="0"/>
                  <w:vAlign w:val="center"/>
                </w:tcPr>
                <w:p w14:paraId="643B2E5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noWrap w:val="0"/>
                  <w:vAlign w:val="center"/>
                </w:tcPr>
                <w:p w14:paraId="69931B7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39DF91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503" w:type="dxa"/>
                  <w:tcBorders>
                    <w:tl2br w:val="nil"/>
                    <w:tr2bl w:val="nil"/>
                  </w:tcBorders>
                  <w:noWrap w:val="0"/>
                  <w:vAlign w:val="center"/>
                </w:tcPr>
                <w:p w14:paraId="6B7E8C5E">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421AA94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tcBorders>
                    <w:tl2br w:val="nil"/>
                    <w:tr2bl w:val="nil"/>
                  </w:tcBorders>
                  <w:shd w:val="clear" w:color="auto" w:fill="auto"/>
                  <w:noWrap w:val="0"/>
                  <w:vAlign w:val="center"/>
                </w:tcPr>
                <w:p w14:paraId="50073B8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计量</w:t>
                  </w:r>
                </w:p>
              </w:tc>
              <w:tc>
                <w:tcPr>
                  <w:tcW w:w="1034" w:type="dxa"/>
                  <w:tcBorders>
                    <w:tl2br w:val="nil"/>
                    <w:tr2bl w:val="nil"/>
                  </w:tcBorders>
                  <w:shd w:val="clear" w:color="auto" w:fill="auto"/>
                  <w:noWrap w:val="0"/>
                  <w:vAlign w:val="center"/>
                </w:tcPr>
                <w:p w14:paraId="4486133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地磅</w:t>
                  </w:r>
                </w:p>
              </w:tc>
              <w:tc>
                <w:tcPr>
                  <w:tcW w:w="1807" w:type="dxa"/>
                  <w:tcBorders>
                    <w:tl2br w:val="nil"/>
                    <w:tr2bl w:val="nil"/>
                  </w:tcBorders>
                  <w:shd w:val="clear" w:color="auto" w:fill="auto"/>
                  <w:noWrap w:val="0"/>
                  <w:vAlign w:val="center"/>
                </w:tcPr>
                <w:p w14:paraId="7E3547C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w:t>
                  </w:r>
                </w:p>
              </w:tc>
              <w:tc>
                <w:tcPr>
                  <w:tcW w:w="1040" w:type="dxa"/>
                  <w:tcBorders>
                    <w:tl2br w:val="nil"/>
                    <w:tr2bl w:val="nil"/>
                  </w:tcBorders>
                  <w:shd w:val="clear" w:color="auto" w:fill="auto"/>
                  <w:noWrap w:val="0"/>
                  <w:vAlign w:val="center"/>
                </w:tcPr>
                <w:p w14:paraId="67692E5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56496B2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w:t>
                  </w:r>
                </w:p>
              </w:tc>
            </w:tr>
            <w:tr w14:paraId="2E7C0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85" w:hRule="atLeast"/>
                <w:jc w:val="center"/>
              </w:trPr>
              <w:tc>
                <w:tcPr>
                  <w:tcW w:w="503" w:type="dxa"/>
                  <w:tcBorders>
                    <w:tl2br w:val="nil"/>
                    <w:tr2bl w:val="nil"/>
                  </w:tcBorders>
                  <w:noWrap w:val="0"/>
                  <w:vAlign w:val="center"/>
                </w:tcPr>
                <w:p w14:paraId="04D3CD4E">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4905D62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tcBorders>
                    <w:tl2br w:val="nil"/>
                    <w:tr2bl w:val="nil"/>
                  </w:tcBorders>
                  <w:shd w:val="clear" w:color="auto" w:fill="auto"/>
                  <w:noWrap w:val="0"/>
                  <w:vAlign w:val="center"/>
                </w:tcPr>
                <w:p w14:paraId="09C5FB3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车辆清洗</w:t>
                  </w:r>
                </w:p>
              </w:tc>
              <w:tc>
                <w:tcPr>
                  <w:tcW w:w="1034" w:type="dxa"/>
                  <w:tcBorders>
                    <w:tl2br w:val="nil"/>
                    <w:tr2bl w:val="nil"/>
                  </w:tcBorders>
                  <w:shd w:val="clear" w:color="auto" w:fill="auto"/>
                  <w:noWrap w:val="0"/>
                  <w:vAlign w:val="center"/>
                </w:tcPr>
                <w:p w14:paraId="65C4A86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洗车平台</w:t>
                  </w:r>
                </w:p>
              </w:tc>
              <w:tc>
                <w:tcPr>
                  <w:tcW w:w="1807" w:type="dxa"/>
                  <w:tcBorders>
                    <w:tl2br w:val="nil"/>
                    <w:tr2bl w:val="nil"/>
                  </w:tcBorders>
                  <w:shd w:val="clear" w:color="auto" w:fill="auto"/>
                  <w:noWrap w:val="0"/>
                  <w:vAlign w:val="center"/>
                </w:tcPr>
                <w:p w14:paraId="14CB6B1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长6m，宽2.5m</w:t>
                  </w:r>
                </w:p>
              </w:tc>
              <w:tc>
                <w:tcPr>
                  <w:tcW w:w="1040" w:type="dxa"/>
                  <w:tcBorders>
                    <w:tl2br w:val="nil"/>
                    <w:tr2bl w:val="nil"/>
                  </w:tcBorders>
                  <w:shd w:val="clear" w:color="auto" w:fill="auto"/>
                  <w:noWrap w:val="0"/>
                  <w:vAlign w:val="center"/>
                </w:tcPr>
                <w:p w14:paraId="17F9460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70C2265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配套沉淀池、清水池，抗渗混凝土结构</w:t>
                  </w:r>
                </w:p>
              </w:tc>
            </w:tr>
            <w:tr w14:paraId="37331D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85" w:hRule="atLeast"/>
                <w:jc w:val="center"/>
              </w:trPr>
              <w:tc>
                <w:tcPr>
                  <w:tcW w:w="503" w:type="dxa"/>
                  <w:tcBorders>
                    <w:tl2br w:val="nil"/>
                    <w:tr2bl w:val="nil"/>
                  </w:tcBorders>
                  <w:noWrap w:val="0"/>
                  <w:vAlign w:val="center"/>
                </w:tcPr>
                <w:p w14:paraId="3B2030F7">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10059139">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tcBorders>
                    <w:tl2br w:val="nil"/>
                    <w:tr2bl w:val="nil"/>
                  </w:tcBorders>
                  <w:shd w:val="clear" w:color="auto" w:fill="auto"/>
                  <w:noWrap w:val="0"/>
                  <w:vAlign w:val="center"/>
                </w:tcPr>
                <w:p w14:paraId="7AF3A14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扬尘监测</w:t>
                  </w:r>
                </w:p>
              </w:tc>
              <w:tc>
                <w:tcPr>
                  <w:tcW w:w="1034" w:type="dxa"/>
                  <w:tcBorders>
                    <w:tl2br w:val="nil"/>
                    <w:tr2bl w:val="nil"/>
                  </w:tcBorders>
                  <w:shd w:val="clear" w:color="auto" w:fill="auto"/>
                  <w:noWrap w:val="0"/>
                  <w:vAlign w:val="center"/>
                </w:tcPr>
                <w:p w14:paraId="665EB17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扬尘监测系统</w:t>
                  </w:r>
                </w:p>
              </w:tc>
              <w:tc>
                <w:tcPr>
                  <w:tcW w:w="1807" w:type="dxa"/>
                  <w:tcBorders>
                    <w:tl2br w:val="nil"/>
                    <w:tr2bl w:val="nil"/>
                  </w:tcBorders>
                  <w:shd w:val="clear" w:color="auto" w:fill="auto"/>
                  <w:noWrap w:val="0"/>
                  <w:vAlign w:val="center"/>
                </w:tcPr>
                <w:p w14:paraId="78F80E4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w:t>
                  </w:r>
                </w:p>
              </w:tc>
              <w:tc>
                <w:tcPr>
                  <w:tcW w:w="1040" w:type="dxa"/>
                  <w:tcBorders>
                    <w:tl2br w:val="nil"/>
                    <w:tr2bl w:val="nil"/>
                  </w:tcBorders>
                  <w:shd w:val="clear" w:color="auto" w:fill="auto"/>
                  <w:noWrap w:val="0"/>
                  <w:vAlign w:val="center"/>
                </w:tcPr>
                <w:p w14:paraId="6FD004A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w:t>
                  </w:r>
                </w:p>
              </w:tc>
              <w:tc>
                <w:tcPr>
                  <w:tcW w:w="2127" w:type="dxa"/>
                  <w:tcBorders>
                    <w:tl2br w:val="nil"/>
                    <w:tr2bl w:val="nil"/>
                  </w:tcBorders>
                  <w:shd w:val="clear" w:color="auto" w:fill="auto"/>
                  <w:noWrap w:val="0"/>
                  <w:vAlign w:val="center"/>
                </w:tcPr>
                <w:p w14:paraId="7083181C">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用于场区扬尘监测</w:t>
                  </w:r>
                </w:p>
              </w:tc>
            </w:tr>
            <w:tr w14:paraId="24E0F1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85" w:hRule="atLeast"/>
                <w:jc w:val="center"/>
              </w:trPr>
              <w:tc>
                <w:tcPr>
                  <w:tcW w:w="503" w:type="dxa"/>
                  <w:tcBorders>
                    <w:tl2br w:val="nil"/>
                    <w:tr2bl w:val="nil"/>
                  </w:tcBorders>
                  <w:noWrap w:val="0"/>
                  <w:vAlign w:val="center"/>
                </w:tcPr>
                <w:p w14:paraId="165C5569">
                  <w:pPr>
                    <w:pStyle w:val="48"/>
                    <w:keepNext w:val="0"/>
                    <w:keepLines w:val="0"/>
                    <w:pageBreakBefore w:val="0"/>
                    <w:widowControl w:val="0"/>
                    <w:numPr>
                      <w:ilvl w:val="0"/>
                      <w:numId w:val="15"/>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820" w:type="dxa"/>
                  <w:vMerge w:val="continue"/>
                  <w:tcBorders>
                    <w:tl2br w:val="nil"/>
                    <w:tr2bl w:val="nil"/>
                  </w:tcBorders>
                  <w:noWrap w:val="0"/>
                  <w:vAlign w:val="center"/>
                </w:tcPr>
                <w:p w14:paraId="330B7D2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776" w:type="dxa"/>
                  <w:tcBorders>
                    <w:tl2br w:val="nil"/>
                    <w:tr2bl w:val="nil"/>
                  </w:tcBorders>
                  <w:shd w:val="clear" w:color="auto" w:fill="auto"/>
                  <w:noWrap w:val="0"/>
                  <w:vAlign w:val="center"/>
                </w:tcPr>
                <w:p w14:paraId="6DD87AA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储水</w:t>
                  </w:r>
                </w:p>
              </w:tc>
              <w:tc>
                <w:tcPr>
                  <w:tcW w:w="1034" w:type="dxa"/>
                  <w:tcBorders>
                    <w:tl2br w:val="nil"/>
                    <w:tr2bl w:val="nil"/>
                  </w:tcBorders>
                  <w:shd w:val="clear" w:color="auto" w:fill="auto"/>
                  <w:noWrap w:val="0"/>
                  <w:vAlign w:val="center"/>
                </w:tcPr>
                <w:p w14:paraId="450C44A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储水罐</w:t>
                  </w:r>
                </w:p>
              </w:tc>
              <w:tc>
                <w:tcPr>
                  <w:tcW w:w="1807" w:type="dxa"/>
                  <w:tcBorders>
                    <w:tl2br w:val="nil"/>
                    <w:tr2bl w:val="nil"/>
                  </w:tcBorders>
                  <w:shd w:val="clear" w:color="auto" w:fill="auto"/>
                  <w:noWrap w:val="0"/>
                  <w:vAlign w:val="center"/>
                </w:tcPr>
                <w:p w14:paraId="2130DBF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容积：30m</w:t>
                  </w:r>
                  <w:r>
                    <w:rPr>
                      <w:rFonts w:hint="eastAsia" w:ascii="Times New Roman" w:hAnsi="Times New Roman" w:cs="Times New Roman"/>
                      <w:bCs/>
                      <w:color w:val="auto"/>
                      <w:kern w:val="2"/>
                      <w:sz w:val="21"/>
                      <w:szCs w:val="21"/>
                      <w:highlight w:val="none"/>
                      <w:vertAlign w:val="superscript"/>
                      <w:lang w:val="en-US" w:eastAsia="zh-CN" w:bidi="ar-SA"/>
                    </w:rPr>
                    <w:t>3</w:t>
                  </w:r>
                </w:p>
              </w:tc>
              <w:tc>
                <w:tcPr>
                  <w:tcW w:w="1040" w:type="dxa"/>
                  <w:tcBorders>
                    <w:tl2br w:val="nil"/>
                    <w:tr2bl w:val="nil"/>
                  </w:tcBorders>
                  <w:shd w:val="clear" w:color="auto" w:fill="auto"/>
                  <w:noWrap w:val="0"/>
                  <w:vAlign w:val="center"/>
                </w:tcPr>
                <w:p w14:paraId="1CF5E2C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2127" w:type="dxa"/>
                  <w:tcBorders>
                    <w:tl2br w:val="nil"/>
                    <w:tr2bl w:val="nil"/>
                  </w:tcBorders>
                  <w:shd w:val="clear" w:color="auto" w:fill="auto"/>
                  <w:noWrap w:val="0"/>
                  <w:vAlign w:val="center"/>
                </w:tcPr>
                <w:p w14:paraId="5CD4BBD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钢制，用于储存本项目抑尘用水、洗车用水</w:t>
                  </w:r>
                </w:p>
              </w:tc>
            </w:tr>
          </w:tbl>
          <w:p w14:paraId="14E353D8">
            <w:pPr>
              <w:bidi w:val="0"/>
              <w:rPr>
                <w:rFonts w:hint="default"/>
                <w:color w:val="auto"/>
                <w:highlight w:val="none"/>
              </w:rPr>
            </w:pPr>
            <w:r>
              <w:rPr>
                <w:rFonts w:hint="eastAsia"/>
                <w:color w:val="auto"/>
                <w:highlight w:val="none"/>
                <w:lang w:val="en-US" w:eastAsia="zh-CN"/>
              </w:rPr>
              <w:t>11、</w:t>
            </w:r>
            <w:r>
              <w:rPr>
                <w:rFonts w:hint="default"/>
                <w:color w:val="auto"/>
                <w:highlight w:val="none"/>
              </w:rPr>
              <w:t>给排水及</w:t>
            </w:r>
            <w:r>
              <w:rPr>
                <w:rFonts w:hint="eastAsia"/>
                <w:color w:val="auto"/>
                <w:highlight w:val="none"/>
                <w:lang w:val="en-US" w:eastAsia="zh-CN"/>
              </w:rPr>
              <w:t>取</w:t>
            </w:r>
            <w:r>
              <w:rPr>
                <w:rFonts w:hint="default"/>
                <w:color w:val="auto"/>
                <w:highlight w:val="none"/>
              </w:rPr>
              <w:t xml:space="preserve">暖 </w:t>
            </w:r>
          </w:p>
          <w:p w14:paraId="16E5A09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highlight w:val="none"/>
                <w:lang w:val="en-US" w:eastAsia="zh-CN"/>
              </w:rPr>
            </w:pPr>
            <w:r>
              <w:rPr>
                <w:rFonts w:hint="eastAsia"/>
                <w:color w:val="auto"/>
                <w:highlight w:val="none"/>
                <w:lang w:val="en-US" w:eastAsia="zh-CN"/>
              </w:rPr>
              <w:t>（1）给排水</w:t>
            </w:r>
          </w:p>
          <w:p w14:paraId="482EB94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highlight w:val="none"/>
                <w:lang w:val="en-US" w:eastAsia="zh-CN"/>
              </w:rPr>
            </w:pPr>
            <w:r>
              <w:rPr>
                <w:rFonts w:hint="eastAsia"/>
                <w:color w:val="auto"/>
                <w:highlight w:val="none"/>
                <w:lang w:val="en-US" w:eastAsia="zh-CN"/>
              </w:rPr>
              <w:t>本项目用水主要为场区抑尘用水、洗车用水和生活用水，生活用水外购桶装水，迁安市建勇矿业有限公司为本项目提供场区抑尘用水、洗车用水供水服务，保证项目用水，废水主要为洗车废水、生活污水。</w:t>
            </w:r>
          </w:p>
          <w:p w14:paraId="23CE8085">
            <w:pPr>
              <w:bidi w:val="0"/>
              <w:rPr>
                <w:rFonts w:hint="eastAsia"/>
                <w:color w:val="auto"/>
                <w:highlight w:val="none"/>
                <w:lang w:val="en-US" w:eastAsia="zh-CN"/>
              </w:rPr>
            </w:pPr>
            <w:r>
              <w:rPr>
                <w:rFonts w:hint="eastAsia"/>
                <w:color w:val="auto"/>
                <w:highlight w:val="none"/>
                <w:lang w:val="en-US" w:eastAsia="zh-CN"/>
              </w:rPr>
              <w:t>1）抑尘过程</w:t>
            </w:r>
          </w:p>
          <w:p w14:paraId="735350EF">
            <w:pPr>
              <w:bidi w:val="0"/>
              <w:rPr>
                <w:rFonts w:hint="eastAsia"/>
                <w:color w:val="auto"/>
                <w:highlight w:val="none"/>
                <w:lang w:val="en-US" w:eastAsia="zh-CN"/>
              </w:rPr>
            </w:pPr>
            <w:r>
              <w:rPr>
                <w:rFonts w:hint="eastAsia"/>
                <w:color w:val="auto"/>
                <w:highlight w:val="none"/>
                <w:lang w:val="en-US" w:eastAsia="zh-CN"/>
              </w:rPr>
              <w:t>本项目</w:t>
            </w:r>
            <w:r>
              <w:rPr>
                <w:rFonts w:hint="eastAsia" w:ascii="宋体" w:hAnsi="宋体" w:eastAsia="宋体" w:cs="宋体"/>
                <w:color w:val="auto"/>
                <w:kern w:val="0"/>
                <w:sz w:val="24"/>
                <w:szCs w:val="24"/>
                <w:highlight w:val="none"/>
                <w:lang w:val="en-US" w:eastAsia="zh-CN" w:bidi="ar"/>
              </w:rPr>
              <w:t>采用分层、分单元堆填方式，在堆填区卸料、堆填过程中采用雾炮喷淋抑尘</w:t>
            </w:r>
            <w:r>
              <w:rPr>
                <w:rFonts w:hint="eastAsia"/>
                <w:color w:val="auto"/>
                <w:highlight w:val="none"/>
                <w:lang w:val="en-US" w:eastAsia="zh-CN"/>
              </w:rPr>
              <w:t>，场区采用洒水车洒水抑尘，用水量为8m</w:t>
            </w:r>
            <w:r>
              <w:rPr>
                <w:rFonts w:hint="eastAsia"/>
                <w:color w:val="auto"/>
                <w:highlight w:val="none"/>
                <w:vertAlign w:val="superscript"/>
                <w:lang w:val="en-US" w:eastAsia="zh-CN"/>
              </w:rPr>
              <w:t>3</w:t>
            </w:r>
            <w:r>
              <w:rPr>
                <w:rFonts w:hint="eastAsia"/>
                <w:color w:val="auto"/>
                <w:highlight w:val="none"/>
                <w:lang w:val="en-US" w:eastAsia="zh-CN"/>
              </w:rPr>
              <w:t>/d（2880m</w:t>
            </w:r>
            <w:r>
              <w:rPr>
                <w:rFonts w:hint="eastAsia"/>
                <w:color w:val="auto"/>
                <w:highlight w:val="none"/>
                <w:vertAlign w:val="superscript"/>
                <w:lang w:val="en-US" w:eastAsia="zh-CN"/>
              </w:rPr>
              <w:t>3</w:t>
            </w:r>
            <w:r>
              <w:rPr>
                <w:rFonts w:hint="eastAsia"/>
                <w:color w:val="auto"/>
                <w:highlight w:val="none"/>
                <w:lang w:val="en-US" w:eastAsia="zh-CN"/>
              </w:rPr>
              <w:t>/a），全部损耗，无废水产生。</w:t>
            </w:r>
          </w:p>
          <w:p w14:paraId="386DA482">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default"/>
                <w:color w:val="auto"/>
                <w:highlight w:val="none"/>
                <w:lang w:val="en-US" w:eastAsia="zh-CN"/>
              </w:rPr>
            </w:pPr>
            <w:r>
              <w:rPr>
                <w:rFonts w:hint="eastAsia"/>
                <w:color w:val="auto"/>
                <w:highlight w:val="none"/>
                <w:lang w:val="en-US" w:eastAsia="zh-CN"/>
              </w:rPr>
              <w:t>2）洗车过程</w:t>
            </w:r>
          </w:p>
          <w:p w14:paraId="487CC7DD">
            <w:pPr>
              <w:keepNext w:val="0"/>
              <w:keepLines w:val="0"/>
              <w:widowControl/>
              <w:suppressLineNumbers w:val="0"/>
              <w:jc w:val="left"/>
              <w:rPr>
                <w:color w:val="auto"/>
                <w:highlight w:val="none"/>
              </w:rPr>
            </w:pPr>
            <w:r>
              <w:rPr>
                <w:rFonts w:hint="eastAsia"/>
                <w:color w:val="auto"/>
                <w:highlight w:val="none"/>
                <w:lang w:val="en-US" w:eastAsia="zh-CN"/>
              </w:rPr>
              <w:t>本项目场区出入口设置洗车平台，对进出场车辆进行清洗，根据建设单位提供资料，并结合建设规模，每天平均进出场车辆约19辆，参照《生活与服务业用水定额 第2部分：服务业》（DB13/T 5450.2-2021）并结合项目实际情况，洗车过程用水量约0.5m</w:t>
            </w:r>
            <w:r>
              <w:rPr>
                <w:rFonts w:hint="eastAsia"/>
                <w:color w:val="auto"/>
                <w:highlight w:val="none"/>
                <w:vertAlign w:val="superscript"/>
                <w:lang w:val="en-US" w:eastAsia="zh-CN"/>
              </w:rPr>
              <w:t>3</w:t>
            </w:r>
            <w:r>
              <w:rPr>
                <w:rFonts w:hint="eastAsia"/>
                <w:color w:val="auto"/>
                <w:highlight w:val="none"/>
                <w:lang w:val="en-US" w:eastAsia="zh-CN"/>
              </w:rPr>
              <w:t>/辆，则洗车过程总用水量为9.5m</w:t>
            </w:r>
            <w:r>
              <w:rPr>
                <w:rFonts w:hint="eastAsia"/>
                <w:color w:val="auto"/>
                <w:highlight w:val="none"/>
                <w:vertAlign w:val="superscript"/>
                <w:lang w:val="en-US" w:eastAsia="zh-CN"/>
              </w:rPr>
              <w:t>3</w:t>
            </w:r>
            <w:r>
              <w:rPr>
                <w:rFonts w:hint="eastAsia"/>
                <w:color w:val="auto"/>
                <w:highlight w:val="none"/>
                <w:lang w:val="en-US" w:eastAsia="zh-CN"/>
              </w:rPr>
              <w:t>/d（3420m</w:t>
            </w:r>
            <w:r>
              <w:rPr>
                <w:rFonts w:hint="eastAsia"/>
                <w:color w:val="auto"/>
                <w:highlight w:val="none"/>
                <w:vertAlign w:val="superscript"/>
                <w:lang w:val="en-US" w:eastAsia="zh-CN"/>
              </w:rPr>
              <w:t>3</w:t>
            </w:r>
            <w:r>
              <w:rPr>
                <w:rFonts w:hint="eastAsia"/>
                <w:color w:val="auto"/>
                <w:highlight w:val="none"/>
                <w:lang w:val="en-US" w:eastAsia="zh-CN"/>
              </w:rPr>
              <w:t>/a），洗车过程车辆带走及蒸发损耗水量约为用水量的10%，则损耗水量为0.95m</w:t>
            </w:r>
            <w:r>
              <w:rPr>
                <w:rFonts w:hint="eastAsia"/>
                <w:color w:val="auto"/>
                <w:highlight w:val="none"/>
                <w:vertAlign w:val="superscript"/>
                <w:lang w:val="en-US" w:eastAsia="zh-CN"/>
              </w:rPr>
              <w:t>3</w:t>
            </w:r>
            <w:r>
              <w:rPr>
                <w:rFonts w:hint="eastAsia"/>
                <w:color w:val="auto"/>
                <w:highlight w:val="none"/>
                <w:lang w:val="en-US" w:eastAsia="zh-CN"/>
              </w:rPr>
              <w:t>/d（342m</w:t>
            </w:r>
            <w:r>
              <w:rPr>
                <w:rFonts w:hint="eastAsia"/>
                <w:color w:val="auto"/>
                <w:highlight w:val="none"/>
                <w:vertAlign w:val="superscript"/>
                <w:lang w:val="en-US" w:eastAsia="zh-CN"/>
              </w:rPr>
              <w:t>3</w:t>
            </w:r>
            <w:r>
              <w:rPr>
                <w:rFonts w:hint="eastAsia"/>
                <w:color w:val="auto"/>
                <w:highlight w:val="none"/>
                <w:lang w:val="en-US" w:eastAsia="zh-CN"/>
              </w:rPr>
              <w:t>/a），洗车废水经洗车平台配套沉淀池沉淀处理后排入清水池循环使用，则循环水量为8.55m</w:t>
            </w:r>
            <w:r>
              <w:rPr>
                <w:rFonts w:hint="eastAsia"/>
                <w:color w:val="auto"/>
                <w:highlight w:val="none"/>
                <w:vertAlign w:val="superscript"/>
                <w:lang w:val="en-US" w:eastAsia="zh-CN"/>
              </w:rPr>
              <w:t>3</w:t>
            </w:r>
            <w:r>
              <w:rPr>
                <w:rFonts w:hint="eastAsia"/>
                <w:color w:val="auto"/>
                <w:highlight w:val="none"/>
                <w:lang w:val="en-US" w:eastAsia="zh-CN"/>
              </w:rPr>
              <w:t>/d（3078m</w:t>
            </w:r>
            <w:r>
              <w:rPr>
                <w:rFonts w:hint="eastAsia"/>
                <w:color w:val="auto"/>
                <w:highlight w:val="none"/>
                <w:vertAlign w:val="superscript"/>
                <w:lang w:val="en-US" w:eastAsia="zh-CN"/>
              </w:rPr>
              <w:t>3</w:t>
            </w:r>
            <w:r>
              <w:rPr>
                <w:rFonts w:hint="eastAsia"/>
                <w:color w:val="auto"/>
                <w:highlight w:val="none"/>
                <w:lang w:val="en-US" w:eastAsia="zh-CN"/>
              </w:rPr>
              <w:t>/a）。</w:t>
            </w:r>
          </w:p>
          <w:p w14:paraId="589A4472">
            <w:pPr>
              <w:bidi w:val="0"/>
              <w:rPr>
                <w:rFonts w:hint="eastAsia"/>
                <w:color w:val="auto"/>
                <w:highlight w:val="none"/>
                <w:lang w:val="en-US" w:eastAsia="zh-CN"/>
              </w:rPr>
            </w:pPr>
            <w:r>
              <w:rPr>
                <w:rFonts w:hint="eastAsia"/>
                <w:color w:val="auto"/>
                <w:highlight w:val="none"/>
                <w:lang w:val="en-US" w:eastAsia="zh-CN"/>
              </w:rPr>
              <w:t>综上，洗车过程总用水量为9.5m</w:t>
            </w:r>
            <w:r>
              <w:rPr>
                <w:rFonts w:hint="eastAsia"/>
                <w:color w:val="auto"/>
                <w:highlight w:val="none"/>
                <w:vertAlign w:val="superscript"/>
                <w:lang w:val="en-US" w:eastAsia="zh-CN"/>
              </w:rPr>
              <w:t>3</w:t>
            </w:r>
            <w:r>
              <w:rPr>
                <w:rFonts w:hint="eastAsia"/>
                <w:color w:val="auto"/>
                <w:highlight w:val="none"/>
                <w:lang w:val="en-US" w:eastAsia="zh-CN"/>
              </w:rPr>
              <w:t>/d（3420m</w:t>
            </w:r>
            <w:r>
              <w:rPr>
                <w:rFonts w:hint="eastAsia"/>
                <w:color w:val="auto"/>
                <w:highlight w:val="none"/>
                <w:vertAlign w:val="superscript"/>
                <w:lang w:val="en-US" w:eastAsia="zh-CN"/>
              </w:rPr>
              <w:t>3</w:t>
            </w:r>
            <w:r>
              <w:rPr>
                <w:rFonts w:hint="eastAsia"/>
                <w:color w:val="auto"/>
                <w:highlight w:val="none"/>
                <w:lang w:val="en-US" w:eastAsia="zh-CN"/>
              </w:rPr>
              <w:t>/a），新水用量为0.95m</w:t>
            </w:r>
            <w:r>
              <w:rPr>
                <w:rFonts w:hint="eastAsia"/>
                <w:color w:val="auto"/>
                <w:highlight w:val="none"/>
                <w:vertAlign w:val="superscript"/>
                <w:lang w:val="en-US" w:eastAsia="zh-CN"/>
              </w:rPr>
              <w:t>3</w:t>
            </w:r>
            <w:r>
              <w:rPr>
                <w:rFonts w:hint="eastAsia"/>
                <w:color w:val="auto"/>
                <w:highlight w:val="none"/>
                <w:lang w:val="en-US" w:eastAsia="zh-CN"/>
              </w:rPr>
              <w:t>/d（342m</w:t>
            </w:r>
            <w:r>
              <w:rPr>
                <w:rFonts w:hint="eastAsia"/>
                <w:color w:val="auto"/>
                <w:highlight w:val="none"/>
                <w:vertAlign w:val="superscript"/>
                <w:lang w:val="en-US" w:eastAsia="zh-CN"/>
              </w:rPr>
              <w:t>3</w:t>
            </w:r>
            <w:r>
              <w:rPr>
                <w:rFonts w:hint="eastAsia"/>
                <w:color w:val="auto"/>
                <w:highlight w:val="none"/>
                <w:lang w:val="en-US" w:eastAsia="zh-CN"/>
              </w:rPr>
              <w:t>/a），损耗水量为0.95m</w:t>
            </w:r>
            <w:r>
              <w:rPr>
                <w:rFonts w:hint="eastAsia"/>
                <w:color w:val="auto"/>
                <w:highlight w:val="none"/>
                <w:vertAlign w:val="superscript"/>
                <w:lang w:val="en-US" w:eastAsia="zh-CN"/>
              </w:rPr>
              <w:t>3</w:t>
            </w:r>
            <w:r>
              <w:rPr>
                <w:rFonts w:hint="eastAsia"/>
                <w:color w:val="auto"/>
                <w:highlight w:val="none"/>
                <w:lang w:val="en-US" w:eastAsia="zh-CN"/>
              </w:rPr>
              <w:t>/d（342m</w:t>
            </w:r>
            <w:r>
              <w:rPr>
                <w:rFonts w:hint="eastAsia"/>
                <w:color w:val="auto"/>
                <w:highlight w:val="none"/>
                <w:vertAlign w:val="superscript"/>
                <w:lang w:val="en-US" w:eastAsia="zh-CN"/>
              </w:rPr>
              <w:t>3</w:t>
            </w:r>
            <w:r>
              <w:rPr>
                <w:rFonts w:hint="eastAsia"/>
                <w:color w:val="auto"/>
                <w:highlight w:val="none"/>
                <w:lang w:val="en-US" w:eastAsia="zh-CN"/>
              </w:rPr>
              <w:t>/a），循环水量为8.55m</w:t>
            </w:r>
            <w:r>
              <w:rPr>
                <w:rFonts w:hint="eastAsia"/>
                <w:color w:val="auto"/>
                <w:highlight w:val="none"/>
                <w:vertAlign w:val="superscript"/>
                <w:lang w:val="en-US" w:eastAsia="zh-CN"/>
              </w:rPr>
              <w:t>3</w:t>
            </w:r>
            <w:r>
              <w:rPr>
                <w:rFonts w:hint="eastAsia"/>
                <w:color w:val="auto"/>
                <w:highlight w:val="none"/>
                <w:lang w:val="en-US" w:eastAsia="zh-CN"/>
              </w:rPr>
              <w:t>/d（3078m</w:t>
            </w:r>
            <w:r>
              <w:rPr>
                <w:rFonts w:hint="eastAsia"/>
                <w:color w:val="auto"/>
                <w:highlight w:val="none"/>
                <w:vertAlign w:val="superscript"/>
                <w:lang w:val="en-US" w:eastAsia="zh-CN"/>
              </w:rPr>
              <w:t>3</w:t>
            </w:r>
            <w:r>
              <w:rPr>
                <w:rFonts w:hint="eastAsia"/>
                <w:color w:val="auto"/>
                <w:highlight w:val="none"/>
                <w:lang w:val="en-US" w:eastAsia="zh-CN"/>
              </w:rPr>
              <w:t>/a）。</w:t>
            </w:r>
          </w:p>
          <w:p w14:paraId="1E266A8F">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3）职工生活</w:t>
            </w:r>
          </w:p>
          <w:p w14:paraId="2F8D3AE4">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color w:val="auto"/>
                <w:highlight w:val="none"/>
                <w:lang w:val="en-US" w:eastAsia="zh-CN"/>
              </w:rPr>
            </w:pPr>
            <w:r>
              <w:rPr>
                <w:rFonts w:hint="eastAsia" w:cs="Times New Roman"/>
                <w:color w:val="auto"/>
                <w:sz w:val="24"/>
                <w:szCs w:val="24"/>
                <w:highlight w:val="none"/>
                <w:vertAlign w:val="baseline"/>
                <w:lang w:val="en-US" w:eastAsia="zh-CN"/>
              </w:rPr>
              <w:t>本项目场区不设食堂、宿舍，厕所为防渗旱厕，生活用水主要为职工饮用、盥洗用水，参照</w:t>
            </w:r>
            <w:r>
              <w:rPr>
                <w:rFonts w:hint="eastAsia"/>
                <w:color w:val="auto"/>
                <w:highlight w:val="none"/>
                <w:lang w:val="en-US" w:eastAsia="zh-CN"/>
              </w:rPr>
              <w:t>《生活与服务用水定额 第</w:t>
            </w:r>
            <w:r>
              <w:rPr>
                <w:rFonts w:hint="default" w:ascii="Times New Roman" w:hAnsi="Times New Roman" w:cs="Times New Roman"/>
                <w:color w:val="auto"/>
                <w:highlight w:val="none"/>
                <w:lang w:val="en-US" w:eastAsia="zh-CN"/>
              </w:rPr>
              <w:t>1</w:t>
            </w:r>
            <w:r>
              <w:rPr>
                <w:rFonts w:hint="eastAsia"/>
                <w:color w:val="auto"/>
                <w:highlight w:val="none"/>
                <w:lang w:val="en-US" w:eastAsia="zh-CN"/>
              </w:rPr>
              <w:t>部分：居民生活》</w:t>
            </w:r>
            <w:r>
              <w:rPr>
                <w:rFonts w:hint="default" w:ascii="Times New Roman" w:hAnsi="Times New Roman" w:cs="Times New Roman"/>
                <w:color w:val="auto"/>
                <w:highlight w:val="none"/>
                <w:lang w:val="en-US" w:eastAsia="zh-CN"/>
              </w:rPr>
              <w:t>（DB13/T5450.1-2021）</w:t>
            </w:r>
            <w:r>
              <w:rPr>
                <w:rFonts w:hint="eastAsia" w:ascii="Times New Roman" w:hAnsi="Times New Roman" w:cs="Times New Roman"/>
                <w:color w:val="auto"/>
                <w:highlight w:val="none"/>
                <w:lang w:val="en-US" w:eastAsia="zh-CN"/>
              </w:rPr>
              <w:t>表</w:t>
            </w:r>
            <w:r>
              <w:rPr>
                <w:rFonts w:hint="eastAsia" w:cs="Times New Roman"/>
                <w:color w:val="auto"/>
                <w:highlight w:val="none"/>
                <w:lang w:val="en-US" w:eastAsia="zh-CN"/>
              </w:rPr>
              <w:t>1</w:t>
            </w:r>
            <w:r>
              <w:rPr>
                <w:rFonts w:hint="eastAsia" w:ascii="Times New Roman" w:hAnsi="Times New Roman" w:cs="Times New Roman"/>
                <w:color w:val="auto"/>
                <w:highlight w:val="none"/>
                <w:lang w:val="en-US" w:eastAsia="zh-CN"/>
              </w:rPr>
              <w:t>中用水定额，同时结合项目实际情况，</w:t>
            </w:r>
            <w:r>
              <w:rPr>
                <w:rFonts w:hint="eastAsia" w:cs="Times New Roman"/>
                <w:color w:val="auto"/>
                <w:sz w:val="24"/>
                <w:szCs w:val="24"/>
                <w:highlight w:val="none"/>
                <w:vertAlign w:val="baseline"/>
                <w:lang w:val="en-US" w:eastAsia="zh-CN"/>
              </w:rPr>
              <w:t>用水量按</w:t>
            </w:r>
            <w:r>
              <w:rPr>
                <w:rFonts w:hint="eastAsia"/>
                <w:color w:val="auto"/>
                <w:highlight w:val="none"/>
                <w:lang w:val="en-US" w:eastAsia="zh-CN"/>
              </w:rPr>
              <w:t>10L</w:t>
            </w:r>
            <w:r>
              <w:rPr>
                <w:rFonts w:hint="default"/>
                <w:color w:val="auto"/>
                <w:highlight w:val="none"/>
              </w:rPr>
              <w:t>/</w:t>
            </w:r>
            <w:r>
              <w:rPr>
                <w:rFonts w:hint="eastAsia"/>
                <w:color w:val="auto"/>
                <w:highlight w:val="none"/>
                <w:lang w:eastAsia="zh-CN"/>
              </w:rPr>
              <w:t>（</w:t>
            </w:r>
            <w:r>
              <w:rPr>
                <w:rFonts w:hint="default"/>
                <w:color w:val="auto"/>
                <w:highlight w:val="none"/>
              </w:rPr>
              <w:t>人·d</w:t>
            </w:r>
            <w:r>
              <w:rPr>
                <w:rFonts w:hint="eastAsia"/>
                <w:color w:val="auto"/>
                <w:highlight w:val="none"/>
                <w:lang w:eastAsia="zh-CN"/>
              </w:rPr>
              <w:t>）</w:t>
            </w:r>
            <w:r>
              <w:rPr>
                <w:rFonts w:hint="default"/>
                <w:color w:val="auto"/>
                <w:highlight w:val="none"/>
              </w:rPr>
              <w:t>计</w:t>
            </w:r>
            <w:r>
              <w:rPr>
                <w:rFonts w:hint="eastAsia"/>
                <w:color w:val="auto"/>
                <w:highlight w:val="none"/>
                <w:lang w:eastAsia="zh-CN"/>
              </w:rPr>
              <w:t>，</w:t>
            </w:r>
            <w:r>
              <w:rPr>
                <w:rFonts w:hint="eastAsia"/>
                <w:color w:val="auto"/>
                <w:highlight w:val="none"/>
                <w:lang w:val="en-US" w:eastAsia="zh-CN"/>
              </w:rPr>
              <w:t>本项目劳动定员为5人，</w:t>
            </w:r>
            <w:r>
              <w:rPr>
                <w:rFonts w:hint="default"/>
                <w:color w:val="auto"/>
                <w:highlight w:val="none"/>
              </w:rPr>
              <w:t>用水量为</w:t>
            </w:r>
            <w:r>
              <w:rPr>
                <w:rFonts w:hint="eastAsia"/>
                <w:color w:val="auto"/>
                <w:highlight w:val="none"/>
                <w:lang w:val="en-US" w:eastAsia="zh-CN"/>
              </w:rPr>
              <w:t>0.05</w:t>
            </w:r>
            <w:r>
              <w:rPr>
                <w:rFonts w:hint="default"/>
                <w:color w:val="auto"/>
                <w:highlight w:val="none"/>
              </w:rPr>
              <w:t>m</w:t>
            </w:r>
            <w:r>
              <w:rPr>
                <w:rFonts w:hint="default"/>
                <w:color w:val="auto"/>
                <w:highlight w:val="none"/>
                <w:vertAlign w:val="superscript"/>
              </w:rPr>
              <w:t>3</w:t>
            </w:r>
            <w:r>
              <w:rPr>
                <w:rFonts w:hint="default"/>
                <w:color w:val="auto"/>
                <w:highlight w:val="none"/>
              </w:rPr>
              <w:t>/d（</w:t>
            </w:r>
            <w:r>
              <w:rPr>
                <w:rFonts w:hint="eastAsia"/>
                <w:color w:val="auto"/>
                <w:highlight w:val="none"/>
                <w:lang w:val="en-US" w:eastAsia="zh-CN"/>
              </w:rPr>
              <w:t>18</w:t>
            </w:r>
            <w:r>
              <w:rPr>
                <w:rFonts w:hint="default"/>
                <w:color w:val="auto"/>
                <w:highlight w:val="none"/>
              </w:rPr>
              <w:t>m</w:t>
            </w:r>
            <w:r>
              <w:rPr>
                <w:rFonts w:hint="default"/>
                <w:color w:val="auto"/>
                <w:highlight w:val="none"/>
                <w:vertAlign w:val="superscript"/>
              </w:rPr>
              <w:t>3</w:t>
            </w:r>
            <w:r>
              <w:rPr>
                <w:rFonts w:hint="default"/>
                <w:color w:val="auto"/>
                <w:highlight w:val="none"/>
              </w:rPr>
              <w:t>/a）</w:t>
            </w:r>
            <w:r>
              <w:rPr>
                <w:rFonts w:hint="eastAsia"/>
                <w:color w:val="auto"/>
                <w:highlight w:val="none"/>
                <w:lang w:eastAsia="zh-CN"/>
              </w:rPr>
              <w:t>。</w:t>
            </w:r>
            <w:r>
              <w:rPr>
                <w:rFonts w:hint="eastAsia"/>
                <w:color w:val="auto"/>
                <w:highlight w:val="none"/>
                <w:lang w:val="en-US" w:eastAsia="zh-CN"/>
              </w:rPr>
              <w:t>生活污水产生量按用水量的80%计，则生活污水产生量为0.04</w:t>
            </w:r>
            <w:r>
              <w:rPr>
                <w:rFonts w:hint="default"/>
                <w:color w:val="auto"/>
                <w:highlight w:val="none"/>
              </w:rPr>
              <w:t>m</w:t>
            </w:r>
            <w:r>
              <w:rPr>
                <w:rFonts w:hint="default"/>
                <w:color w:val="auto"/>
                <w:highlight w:val="none"/>
                <w:vertAlign w:val="superscript"/>
              </w:rPr>
              <w:t>3</w:t>
            </w:r>
            <w:r>
              <w:rPr>
                <w:rFonts w:hint="default"/>
                <w:color w:val="auto"/>
                <w:highlight w:val="none"/>
              </w:rPr>
              <w:t>/d（</w:t>
            </w:r>
            <w:r>
              <w:rPr>
                <w:rFonts w:hint="eastAsia"/>
                <w:color w:val="auto"/>
                <w:highlight w:val="none"/>
                <w:lang w:val="en-US" w:eastAsia="zh-CN"/>
              </w:rPr>
              <w:t>14.4</w:t>
            </w:r>
            <w:r>
              <w:rPr>
                <w:rFonts w:hint="default"/>
                <w:color w:val="auto"/>
                <w:highlight w:val="none"/>
              </w:rPr>
              <w:t>m</w:t>
            </w:r>
            <w:r>
              <w:rPr>
                <w:rFonts w:hint="default"/>
                <w:color w:val="auto"/>
                <w:highlight w:val="none"/>
                <w:vertAlign w:val="superscript"/>
              </w:rPr>
              <w:t>3</w:t>
            </w:r>
            <w:r>
              <w:rPr>
                <w:rFonts w:hint="default"/>
                <w:color w:val="auto"/>
                <w:highlight w:val="none"/>
              </w:rPr>
              <w:t>/a）</w:t>
            </w:r>
            <w:r>
              <w:rPr>
                <w:rFonts w:hint="eastAsia"/>
                <w:color w:val="auto"/>
                <w:highlight w:val="none"/>
                <w:lang w:eastAsia="zh-CN"/>
              </w:rPr>
              <w:t>，</w:t>
            </w:r>
            <w:r>
              <w:rPr>
                <w:rFonts w:hint="eastAsia" w:ascii="Times New Roman" w:hAnsi="Times New Roman" w:eastAsia="宋体" w:cs="Times New Roman"/>
                <w:color w:val="auto"/>
                <w:spacing w:val="0"/>
                <w:szCs w:val="20"/>
                <w:highlight w:val="none"/>
                <w:lang w:val="en-US" w:eastAsia="zh-CN"/>
              </w:rPr>
              <w:t>产生量小，水质简单，泼洒地面抑尘，不外排</w:t>
            </w:r>
            <w:r>
              <w:rPr>
                <w:rFonts w:hint="eastAsia"/>
                <w:color w:val="auto"/>
                <w:sz w:val="24"/>
                <w:szCs w:val="24"/>
                <w:highlight w:val="none"/>
                <w:lang w:val="en-US" w:eastAsia="zh-CN"/>
              </w:rPr>
              <w:t>。</w:t>
            </w:r>
          </w:p>
          <w:p w14:paraId="5681C7F2">
            <w:pPr>
              <w:bidi w:val="0"/>
              <w:rPr>
                <w:rFonts w:hint="eastAsia"/>
                <w:color w:val="auto"/>
                <w:highlight w:val="none"/>
                <w:lang w:val="en-US" w:eastAsia="zh-CN"/>
              </w:rPr>
            </w:pPr>
            <w:r>
              <w:rPr>
                <w:rFonts w:hint="eastAsia"/>
                <w:color w:val="auto"/>
                <w:highlight w:val="none"/>
                <w:lang w:val="en-US" w:eastAsia="zh-CN"/>
              </w:rPr>
              <w:t>本项目给排水平衡表见表2-5，给排水平衡图见图2-1。</w:t>
            </w:r>
          </w:p>
          <w:p w14:paraId="093DB7B0">
            <w:pPr>
              <w:pStyle w:val="36"/>
              <w:numPr>
                <w:ilvl w:val="0"/>
                <w:numId w:val="12"/>
              </w:numPr>
              <w:bidi w:val="0"/>
              <w:ind w:left="0" w:leftChars="0" w:firstLine="0" w:firstLineChars="0"/>
              <w:rPr>
                <w:rFonts w:hint="default"/>
                <w:b/>
                <w:bCs/>
                <w:color w:val="auto"/>
                <w:sz w:val="21"/>
                <w:szCs w:val="21"/>
                <w:highlight w:val="none"/>
                <w:lang w:val="en-US" w:eastAsia="zh-CN"/>
              </w:rPr>
            </w:pPr>
            <w:r>
              <w:rPr>
                <w:rFonts w:hint="eastAsia"/>
                <w:b/>
                <w:bCs/>
                <w:color w:val="auto"/>
                <w:sz w:val="21"/>
                <w:szCs w:val="21"/>
                <w:highlight w:val="none"/>
                <w:lang w:val="en-US" w:eastAsia="zh-CN"/>
              </w:rPr>
              <w:t>本项目水平衡一览表    单位m</w:t>
            </w:r>
            <w:r>
              <w:rPr>
                <w:rFonts w:hint="eastAsia"/>
                <w:b/>
                <w:bCs/>
                <w:color w:val="auto"/>
                <w:sz w:val="21"/>
                <w:szCs w:val="21"/>
                <w:highlight w:val="none"/>
                <w:vertAlign w:val="superscript"/>
                <w:lang w:val="en-US" w:eastAsia="zh-CN"/>
              </w:rPr>
              <w:t>3</w:t>
            </w:r>
            <w:r>
              <w:rPr>
                <w:rFonts w:hint="eastAsia"/>
                <w:b/>
                <w:bCs/>
                <w:color w:val="auto"/>
                <w:sz w:val="21"/>
                <w:szCs w:val="21"/>
                <w:highlight w:val="none"/>
                <w:lang w:val="en-US" w:eastAsia="zh-CN"/>
              </w:rPr>
              <w:t>/d</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644"/>
              <w:gridCol w:w="972"/>
              <w:gridCol w:w="972"/>
              <w:gridCol w:w="1056"/>
              <w:gridCol w:w="1040"/>
              <w:gridCol w:w="972"/>
              <w:gridCol w:w="903"/>
              <w:gridCol w:w="1548"/>
            </w:tblGrid>
            <w:tr w14:paraId="6FCDF9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44" w:type="dxa"/>
                  <w:tcBorders>
                    <w:tl2br w:val="nil"/>
                    <w:tr2bl w:val="nil"/>
                  </w:tcBorders>
                  <w:noWrap w:val="0"/>
                  <w:vAlign w:val="center"/>
                </w:tcPr>
                <w:p w14:paraId="1DB48DE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序号</w:t>
                  </w:r>
                </w:p>
              </w:tc>
              <w:tc>
                <w:tcPr>
                  <w:tcW w:w="972" w:type="dxa"/>
                  <w:tcBorders>
                    <w:tl2br w:val="nil"/>
                    <w:tr2bl w:val="nil"/>
                  </w:tcBorders>
                  <w:noWrap w:val="0"/>
                  <w:vAlign w:val="center"/>
                </w:tcPr>
                <w:p w14:paraId="0C2D436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用水环节</w:t>
                  </w:r>
                </w:p>
              </w:tc>
              <w:tc>
                <w:tcPr>
                  <w:tcW w:w="972" w:type="dxa"/>
                  <w:tcBorders>
                    <w:tl2br w:val="nil"/>
                    <w:tr2bl w:val="nil"/>
                  </w:tcBorders>
                  <w:noWrap w:val="0"/>
                  <w:vAlign w:val="center"/>
                </w:tcPr>
                <w:p w14:paraId="09136EA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总用水量</w:t>
                  </w:r>
                </w:p>
              </w:tc>
              <w:tc>
                <w:tcPr>
                  <w:tcW w:w="1056" w:type="dxa"/>
                  <w:tcBorders>
                    <w:tl2br w:val="nil"/>
                    <w:tr2bl w:val="nil"/>
                  </w:tcBorders>
                  <w:noWrap w:val="0"/>
                  <w:vAlign w:val="center"/>
                </w:tcPr>
                <w:p w14:paraId="28CAE9B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新水用量</w:t>
                  </w:r>
                </w:p>
              </w:tc>
              <w:tc>
                <w:tcPr>
                  <w:tcW w:w="1040" w:type="dxa"/>
                  <w:tcBorders>
                    <w:tl2br w:val="nil"/>
                    <w:tr2bl w:val="nil"/>
                  </w:tcBorders>
                  <w:noWrap w:val="0"/>
                  <w:vAlign w:val="center"/>
                </w:tcPr>
                <w:p w14:paraId="393102A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损耗水量</w:t>
                  </w:r>
                </w:p>
              </w:tc>
              <w:tc>
                <w:tcPr>
                  <w:tcW w:w="972" w:type="dxa"/>
                  <w:tcBorders>
                    <w:tl2br w:val="nil"/>
                    <w:tr2bl w:val="nil"/>
                  </w:tcBorders>
                  <w:noWrap w:val="0"/>
                  <w:vAlign w:val="center"/>
                </w:tcPr>
                <w:p w14:paraId="1538CF0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循环水量</w:t>
                  </w:r>
                </w:p>
              </w:tc>
              <w:tc>
                <w:tcPr>
                  <w:tcW w:w="903" w:type="dxa"/>
                  <w:tcBorders>
                    <w:tl2br w:val="nil"/>
                    <w:tr2bl w:val="nil"/>
                  </w:tcBorders>
                  <w:noWrap w:val="0"/>
                  <w:vAlign w:val="center"/>
                </w:tcPr>
                <w:p w14:paraId="7E4D42D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废水量</w:t>
                  </w:r>
                </w:p>
              </w:tc>
              <w:tc>
                <w:tcPr>
                  <w:tcW w:w="1548" w:type="dxa"/>
                  <w:tcBorders>
                    <w:tl2br w:val="nil"/>
                    <w:tr2bl w:val="nil"/>
                  </w:tcBorders>
                  <w:noWrap w:val="0"/>
                  <w:vAlign w:val="center"/>
                </w:tcPr>
                <w:p w14:paraId="4CA8889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备注</w:t>
                  </w:r>
                </w:p>
              </w:tc>
            </w:tr>
            <w:tr w14:paraId="3EA513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44" w:type="dxa"/>
                  <w:tcBorders>
                    <w:tl2br w:val="nil"/>
                    <w:tr2bl w:val="nil"/>
                  </w:tcBorders>
                  <w:noWrap w:val="0"/>
                  <w:vAlign w:val="center"/>
                </w:tcPr>
                <w:p w14:paraId="22D81C81">
                  <w:pPr>
                    <w:pStyle w:val="48"/>
                    <w:keepNext w:val="0"/>
                    <w:keepLines w:val="0"/>
                    <w:pageBreakBefore w:val="0"/>
                    <w:widowControl w:val="0"/>
                    <w:numPr>
                      <w:ilvl w:val="0"/>
                      <w:numId w:val="16"/>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972" w:type="dxa"/>
                  <w:tcBorders>
                    <w:tl2br w:val="nil"/>
                    <w:tr2bl w:val="nil"/>
                  </w:tcBorders>
                  <w:noWrap w:val="0"/>
                  <w:vAlign w:val="center"/>
                </w:tcPr>
                <w:p w14:paraId="4A41C53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抑尘过程</w:t>
                  </w:r>
                </w:p>
              </w:tc>
              <w:tc>
                <w:tcPr>
                  <w:tcW w:w="972" w:type="dxa"/>
                  <w:tcBorders>
                    <w:tl2br w:val="nil"/>
                    <w:tr2bl w:val="nil"/>
                  </w:tcBorders>
                  <w:noWrap w:val="0"/>
                  <w:vAlign w:val="center"/>
                </w:tcPr>
                <w:p w14:paraId="6362608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w:t>
                  </w:r>
                </w:p>
              </w:tc>
              <w:tc>
                <w:tcPr>
                  <w:tcW w:w="1056" w:type="dxa"/>
                  <w:tcBorders>
                    <w:tl2br w:val="nil"/>
                    <w:tr2bl w:val="nil"/>
                  </w:tcBorders>
                  <w:noWrap w:val="0"/>
                  <w:vAlign w:val="center"/>
                </w:tcPr>
                <w:p w14:paraId="7D0C047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w:t>
                  </w:r>
                </w:p>
              </w:tc>
              <w:tc>
                <w:tcPr>
                  <w:tcW w:w="1040" w:type="dxa"/>
                  <w:tcBorders>
                    <w:tl2br w:val="nil"/>
                    <w:tr2bl w:val="nil"/>
                  </w:tcBorders>
                  <w:shd w:val="clear" w:color="auto" w:fill="auto"/>
                  <w:noWrap w:val="0"/>
                  <w:vAlign w:val="center"/>
                </w:tcPr>
                <w:p w14:paraId="48F680A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8</w:t>
                  </w:r>
                </w:p>
              </w:tc>
              <w:tc>
                <w:tcPr>
                  <w:tcW w:w="972" w:type="dxa"/>
                  <w:tcBorders>
                    <w:tl2br w:val="nil"/>
                    <w:tr2bl w:val="nil"/>
                  </w:tcBorders>
                  <w:noWrap w:val="0"/>
                  <w:vAlign w:val="center"/>
                </w:tcPr>
                <w:p w14:paraId="7EBF743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903" w:type="dxa"/>
                  <w:tcBorders>
                    <w:tl2br w:val="nil"/>
                    <w:tr2bl w:val="nil"/>
                  </w:tcBorders>
                  <w:noWrap w:val="0"/>
                  <w:vAlign w:val="center"/>
                </w:tcPr>
                <w:p w14:paraId="08F12D94">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1548" w:type="dxa"/>
                  <w:tcBorders>
                    <w:tl2br w:val="nil"/>
                    <w:tr2bl w:val="nil"/>
                  </w:tcBorders>
                  <w:noWrap w:val="0"/>
                  <w:vAlign w:val="center"/>
                </w:tcPr>
                <w:p w14:paraId="07DB823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67929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44" w:type="dxa"/>
                  <w:tcBorders>
                    <w:tl2br w:val="nil"/>
                    <w:tr2bl w:val="nil"/>
                  </w:tcBorders>
                  <w:noWrap w:val="0"/>
                  <w:vAlign w:val="center"/>
                </w:tcPr>
                <w:p w14:paraId="00E32FFC">
                  <w:pPr>
                    <w:pStyle w:val="48"/>
                    <w:keepNext w:val="0"/>
                    <w:keepLines w:val="0"/>
                    <w:pageBreakBefore w:val="0"/>
                    <w:widowControl w:val="0"/>
                    <w:numPr>
                      <w:ilvl w:val="0"/>
                      <w:numId w:val="16"/>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972" w:type="dxa"/>
                  <w:tcBorders>
                    <w:tl2br w:val="nil"/>
                    <w:tr2bl w:val="nil"/>
                  </w:tcBorders>
                  <w:noWrap w:val="0"/>
                  <w:vAlign w:val="center"/>
                </w:tcPr>
                <w:p w14:paraId="318C45B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洗车过程</w:t>
                  </w:r>
                </w:p>
              </w:tc>
              <w:tc>
                <w:tcPr>
                  <w:tcW w:w="972" w:type="dxa"/>
                  <w:tcBorders>
                    <w:tl2br w:val="nil"/>
                    <w:tr2bl w:val="nil"/>
                  </w:tcBorders>
                  <w:noWrap w:val="0"/>
                  <w:vAlign w:val="center"/>
                </w:tcPr>
                <w:p w14:paraId="662B53C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9.5</w:t>
                  </w:r>
                </w:p>
              </w:tc>
              <w:tc>
                <w:tcPr>
                  <w:tcW w:w="1056" w:type="dxa"/>
                  <w:tcBorders>
                    <w:tl2br w:val="nil"/>
                    <w:tr2bl w:val="nil"/>
                  </w:tcBorders>
                  <w:noWrap w:val="0"/>
                  <w:vAlign w:val="center"/>
                </w:tcPr>
                <w:p w14:paraId="6DDC73E7">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0.95</w:t>
                  </w:r>
                </w:p>
              </w:tc>
              <w:tc>
                <w:tcPr>
                  <w:tcW w:w="1040" w:type="dxa"/>
                  <w:tcBorders>
                    <w:tl2br w:val="nil"/>
                    <w:tr2bl w:val="nil"/>
                  </w:tcBorders>
                  <w:shd w:val="clear" w:color="auto" w:fill="auto"/>
                  <w:noWrap w:val="0"/>
                  <w:vAlign w:val="center"/>
                </w:tcPr>
                <w:p w14:paraId="53D8217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kern w:val="2"/>
                      <w:sz w:val="21"/>
                      <w:szCs w:val="21"/>
                      <w:highlight w:val="none"/>
                      <w:lang w:val="en-US" w:eastAsia="zh-CN" w:bidi="ar-SA"/>
                    </w:rPr>
                    <w:t>0.95</w:t>
                  </w:r>
                </w:p>
              </w:tc>
              <w:tc>
                <w:tcPr>
                  <w:tcW w:w="972" w:type="dxa"/>
                  <w:tcBorders>
                    <w:tl2br w:val="nil"/>
                    <w:tr2bl w:val="nil"/>
                  </w:tcBorders>
                  <w:noWrap w:val="0"/>
                  <w:vAlign w:val="center"/>
                </w:tcPr>
                <w:p w14:paraId="3E44235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8.55</w:t>
                  </w:r>
                </w:p>
              </w:tc>
              <w:tc>
                <w:tcPr>
                  <w:tcW w:w="903" w:type="dxa"/>
                  <w:tcBorders>
                    <w:tl2br w:val="nil"/>
                    <w:tr2bl w:val="nil"/>
                  </w:tcBorders>
                  <w:noWrap w:val="0"/>
                  <w:vAlign w:val="center"/>
                </w:tcPr>
                <w:p w14:paraId="2BBD5DA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1548" w:type="dxa"/>
                  <w:tcBorders>
                    <w:tl2br w:val="nil"/>
                    <w:tr2bl w:val="nil"/>
                  </w:tcBorders>
                  <w:noWrap w:val="0"/>
                  <w:vAlign w:val="center"/>
                </w:tcPr>
                <w:p w14:paraId="6677E6D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01DA1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644" w:type="dxa"/>
                  <w:tcBorders>
                    <w:tl2br w:val="nil"/>
                    <w:tr2bl w:val="nil"/>
                  </w:tcBorders>
                  <w:noWrap w:val="0"/>
                  <w:vAlign w:val="center"/>
                </w:tcPr>
                <w:p w14:paraId="1E41C4F2">
                  <w:pPr>
                    <w:pStyle w:val="48"/>
                    <w:keepNext w:val="0"/>
                    <w:keepLines w:val="0"/>
                    <w:pageBreakBefore w:val="0"/>
                    <w:widowControl w:val="0"/>
                    <w:numPr>
                      <w:ilvl w:val="0"/>
                      <w:numId w:val="16"/>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p>
              </w:tc>
              <w:tc>
                <w:tcPr>
                  <w:tcW w:w="972" w:type="dxa"/>
                  <w:tcBorders>
                    <w:tl2br w:val="nil"/>
                    <w:tr2bl w:val="nil"/>
                  </w:tcBorders>
                  <w:noWrap w:val="0"/>
                  <w:vAlign w:val="center"/>
                </w:tcPr>
                <w:p w14:paraId="4D53AA26">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职工生活</w:t>
                  </w:r>
                </w:p>
              </w:tc>
              <w:tc>
                <w:tcPr>
                  <w:tcW w:w="972" w:type="dxa"/>
                  <w:tcBorders>
                    <w:tl2br w:val="nil"/>
                    <w:tr2bl w:val="nil"/>
                  </w:tcBorders>
                  <w:noWrap w:val="0"/>
                  <w:vAlign w:val="center"/>
                </w:tcPr>
                <w:p w14:paraId="68C8119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0.05</w:t>
                  </w:r>
                </w:p>
              </w:tc>
              <w:tc>
                <w:tcPr>
                  <w:tcW w:w="1056" w:type="dxa"/>
                  <w:tcBorders>
                    <w:tl2br w:val="nil"/>
                    <w:tr2bl w:val="nil"/>
                  </w:tcBorders>
                  <w:noWrap w:val="0"/>
                  <w:vAlign w:val="center"/>
                </w:tcPr>
                <w:p w14:paraId="4D5332F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0.05</w:t>
                  </w:r>
                </w:p>
              </w:tc>
              <w:tc>
                <w:tcPr>
                  <w:tcW w:w="1040" w:type="dxa"/>
                  <w:tcBorders>
                    <w:tl2br w:val="nil"/>
                    <w:tr2bl w:val="nil"/>
                  </w:tcBorders>
                  <w:shd w:val="clear" w:color="auto" w:fill="auto"/>
                  <w:noWrap w:val="0"/>
                  <w:vAlign w:val="center"/>
                </w:tcPr>
                <w:p w14:paraId="21AB83F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0.01</w:t>
                  </w:r>
                </w:p>
              </w:tc>
              <w:tc>
                <w:tcPr>
                  <w:tcW w:w="972" w:type="dxa"/>
                  <w:tcBorders>
                    <w:tl2br w:val="nil"/>
                    <w:tr2bl w:val="nil"/>
                  </w:tcBorders>
                  <w:noWrap w:val="0"/>
                  <w:vAlign w:val="center"/>
                </w:tcPr>
                <w:p w14:paraId="279D03E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903" w:type="dxa"/>
                  <w:tcBorders>
                    <w:tl2br w:val="nil"/>
                    <w:tr2bl w:val="nil"/>
                  </w:tcBorders>
                  <w:noWrap w:val="0"/>
                  <w:vAlign w:val="center"/>
                </w:tcPr>
                <w:p w14:paraId="777B8B0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0.04</w:t>
                  </w:r>
                </w:p>
              </w:tc>
              <w:tc>
                <w:tcPr>
                  <w:tcW w:w="1548" w:type="dxa"/>
                  <w:tcBorders>
                    <w:tl2br w:val="nil"/>
                    <w:tr2bl w:val="nil"/>
                  </w:tcBorders>
                  <w:noWrap w:val="0"/>
                  <w:vAlign w:val="center"/>
                </w:tcPr>
                <w:p w14:paraId="3D92308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泼洒地面抑尘</w:t>
                  </w:r>
                </w:p>
              </w:tc>
            </w:tr>
            <w:tr w14:paraId="3B43F8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1616" w:type="dxa"/>
                  <w:gridSpan w:val="2"/>
                  <w:tcBorders>
                    <w:tl2br w:val="nil"/>
                    <w:tr2bl w:val="nil"/>
                  </w:tcBorders>
                  <w:noWrap w:val="0"/>
                  <w:vAlign w:val="center"/>
                </w:tcPr>
                <w:p w14:paraId="32A6501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合计</w:t>
                  </w:r>
                </w:p>
              </w:tc>
              <w:tc>
                <w:tcPr>
                  <w:tcW w:w="972" w:type="dxa"/>
                  <w:tcBorders>
                    <w:tl2br w:val="nil"/>
                    <w:tr2bl w:val="nil"/>
                  </w:tcBorders>
                  <w:noWrap w:val="0"/>
                  <w:vAlign w:val="center"/>
                </w:tcPr>
                <w:p w14:paraId="3F299AE3">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17.55</w:t>
                  </w:r>
                </w:p>
              </w:tc>
              <w:tc>
                <w:tcPr>
                  <w:tcW w:w="1056" w:type="dxa"/>
                  <w:tcBorders>
                    <w:tl2br w:val="nil"/>
                    <w:tr2bl w:val="nil"/>
                  </w:tcBorders>
                  <w:noWrap w:val="0"/>
                  <w:vAlign w:val="center"/>
                </w:tcPr>
                <w:p w14:paraId="711DC45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9</w:t>
                  </w:r>
                </w:p>
              </w:tc>
              <w:tc>
                <w:tcPr>
                  <w:tcW w:w="1040" w:type="dxa"/>
                  <w:tcBorders>
                    <w:tl2br w:val="nil"/>
                    <w:tr2bl w:val="nil"/>
                  </w:tcBorders>
                  <w:shd w:val="clear" w:color="auto" w:fill="auto"/>
                  <w:noWrap w:val="0"/>
                  <w:vAlign w:val="center"/>
                </w:tcPr>
                <w:p w14:paraId="3D59194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8.96</w:t>
                  </w:r>
                </w:p>
              </w:tc>
              <w:tc>
                <w:tcPr>
                  <w:tcW w:w="972" w:type="dxa"/>
                  <w:tcBorders>
                    <w:tl2br w:val="nil"/>
                    <w:tr2bl w:val="nil"/>
                  </w:tcBorders>
                  <w:noWrap w:val="0"/>
                  <w:vAlign w:val="center"/>
                </w:tcPr>
                <w:p w14:paraId="62F89C3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8.55</w:t>
                  </w:r>
                </w:p>
              </w:tc>
              <w:tc>
                <w:tcPr>
                  <w:tcW w:w="903" w:type="dxa"/>
                  <w:tcBorders>
                    <w:tl2br w:val="nil"/>
                    <w:tr2bl w:val="nil"/>
                  </w:tcBorders>
                  <w:noWrap w:val="0"/>
                  <w:vAlign w:val="center"/>
                </w:tcPr>
                <w:p w14:paraId="6961335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0.04</w:t>
                  </w:r>
                </w:p>
              </w:tc>
              <w:tc>
                <w:tcPr>
                  <w:tcW w:w="1548" w:type="dxa"/>
                  <w:tcBorders>
                    <w:tl2br w:val="nil"/>
                    <w:tr2bl w:val="nil"/>
                  </w:tcBorders>
                  <w:noWrap w:val="0"/>
                  <w:vAlign w:val="center"/>
                </w:tcPr>
                <w:p w14:paraId="5E4ECAC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r>
            <w:tr w14:paraId="48360C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5" w:hRule="atLeast"/>
                <w:jc w:val="center"/>
              </w:trPr>
              <w:tc>
                <w:tcPr>
                  <w:tcW w:w="8107" w:type="dxa"/>
                  <w:gridSpan w:val="8"/>
                  <w:tcBorders>
                    <w:tl2br w:val="nil"/>
                    <w:tr2bl w:val="nil"/>
                  </w:tcBorders>
                  <w:noWrap w:val="0"/>
                  <w:vAlign w:val="center"/>
                </w:tcPr>
                <w:p w14:paraId="4B4EDF6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备注：洗车废水沉淀处理后循环使用，计入循环水量，不计入废水量。</w:t>
                  </w:r>
                </w:p>
              </w:tc>
            </w:tr>
          </w:tbl>
          <w:p w14:paraId="3399D99C">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098DB80A">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524ADD1C">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4E6E1558">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67FF0D5E">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45DE324B">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75532F0C">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color w:val="auto"/>
                <w:highlight w:val="none"/>
              </w:rPr>
            </w:pPr>
          </w:p>
          <w:p w14:paraId="71659DF0">
            <w:pPr>
              <w:rPr>
                <w:color w:val="auto"/>
                <w:highlight w:val="none"/>
              </w:rPr>
            </w:pPr>
          </w:p>
          <w:p w14:paraId="1D81B636">
            <w:pPr>
              <w:rPr>
                <w:color w:val="auto"/>
                <w:highlight w:val="none"/>
              </w:rPr>
            </w:pPr>
          </w:p>
          <w:p w14:paraId="1B9D8530">
            <w:pPr>
              <w:rPr>
                <w:color w:val="auto"/>
                <w:highlight w:val="none"/>
              </w:rPr>
            </w:pPr>
          </w:p>
          <w:p w14:paraId="6BB4A5FC">
            <w:pPr>
              <w:rPr>
                <w:color w:val="auto"/>
                <w:highlight w:val="none"/>
              </w:rPr>
            </w:pPr>
          </w:p>
          <w:p w14:paraId="79F266B8">
            <w:pPr>
              <w:pStyle w:val="28"/>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rFonts w:hint="default" w:ascii="Times New Roman" w:hAnsi="Times New Roman" w:eastAsia="宋体" w:cs="Times New Roman"/>
                <w:color w:val="auto"/>
                <w:kern w:val="0"/>
                <w:sz w:val="24"/>
                <w:szCs w:val="24"/>
                <w:highlight w:val="none"/>
                <w:lang w:val="en-US" w:eastAsia="zh-CN" w:bidi="ar"/>
              </w:rPr>
            </w:pPr>
            <w:r>
              <w:rPr>
                <w:color w:val="auto"/>
                <w:highlight w:val="none"/>
              </w:rPr>
              <w:drawing>
                <wp:inline distT="0" distB="0" distL="114300" distR="114300">
                  <wp:extent cx="3884930" cy="4032250"/>
                  <wp:effectExtent l="0" t="0" r="1270" b="6350"/>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pic:cNvPicPr>
                        </pic:nvPicPr>
                        <pic:blipFill>
                          <a:blip r:embed="rId13"/>
                          <a:stretch>
                            <a:fillRect/>
                          </a:stretch>
                        </pic:blipFill>
                        <pic:spPr>
                          <a:xfrm>
                            <a:off x="0" y="0"/>
                            <a:ext cx="3884930" cy="4032250"/>
                          </a:xfrm>
                          <a:prstGeom prst="rect">
                            <a:avLst/>
                          </a:prstGeom>
                          <a:noFill/>
                          <a:ln>
                            <a:noFill/>
                          </a:ln>
                        </pic:spPr>
                      </pic:pic>
                    </a:graphicData>
                  </a:graphic>
                </wp:inline>
              </w:drawing>
            </w:r>
          </w:p>
          <w:p w14:paraId="5B09C65F">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本项目堆填（砌）期给排水平衡图    单位m</w:t>
            </w:r>
            <w:r>
              <w:rPr>
                <w:rFonts w:hint="eastAsia"/>
                <w:b/>
                <w:bCs/>
                <w:color w:val="auto"/>
                <w:sz w:val="21"/>
                <w:szCs w:val="21"/>
                <w:highlight w:val="none"/>
                <w:vertAlign w:val="superscript"/>
                <w:lang w:val="en-US" w:eastAsia="zh-CN"/>
              </w:rPr>
              <w:t>3</w:t>
            </w:r>
            <w:r>
              <w:rPr>
                <w:rFonts w:hint="eastAsia"/>
                <w:b/>
                <w:bCs/>
                <w:color w:val="auto"/>
                <w:sz w:val="21"/>
                <w:szCs w:val="21"/>
                <w:highlight w:val="none"/>
                <w:lang w:val="en-US" w:eastAsia="zh-CN"/>
              </w:rPr>
              <w:t>/d</w:t>
            </w:r>
          </w:p>
          <w:p w14:paraId="07D2CFDD">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封场后生态恢复期用水：</w:t>
            </w:r>
            <w:r>
              <w:rPr>
                <w:rFonts w:hint="default" w:ascii="Times New Roman" w:hAnsi="Times New Roman" w:eastAsia="宋体" w:cs="Times New Roman"/>
                <w:color w:val="auto"/>
                <w:kern w:val="0"/>
                <w:sz w:val="24"/>
                <w:szCs w:val="24"/>
                <w:highlight w:val="none"/>
                <w:lang w:val="en-US" w:eastAsia="zh-CN" w:bidi="ar"/>
              </w:rPr>
              <w:t>项目</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完成后进行</w:t>
            </w:r>
            <w:r>
              <w:rPr>
                <w:rFonts w:hint="default" w:ascii="Times New Roman" w:hAnsi="Times New Roman" w:eastAsia="宋体" w:cs="Times New Roman"/>
                <w:color w:val="auto"/>
                <w:spacing w:val="0"/>
                <w:kern w:val="0"/>
                <w:sz w:val="24"/>
                <w:szCs w:val="24"/>
                <w:highlight w:val="none"/>
                <w:lang w:val="en-US" w:eastAsia="zh-CN"/>
              </w:rPr>
              <w:t>封场、覆盖</w:t>
            </w:r>
            <w:r>
              <w:rPr>
                <w:rFonts w:hint="eastAsia" w:cs="Times New Roman"/>
                <w:color w:val="auto"/>
                <w:sz w:val="24"/>
                <w:szCs w:val="24"/>
                <w:highlight w:val="none"/>
                <w:lang w:val="en-US" w:eastAsia="zh-CN" w:bidi="ar"/>
              </w:rPr>
              <w:t>满足相关要求后</w:t>
            </w:r>
            <w:r>
              <w:rPr>
                <w:rFonts w:hint="eastAsia" w:cs="Times New Roman"/>
                <w:color w:val="auto"/>
                <w:spacing w:val="0"/>
                <w:kern w:val="0"/>
                <w:sz w:val="24"/>
                <w:szCs w:val="24"/>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default" w:ascii="Times New Roman" w:hAnsi="Times New Roman" w:eastAsia="宋体" w:cs="Times New Roman"/>
                <w:color w:val="auto"/>
                <w:kern w:val="0"/>
                <w:sz w:val="24"/>
                <w:szCs w:val="24"/>
                <w:highlight w:val="none"/>
                <w:lang w:val="en-US" w:eastAsia="zh-CN" w:bidi="ar"/>
              </w:rPr>
              <w:t>。生态恢复期用水定额参照《</w:t>
            </w:r>
            <w:r>
              <w:rPr>
                <w:rFonts w:hint="eastAsia" w:cs="Times New Roman"/>
                <w:color w:val="auto"/>
                <w:kern w:val="0"/>
                <w:sz w:val="24"/>
                <w:szCs w:val="24"/>
                <w:highlight w:val="none"/>
                <w:lang w:val="en-US" w:eastAsia="zh-CN" w:bidi="ar"/>
              </w:rPr>
              <w:t>生活与服务业</w:t>
            </w:r>
            <w:r>
              <w:rPr>
                <w:rFonts w:hint="default" w:ascii="Times New Roman" w:hAnsi="Times New Roman" w:eastAsia="宋体" w:cs="Times New Roman"/>
                <w:color w:val="auto"/>
                <w:kern w:val="0"/>
                <w:sz w:val="24"/>
                <w:szCs w:val="24"/>
                <w:highlight w:val="none"/>
                <w:lang w:val="en-US" w:eastAsia="zh-CN" w:bidi="ar"/>
              </w:rPr>
              <w:t>用水定额 第</w:t>
            </w:r>
            <w:r>
              <w:rPr>
                <w:rFonts w:hint="eastAsia" w:cs="Times New Roman"/>
                <w:color w:val="auto"/>
                <w:kern w:val="0"/>
                <w:sz w:val="24"/>
                <w:szCs w:val="24"/>
                <w:highlight w:val="none"/>
                <w:lang w:val="en-US" w:eastAsia="zh-CN" w:bidi="ar"/>
              </w:rPr>
              <w:t>2</w:t>
            </w:r>
            <w:r>
              <w:rPr>
                <w:rFonts w:hint="default" w:ascii="Times New Roman" w:hAnsi="Times New Roman" w:eastAsia="宋体" w:cs="Times New Roman"/>
                <w:color w:val="auto"/>
                <w:kern w:val="0"/>
                <w:sz w:val="24"/>
                <w:szCs w:val="24"/>
                <w:highlight w:val="none"/>
                <w:lang w:val="en-US" w:eastAsia="zh-CN" w:bidi="ar"/>
              </w:rPr>
              <w:t>部分：</w:t>
            </w:r>
            <w:r>
              <w:rPr>
                <w:rFonts w:hint="eastAsia" w:cs="Times New Roman"/>
                <w:color w:val="auto"/>
                <w:kern w:val="0"/>
                <w:sz w:val="24"/>
                <w:szCs w:val="24"/>
                <w:highlight w:val="none"/>
                <w:lang w:val="en-US" w:eastAsia="zh-CN" w:bidi="ar"/>
              </w:rPr>
              <w:t>服务</w:t>
            </w:r>
            <w:r>
              <w:rPr>
                <w:rFonts w:hint="default" w:ascii="Times New Roman" w:hAnsi="Times New Roman" w:eastAsia="宋体" w:cs="Times New Roman"/>
                <w:color w:val="auto"/>
                <w:kern w:val="0"/>
                <w:sz w:val="24"/>
                <w:szCs w:val="24"/>
                <w:highlight w:val="none"/>
                <w:lang w:val="en-US" w:eastAsia="zh-CN" w:bidi="ar"/>
              </w:rPr>
              <w:t xml:space="preserve">业》（DB13/T </w:t>
            </w:r>
            <w:r>
              <w:rPr>
                <w:rFonts w:hint="eastAsia" w:cs="Times New Roman"/>
                <w:color w:val="auto"/>
                <w:kern w:val="0"/>
                <w:sz w:val="24"/>
                <w:szCs w:val="24"/>
                <w:highlight w:val="none"/>
                <w:lang w:val="en-US" w:eastAsia="zh-CN" w:bidi="ar"/>
              </w:rPr>
              <w:t>5450</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2-</w:t>
            </w:r>
            <w:r>
              <w:rPr>
                <w:rFonts w:hint="default" w:ascii="Times New Roman" w:hAnsi="Times New Roman" w:eastAsia="宋体" w:cs="Times New Roman"/>
                <w:color w:val="auto"/>
                <w:kern w:val="0"/>
                <w:sz w:val="24"/>
                <w:szCs w:val="24"/>
                <w:highlight w:val="none"/>
                <w:lang w:val="en-US" w:eastAsia="zh-CN" w:bidi="ar"/>
              </w:rPr>
              <w:t>2021）并结合项目情况，用水量按</w:t>
            </w:r>
            <w:r>
              <w:rPr>
                <w:rFonts w:hint="eastAsia" w:cs="Times New Roman"/>
                <w:color w:val="auto"/>
                <w:kern w:val="0"/>
                <w:sz w:val="24"/>
                <w:szCs w:val="24"/>
                <w:highlight w:val="none"/>
                <w:lang w:val="en-US" w:eastAsia="zh-CN" w:bidi="ar"/>
              </w:rPr>
              <w:t>0.21m</w:t>
            </w:r>
            <w:r>
              <w:rPr>
                <w:rFonts w:hint="eastAsia" w:cs="Times New Roman"/>
                <w:color w:val="auto"/>
                <w:kern w:val="0"/>
                <w:sz w:val="24"/>
                <w:szCs w:val="24"/>
                <w:highlight w:val="none"/>
                <w:vertAlign w:val="superscript"/>
                <w:lang w:val="en-US" w:eastAsia="zh-CN" w:bidi="ar"/>
              </w:rPr>
              <w:t>3</w:t>
            </w:r>
            <w:r>
              <w:rPr>
                <w:rFonts w:hint="eastAsia" w:cs="Times New Roman"/>
                <w:color w:val="auto"/>
                <w:kern w:val="0"/>
                <w:sz w:val="24"/>
                <w:szCs w:val="24"/>
                <w:highlight w:val="none"/>
                <w:lang w:val="en-US" w:eastAsia="zh-CN" w:bidi="ar"/>
              </w:rPr>
              <w:t>/（m</w:t>
            </w:r>
            <w:r>
              <w:rPr>
                <w:rFonts w:hint="eastAsia" w:cs="Times New Roman"/>
                <w:color w:val="auto"/>
                <w:kern w:val="0"/>
                <w:sz w:val="24"/>
                <w:szCs w:val="24"/>
                <w:highlight w:val="none"/>
                <w:vertAlign w:val="superscript"/>
                <w:lang w:val="en-US" w:eastAsia="zh-CN" w:bidi="ar"/>
              </w:rPr>
              <w:t>2</w:t>
            </w:r>
            <w:r>
              <w:rPr>
                <w:rFonts w:hint="eastAsia" w:cs="Times New Roman"/>
                <w:color w:val="auto"/>
                <w:kern w:val="0"/>
                <w:sz w:val="24"/>
                <w:szCs w:val="24"/>
                <w:highlight w:val="none"/>
                <w:lang w:val="en-US" w:eastAsia="zh-CN" w:bidi="ar"/>
              </w:rPr>
              <w:t>·a）</w:t>
            </w:r>
            <w:r>
              <w:rPr>
                <w:rFonts w:hint="default" w:ascii="Times New Roman" w:hAnsi="Times New Roman" w:eastAsia="宋体" w:cs="Times New Roman"/>
                <w:color w:val="auto"/>
                <w:kern w:val="0"/>
                <w:sz w:val="24"/>
                <w:szCs w:val="24"/>
                <w:highlight w:val="none"/>
                <w:lang w:val="en-US" w:eastAsia="zh-CN" w:bidi="ar"/>
              </w:rPr>
              <w:t>计算，项目</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区面积为5876m</w:t>
            </w:r>
            <w:r>
              <w:rPr>
                <w:rFonts w:hint="eastAsia" w:cs="Times New Roman"/>
                <w:color w:val="auto"/>
                <w:kern w:val="0"/>
                <w:sz w:val="24"/>
                <w:szCs w:val="24"/>
                <w:highlight w:val="none"/>
                <w:vertAlign w:val="superscript"/>
                <w:lang w:val="en-US" w:eastAsia="zh-CN" w:bidi="ar"/>
              </w:rPr>
              <w:t>2</w:t>
            </w:r>
            <w:r>
              <w:rPr>
                <w:rFonts w:hint="default" w:ascii="Times New Roman" w:hAnsi="Times New Roman" w:eastAsia="宋体" w:cs="Times New Roman"/>
                <w:color w:val="auto"/>
                <w:kern w:val="0"/>
                <w:sz w:val="24"/>
                <w:szCs w:val="24"/>
                <w:highlight w:val="none"/>
                <w:lang w:val="en-US" w:eastAsia="zh-CN" w:bidi="ar"/>
              </w:rPr>
              <w:t>，则</w:t>
            </w:r>
            <w:r>
              <w:rPr>
                <w:rFonts w:hint="eastAsia" w:cs="Times New Roman"/>
                <w:color w:val="auto"/>
                <w:kern w:val="0"/>
                <w:sz w:val="24"/>
                <w:szCs w:val="24"/>
                <w:highlight w:val="none"/>
                <w:lang w:val="en-US" w:eastAsia="zh-CN" w:bidi="ar"/>
              </w:rPr>
              <w:t>生态恢复期</w:t>
            </w:r>
            <w:r>
              <w:rPr>
                <w:rFonts w:hint="default" w:ascii="Times New Roman" w:hAnsi="Times New Roman" w:eastAsia="宋体" w:cs="Times New Roman"/>
                <w:color w:val="auto"/>
                <w:kern w:val="0"/>
                <w:sz w:val="24"/>
                <w:szCs w:val="24"/>
                <w:highlight w:val="none"/>
                <w:lang w:val="en-US" w:eastAsia="zh-CN" w:bidi="ar"/>
              </w:rPr>
              <w:t>用水量为</w:t>
            </w:r>
            <w:r>
              <w:rPr>
                <w:rFonts w:hint="eastAsia" w:cs="Times New Roman"/>
                <w:color w:val="auto"/>
                <w:kern w:val="0"/>
                <w:sz w:val="24"/>
                <w:szCs w:val="24"/>
                <w:highlight w:val="none"/>
                <w:lang w:val="en-US" w:eastAsia="zh-CN" w:bidi="ar"/>
              </w:rPr>
              <w:t>1233.96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vertAlign w:val="baseline"/>
                <w:lang w:val="en-US" w:eastAsia="zh-CN"/>
              </w:rPr>
              <w:t>/年</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vertAlign w:val="baseline"/>
                <w:lang w:val="en-US" w:eastAsia="zh-CN"/>
              </w:rPr>
              <w:t>折合</w:t>
            </w:r>
            <w:r>
              <w:rPr>
                <w:rFonts w:hint="eastAsia" w:cs="Times New Roman"/>
                <w:color w:val="auto"/>
                <w:sz w:val="24"/>
                <w:szCs w:val="24"/>
                <w:highlight w:val="none"/>
                <w:vertAlign w:val="baseline"/>
                <w:lang w:val="en-US" w:eastAsia="zh-CN"/>
              </w:rPr>
              <w:t>3.381</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vertAlign w:val="baseline"/>
                <w:lang w:val="en-US" w:eastAsia="zh-CN"/>
              </w:rPr>
              <w:t>/d</w:t>
            </w:r>
            <w:r>
              <w:rPr>
                <w:rFonts w:hint="eastAsia" w:cs="Times New Roman"/>
                <w:color w:val="auto"/>
                <w:sz w:val="24"/>
                <w:szCs w:val="24"/>
                <w:highlight w:val="none"/>
                <w:vertAlign w:val="baseline"/>
                <w:lang w:val="en-US" w:eastAsia="zh-CN"/>
              </w:rPr>
              <w:t>，按365d/a计</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kern w:val="0"/>
                <w:sz w:val="24"/>
                <w:szCs w:val="24"/>
                <w:highlight w:val="none"/>
                <w:lang w:val="en-US" w:eastAsia="zh-CN" w:bidi="ar"/>
              </w:rPr>
              <w:t>，无废水外排。</w:t>
            </w:r>
          </w:p>
          <w:p w14:paraId="65B9C639">
            <w:pPr>
              <w:pStyle w:val="14"/>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240" w:lineRule="auto"/>
              <w:ind w:leftChars="0" w:right="0" w:rightChars="0"/>
              <w:jc w:val="center"/>
              <w:textAlignment w:val="auto"/>
              <w:rPr>
                <w:rFonts w:hint="eastAsia"/>
                <w:color w:val="auto"/>
                <w:highlight w:val="none"/>
                <w:lang w:val="en-US" w:eastAsia="zh-CN"/>
              </w:rPr>
            </w:pPr>
            <w:r>
              <w:rPr>
                <w:color w:val="auto"/>
                <w:highlight w:val="none"/>
              </w:rPr>
              <w:drawing>
                <wp:inline distT="0" distB="0" distL="114300" distR="114300">
                  <wp:extent cx="2691130" cy="1871980"/>
                  <wp:effectExtent l="0" t="0" r="13970" b="13970"/>
                  <wp:docPr id="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pic:cNvPicPr>
                        </pic:nvPicPr>
                        <pic:blipFill>
                          <a:blip r:embed="rId14"/>
                          <a:stretch>
                            <a:fillRect/>
                          </a:stretch>
                        </pic:blipFill>
                        <pic:spPr>
                          <a:xfrm>
                            <a:off x="0" y="0"/>
                            <a:ext cx="2691130" cy="1871980"/>
                          </a:xfrm>
                          <a:prstGeom prst="rect">
                            <a:avLst/>
                          </a:prstGeom>
                          <a:noFill/>
                          <a:ln>
                            <a:noFill/>
                          </a:ln>
                        </pic:spPr>
                      </pic:pic>
                    </a:graphicData>
                  </a:graphic>
                </wp:inline>
              </w:drawing>
            </w:r>
          </w:p>
          <w:p w14:paraId="2372FD03">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本项目生态恢复期给排水平衡图    单位m</w:t>
            </w:r>
            <w:r>
              <w:rPr>
                <w:rFonts w:hint="eastAsia"/>
                <w:b/>
                <w:bCs/>
                <w:color w:val="auto"/>
                <w:sz w:val="21"/>
                <w:szCs w:val="21"/>
                <w:highlight w:val="none"/>
                <w:vertAlign w:val="superscript"/>
                <w:lang w:val="en-US" w:eastAsia="zh-CN"/>
              </w:rPr>
              <w:t>3</w:t>
            </w:r>
            <w:r>
              <w:rPr>
                <w:rFonts w:hint="eastAsia"/>
                <w:b/>
                <w:bCs/>
                <w:color w:val="auto"/>
                <w:sz w:val="21"/>
                <w:szCs w:val="21"/>
                <w:highlight w:val="none"/>
                <w:lang w:val="en-US" w:eastAsia="zh-CN"/>
              </w:rPr>
              <w:t>/d</w:t>
            </w:r>
          </w:p>
          <w:p w14:paraId="7B0DF4B0">
            <w:pPr>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4）堆填（砌）</w:t>
            </w:r>
            <w:r>
              <w:rPr>
                <w:rFonts w:hint="default" w:ascii="Times New Roman" w:hAnsi="Times New Roman" w:eastAsia="宋体" w:cs="Times New Roman"/>
                <w:b w:val="0"/>
                <w:bCs w:val="0"/>
                <w:color w:val="auto"/>
                <w:sz w:val="24"/>
                <w:szCs w:val="24"/>
                <w:highlight w:val="none"/>
                <w:lang w:val="en-US" w:eastAsia="zh-CN"/>
              </w:rPr>
              <w:t>区淋溶水</w:t>
            </w:r>
          </w:p>
          <w:p w14:paraId="73B8A844">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项目实行</w:t>
            </w:r>
            <w:r>
              <w:rPr>
                <w:rFonts w:hint="eastAsia" w:ascii="宋体" w:hAnsi="宋体" w:eastAsia="宋体" w:cs="宋体"/>
                <w:b w:val="0"/>
                <w:bCs w:val="0"/>
                <w:color w:val="auto"/>
                <w:sz w:val="24"/>
                <w:szCs w:val="24"/>
                <w:highlight w:val="none"/>
                <w:lang w:val="en-US" w:eastAsia="zh-CN"/>
              </w:rPr>
              <w:t>“雨污分流”</w:t>
            </w:r>
            <w:r>
              <w:rPr>
                <w:rFonts w:hint="default" w:ascii="Times New Roman" w:hAnsi="Times New Roman" w:eastAsia="宋体" w:cs="Times New Roman"/>
                <w:b w:val="0"/>
                <w:bCs w:val="0"/>
                <w:color w:val="auto"/>
                <w:sz w:val="24"/>
                <w:szCs w:val="24"/>
                <w:highlight w:val="none"/>
                <w:lang w:val="en-US" w:eastAsia="zh-CN"/>
              </w:rPr>
              <w:t>，项目</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区场地周边设置截洪沟，场外雨水经截洪沟收集引至沉砂池，消除水流能量和沉淀后排入周边雨水沟渠。建筑垃圾</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区场地配套设置</w:t>
            </w:r>
            <w:r>
              <w:rPr>
                <w:rFonts w:hint="eastAsia" w:cs="Times New Roman"/>
                <w:b w:val="0"/>
                <w:bCs w:val="0"/>
                <w:color w:val="auto"/>
                <w:sz w:val="24"/>
                <w:szCs w:val="24"/>
                <w:highlight w:val="none"/>
                <w:lang w:val="en-US" w:eastAsia="zh-CN"/>
              </w:rPr>
              <w:t>沉淀</w:t>
            </w:r>
            <w:r>
              <w:rPr>
                <w:rFonts w:hint="default" w:ascii="Times New Roman" w:hAnsi="Times New Roman" w:eastAsia="宋体" w:cs="Times New Roman"/>
                <w:b w:val="0"/>
                <w:bCs w:val="0"/>
                <w:color w:val="auto"/>
                <w:sz w:val="24"/>
                <w:szCs w:val="24"/>
                <w:highlight w:val="none"/>
                <w:lang w:val="en-US" w:eastAsia="zh-CN"/>
              </w:rPr>
              <w:t>池，</w:t>
            </w:r>
            <w:r>
              <w:rPr>
                <w:rFonts w:hint="default" w:ascii="Times New Roman" w:hAnsi="Times New Roman" w:eastAsia="宋体" w:cs="Times New Roman"/>
                <w:b w:val="0"/>
                <w:bCs w:val="0"/>
                <w:color w:val="auto"/>
                <w:sz w:val="24"/>
                <w:szCs w:val="24"/>
                <w:highlight w:val="none"/>
              </w:rPr>
              <w:t>项目主要进行建筑垃圾</w:t>
            </w:r>
            <w:r>
              <w:rPr>
                <w:rFonts w:hint="eastAsia" w:cs="Times New Roman"/>
                <w:b w:val="0"/>
                <w:bCs w:val="0"/>
                <w:color w:val="auto"/>
                <w:sz w:val="24"/>
                <w:szCs w:val="24"/>
                <w:highlight w:val="none"/>
                <w:lang w:eastAsia="zh-CN"/>
              </w:rPr>
              <w:t>堆填（砌）</w:t>
            </w:r>
            <w:r>
              <w:rPr>
                <w:rFonts w:hint="default" w:ascii="Times New Roman" w:hAnsi="Times New Roman" w:eastAsia="宋体" w:cs="Times New Roman"/>
                <w:b w:val="0"/>
                <w:bCs w:val="0"/>
                <w:color w:val="auto"/>
                <w:sz w:val="24"/>
                <w:szCs w:val="24"/>
                <w:highlight w:val="none"/>
              </w:rPr>
              <w:t>，本身不会产生渗滤液，且结合《建筑垃圾处理技术标准》</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CJJ</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T134-2019</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中</w:t>
            </w:r>
            <w:r>
              <w:rPr>
                <w:rFonts w:hint="eastAsia" w:ascii="宋体" w:hAnsi="宋体" w:eastAsia="宋体" w:cs="宋体"/>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10.6章节</w:t>
            </w:r>
            <w:r>
              <w:rPr>
                <w:rFonts w:hint="eastAsia" w:ascii="宋体" w:hAnsi="宋体" w:eastAsia="宋体" w:cs="宋体"/>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中可知</w:t>
            </w:r>
            <w:r>
              <w:rPr>
                <w:rFonts w:hint="default" w:ascii="Times New Roman" w:hAnsi="Times New Roman" w:eastAsia="宋体" w:cs="Times New Roman"/>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建筑垃圾渗出水量可忽略不计</w:t>
            </w:r>
            <w:r>
              <w:rPr>
                <w:rFonts w:hint="eastAsia" w:ascii="宋体" w:hAnsi="宋体" w:eastAsia="宋体" w:cs="宋体"/>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。建筑垃圾</w:t>
            </w:r>
            <w:r>
              <w:rPr>
                <w:rFonts w:hint="eastAsia" w:cs="Times New Roman"/>
                <w:b w:val="0"/>
                <w:bCs w:val="0"/>
                <w:color w:val="auto"/>
                <w:sz w:val="24"/>
                <w:szCs w:val="24"/>
                <w:highlight w:val="none"/>
                <w:lang w:eastAsia="zh-CN"/>
              </w:rPr>
              <w:t>堆填（砌）</w:t>
            </w:r>
            <w:r>
              <w:rPr>
                <w:rFonts w:hint="default" w:ascii="Times New Roman" w:hAnsi="Times New Roman" w:eastAsia="宋体" w:cs="Times New Roman"/>
                <w:b w:val="0"/>
                <w:bCs w:val="0"/>
                <w:color w:val="auto"/>
                <w:sz w:val="24"/>
                <w:szCs w:val="24"/>
                <w:highlight w:val="none"/>
              </w:rPr>
              <w:t>区的淋溶水主要来自于降雨时进入</w:t>
            </w:r>
            <w:r>
              <w:rPr>
                <w:rFonts w:hint="default" w:ascii="Times New Roman" w:hAnsi="Times New Roman" w:eastAsia="宋体" w:cs="Times New Roman"/>
                <w:b w:val="0"/>
                <w:bCs w:val="0"/>
                <w:color w:val="auto"/>
                <w:sz w:val="24"/>
                <w:szCs w:val="24"/>
                <w:highlight w:val="none"/>
                <w:lang w:val="en-US" w:eastAsia="zh-CN"/>
              </w:rPr>
              <w:t>场区</w:t>
            </w:r>
            <w:r>
              <w:rPr>
                <w:rFonts w:hint="default" w:ascii="Times New Roman" w:hAnsi="Times New Roman" w:eastAsia="宋体" w:cs="Times New Roman"/>
                <w:b w:val="0"/>
                <w:bCs w:val="0"/>
                <w:color w:val="auto"/>
                <w:sz w:val="24"/>
                <w:szCs w:val="24"/>
                <w:highlight w:val="none"/>
              </w:rPr>
              <w:t>的</w:t>
            </w:r>
            <w:r>
              <w:rPr>
                <w:rFonts w:hint="eastAsia" w:cs="Times New Roman"/>
                <w:b w:val="0"/>
                <w:bCs w:val="0"/>
                <w:color w:val="auto"/>
                <w:sz w:val="24"/>
                <w:szCs w:val="24"/>
                <w:highlight w:val="none"/>
                <w:lang w:val="en-US" w:eastAsia="zh-CN"/>
              </w:rPr>
              <w:t>雨水</w:t>
            </w:r>
            <w:r>
              <w:rPr>
                <w:rFonts w:hint="default" w:ascii="Times New Roman" w:hAnsi="Times New Roman" w:eastAsia="宋体" w:cs="Times New Roman"/>
                <w:b w:val="0"/>
                <w:bCs w:val="0"/>
                <w:color w:val="auto"/>
                <w:sz w:val="24"/>
                <w:szCs w:val="24"/>
                <w:highlight w:val="none"/>
              </w:rPr>
              <w:t>下渗造成，</w:t>
            </w:r>
            <w:r>
              <w:rPr>
                <w:rFonts w:hint="default" w:ascii="Times New Roman" w:hAnsi="Times New Roman" w:eastAsia="宋体" w:cs="Times New Roman"/>
                <w:b w:val="0"/>
                <w:bCs w:val="0"/>
                <w:color w:val="auto"/>
                <w:sz w:val="24"/>
                <w:szCs w:val="24"/>
                <w:highlight w:val="none"/>
                <w:lang w:val="en-US" w:eastAsia="zh-CN"/>
              </w:rPr>
              <w:t>主要受降雨的影响。根据降雨量、渗出系数及</w:t>
            </w:r>
            <w:r>
              <w:rPr>
                <w:rFonts w:hint="eastAsia" w:cs="Times New Roman"/>
                <w:b w:val="0"/>
                <w:bCs w:val="0"/>
                <w:color w:val="auto"/>
                <w:sz w:val="24"/>
                <w:szCs w:val="24"/>
                <w:highlight w:val="none"/>
                <w:lang w:val="en-US" w:eastAsia="zh-CN"/>
              </w:rPr>
              <w:t>堆填</w:t>
            </w:r>
            <w:r>
              <w:rPr>
                <w:rFonts w:hint="default" w:ascii="Times New Roman" w:hAnsi="Times New Roman" w:eastAsia="宋体" w:cs="Times New Roman"/>
                <w:b w:val="0"/>
                <w:bCs w:val="0"/>
                <w:color w:val="auto"/>
                <w:sz w:val="24"/>
                <w:szCs w:val="24"/>
                <w:highlight w:val="none"/>
                <w:lang w:val="en-US" w:eastAsia="zh-CN"/>
              </w:rPr>
              <w:t>面积通常采用以下公式计算：</w:t>
            </w:r>
          </w:p>
          <w:p w14:paraId="6A9A33D0">
            <w:pPr>
              <w:pStyle w:val="28"/>
              <w:ind w:left="0" w:leftChars="0" w:firstLine="0" w:firstLineChars="0"/>
              <w:jc w:val="center"/>
              <w:rPr>
                <w:rFonts w:hint="default" w:ascii="Times New Roman" w:hAnsi="Times New Roman" w:eastAsia="宋体" w:cs="Times New Roman"/>
                <w:b w:val="0"/>
                <w:bCs w:val="0"/>
                <w:color w:val="auto"/>
                <w:sz w:val="24"/>
                <w:szCs w:val="24"/>
                <w:highlight w:val="none"/>
                <w:vertAlign w:val="superscript"/>
                <w:lang w:val="en-US" w:eastAsia="zh-CN"/>
              </w:rPr>
            </w:pPr>
            <w:r>
              <w:rPr>
                <w:rFonts w:hint="default" w:ascii="Times New Roman" w:hAnsi="Times New Roman" w:eastAsia="宋体" w:cs="Times New Roman"/>
                <w:b w:val="0"/>
                <w:bCs w:val="0"/>
                <w:color w:val="auto"/>
                <w:sz w:val="24"/>
                <w:szCs w:val="24"/>
                <w:highlight w:val="none"/>
                <w:lang w:val="en-US" w:eastAsia="zh-CN"/>
              </w:rPr>
              <w:t>Q=C×I×A×10</w:t>
            </w:r>
            <w:r>
              <w:rPr>
                <w:rFonts w:hint="default" w:ascii="Times New Roman" w:hAnsi="Times New Roman" w:eastAsia="宋体" w:cs="Times New Roman"/>
                <w:b w:val="0"/>
                <w:bCs w:val="0"/>
                <w:color w:val="auto"/>
                <w:sz w:val="24"/>
                <w:szCs w:val="24"/>
                <w:highlight w:val="none"/>
                <w:vertAlign w:val="superscript"/>
                <w:lang w:val="en-US" w:eastAsia="zh-CN"/>
              </w:rPr>
              <w:t>-3</w:t>
            </w:r>
          </w:p>
          <w:p w14:paraId="6D8105D3">
            <w:pPr>
              <w:ind w:left="0" w:leftChars="0" w:firstLine="0" w:firstLineChars="0"/>
              <w:rPr>
                <w:rFonts w:hint="eastAsia"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式中</w:t>
            </w:r>
            <w:r>
              <w:rPr>
                <w:rFonts w:hint="eastAsia" w:cs="Times New Roman"/>
                <w:b w:val="0"/>
                <w:bCs w:val="0"/>
                <w:color w:val="auto"/>
                <w:sz w:val="24"/>
                <w:szCs w:val="24"/>
                <w:highlight w:val="none"/>
                <w:lang w:val="en-US" w:eastAsia="zh-CN"/>
              </w:rPr>
              <w:t>：</w:t>
            </w:r>
          </w:p>
          <w:p w14:paraId="0A5B45B9">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Q</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日渗出液</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/d</w:t>
            </w:r>
            <w:r>
              <w:rPr>
                <w:rFonts w:hint="eastAsia" w:cs="Times New Roman"/>
                <w:b w:val="0"/>
                <w:bCs w:val="0"/>
                <w:color w:val="auto"/>
                <w:sz w:val="24"/>
                <w:szCs w:val="24"/>
                <w:highlight w:val="none"/>
                <w:lang w:val="en-US" w:eastAsia="zh-CN"/>
              </w:rPr>
              <w:t>）。</w:t>
            </w:r>
          </w:p>
          <w:p w14:paraId="0E08BD3D">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I</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降雨量</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mm/d</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，根据查询，迁安市多年平均最大日降水量79.93mm。</w:t>
            </w:r>
          </w:p>
          <w:p w14:paraId="5971BADD">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A</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汇水面积</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，本项目建筑垃圾</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区，总汇水面积为</w:t>
            </w:r>
            <w:r>
              <w:rPr>
                <w:rFonts w:hint="eastAsia" w:cs="Times New Roman"/>
                <w:b w:val="0"/>
                <w:bCs w:val="0"/>
                <w:color w:val="auto"/>
                <w:sz w:val="24"/>
                <w:szCs w:val="24"/>
                <w:highlight w:val="none"/>
                <w:lang w:val="en-US" w:eastAsia="zh-CN"/>
              </w:rPr>
              <w:t>5876</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w:t>
            </w:r>
          </w:p>
          <w:p w14:paraId="78E46969">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C</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雨量转为渗出液的比率，与土质、地形种类、堆填方式、当地蒸发量有关。一般为0.3-0.8</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本项目取0.6。项目</w:t>
            </w:r>
            <w:r>
              <w:rPr>
                <w:rFonts w:hint="eastAsia" w:cs="Times New Roman"/>
                <w:b w:val="0"/>
                <w:bCs w:val="0"/>
                <w:color w:val="auto"/>
                <w:sz w:val="24"/>
                <w:szCs w:val="24"/>
                <w:highlight w:val="none"/>
                <w:lang w:val="en-US" w:eastAsia="zh-CN"/>
              </w:rPr>
              <w:t>淋溶水最大</w:t>
            </w:r>
            <w:r>
              <w:rPr>
                <w:rFonts w:hint="default" w:ascii="Times New Roman" w:hAnsi="Times New Roman" w:eastAsia="宋体" w:cs="Times New Roman"/>
                <w:b w:val="0"/>
                <w:bCs w:val="0"/>
                <w:color w:val="auto"/>
                <w:sz w:val="24"/>
                <w:szCs w:val="24"/>
                <w:highlight w:val="none"/>
                <w:lang w:val="en-US" w:eastAsia="zh-CN"/>
              </w:rPr>
              <w:t>产生量为</w:t>
            </w:r>
            <w:r>
              <w:rPr>
                <w:rFonts w:hint="eastAsia" w:cs="Times New Roman"/>
                <w:b w:val="0"/>
                <w:bCs w:val="0"/>
                <w:color w:val="auto"/>
                <w:sz w:val="24"/>
                <w:szCs w:val="24"/>
                <w:highlight w:val="none"/>
                <w:lang w:val="en-US" w:eastAsia="zh-CN"/>
              </w:rPr>
              <w:t>281.8</w:t>
            </w:r>
            <w:r>
              <w:rPr>
                <w:rFonts w:hint="default" w:ascii="Times New Roman" w:hAnsi="Times New Roman" w:eastAsia="宋体" w:cs="Times New Roman"/>
                <w:b w:val="0"/>
                <w:bCs w:val="0"/>
                <w:color w:val="auto"/>
                <w:sz w:val="24"/>
                <w:szCs w:val="24"/>
                <w:highlight w:val="none"/>
                <w:lang w:val="en-US" w:eastAsia="zh-CN"/>
              </w:rPr>
              <w:t>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/d，项目设计</w:t>
            </w:r>
            <w:r>
              <w:rPr>
                <w:rFonts w:hint="eastAsia" w:cs="Times New Roman"/>
                <w:b w:val="0"/>
                <w:bCs w:val="0"/>
                <w:color w:val="auto"/>
                <w:sz w:val="24"/>
                <w:szCs w:val="24"/>
                <w:highlight w:val="none"/>
                <w:lang w:val="en-US" w:eastAsia="zh-CN"/>
              </w:rPr>
              <w:t>沉淀</w:t>
            </w:r>
            <w:r>
              <w:rPr>
                <w:rFonts w:hint="default" w:ascii="Times New Roman" w:hAnsi="Times New Roman" w:eastAsia="宋体" w:cs="Times New Roman"/>
                <w:b w:val="0"/>
                <w:bCs w:val="0"/>
                <w:color w:val="auto"/>
                <w:sz w:val="24"/>
                <w:szCs w:val="24"/>
                <w:highlight w:val="none"/>
                <w:lang w:val="en-US" w:eastAsia="zh-CN"/>
              </w:rPr>
              <w:t>池容积为300m</w:t>
            </w:r>
            <w:r>
              <w:rPr>
                <w:rFonts w:hint="default" w:ascii="Times New Roman" w:hAnsi="Times New Roman" w:eastAsia="宋体" w:cs="Times New Roman"/>
                <w:b w:val="0"/>
                <w:bCs w:val="0"/>
                <w:color w:val="auto"/>
                <w:sz w:val="24"/>
                <w:szCs w:val="24"/>
                <w:highlight w:val="none"/>
                <w:vertAlign w:val="superscript"/>
                <w:lang w:val="en-US" w:eastAsia="zh-CN"/>
              </w:rPr>
              <w:t>3</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区淋溶水收集后，分批次回用于</w:t>
            </w:r>
            <w:r>
              <w:rPr>
                <w:rFonts w:hint="eastAsia" w:cs="Times New Roman"/>
                <w:b w:val="0"/>
                <w:bCs w:val="0"/>
                <w:color w:val="auto"/>
                <w:sz w:val="24"/>
                <w:szCs w:val="24"/>
                <w:highlight w:val="none"/>
                <w:lang w:val="en-US" w:eastAsia="zh-CN"/>
              </w:rPr>
              <w:t>堆填（砌）</w:t>
            </w:r>
            <w:r>
              <w:rPr>
                <w:rFonts w:hint="default" w:ascii="Times New Roman" w:hAnsi="Times New Roman" w:eastAsia="宋体" w:cs="Times New Roman"/>
                <w:b w:val="0"/>
                <w:bCs w:val="0"/>
                <w:color w:val="auto"/>
                <w:sz w:val="24"/>
                <w:szCs w:val="24"/>
                <w:highlight w:val="none"/>
                <w:lang w:val="en-US" w:eastAsia="zh-CN"/>
              </w:rPr>
              <w:t>区喷淋</w:t>
            </w:r>
            <w:r>
              <w:rPr>
                <w:rFonts w:hint="eastAsia" w:cs="Times New Roman"/>
                <w:b w:val="0"/>
                <w:bCs w:val="0"/>
                <w:color w:val="auto"/>
                <w:sz w:val="24"/>
                <w:szCs w:val="24"/>
                <w:highlight w:val="none"/>
                <w:lang w:val="en-US" w:eastAsia="zh-CN"/>
              </w:rPr>
              <w:t>抑尘</w:t>
            </w:r>
            <w:r>
              <w:rPr>
                <w:rFonts w:hint="default" w:ascii="Times New Roman" w:hAnsi="Times New Roman" w:eastAsia="宋体" w:cs="Times New Roman"/>
                <w:b w:val="0"/>
                <w:bCs w:val="0"/>
                <w:color w:val="auto"/>
                <w:sz w:val="24"/>
                <w:szCs w:val="24"/>
                <w:highlight w:val="none"/>
                <w:lang w:val="en-US" w:eastAsia="zh-CN"/>
              </w:rPr>
              <w:t>的补充水，不外排。</w:t>
            </w:r>
          </w:p>
          <w:p w14:paraId="6696EE73">
            <w:pPr>
              <w:numPr>
                <w:ilvl w:val="0"/>
                <w:numId w:val="18"/>
              </w:numPr>
              <w:bidi w:val="0"/>
              <w:rPr>
                <w:rFonts w:hint="default"/>
                <w:color w:val="auto"/>
                <w:sz w:val="24"/>
                <w:szCs w:val="24"/>
                <w:highlight w:val="none"/>
              </w:rPr>
            </w:pPr>
            <w:r>
              <w:rPr>
                <w:rFonts w:hint="default"/>
                <w:color w:val="auto"/>
                <w:sz w:val="24"/>
                <w:szCs w:val="24"/>
                <w:highlight w:val="none"/>
              </w:rPr>
              <w:t>取暖</w:t>
            </w:r>
          </w:p>
          <w:p w14:paraId="098CDBD4">
            <w:pPr>
              <w:bidi w:val="0"/>
              <w:rPr>
                <w:rFonts w:hint="eastAsia"/>
                <w:color w:val="auto"/>
                <w:highlight w:val="none"/>
                <w:lang w:val="en-US" w:eastAsia="zh-CN"/>
              </w:rPr>
            </w:pPr>
            <w:r>
              <w:rPr>
                <w:rFonts w:hint="eastAsia"/>
                <w:color w:val="auto"/>
                <w:highlight w:val="none"/>
                <w:lang w:val="en-US" w:eastAsia="zh-CN"/>
              </w:rPr>
              <w:t>本项目</w:t>
            </w:r>
            <w:r>
              <w:rPr>
                <w:rFonts w:hint="default"/>
                <w:color w:val="auto"/>
                <w:highlight w:val="none"/>
                <w:lang w:val="en-US" w:eastAsia="zh-CN"/>
              </w:rPr>
              <w:t>办公取暖</w:t>
            </w:r>
            <w:r>
              <w:rPr>
                <w:rFonts w:hint="eastAsia"/>
                <w:color w:val="auto"/>
                <w:highlight w:val="none"/>
                <w:lang w:val="en-US" w:eastAsia="zh-CN"/>
              </w:rPr>
              <w:t>采用单体空调取暖，以电为能源。</w:t>
            </w:r>
          </w:p>
          <w:p w14:paraId="7C7E911C">
            <w:pPr>
              <w:numPr>
                <w:ilvl w:val="0"/>
                <w:numId w:val="19"/>
              </w:numPr>
              <w:bidi w:val="0"/>
              <w:rPr>
                <w:rFonts w:hint="eastAsia"/>
                <w:color w:val="auto"/>
                <w:highlight w:val="none"/>
                <w:lang w:val="en-US" w:eastAsia="zh-CN"/>
              </w:rPr>
            </w:pPr>
            <w:r>
              <w:rPr>
                <w:rFonts w:hint="eastAsia"/>
                <w:color w:val="auto"/>
                <w:highlight w:val="none"/>
                <w:lang w:val="en-US" w:eastAsia="zh-CN"/>
              </w:rPr>
              <w:t>雨水导排系统</w:t>
            </w:r>
          </w:p>
          <w:p w14:paraId="506E11F3">
            <w:pPr>
              <w:bidi w:val="0"/>
              <w:rPr>
                <w:rFonts w:hint="default"/>
                <w:color w:val="auto"/>
                <w:highlight w:val="none"/>
                <w:lang w:val="en-US" w:eastAsia="zh-CN"/>
              </w:rPr>
            </w:pPr>
            <w:r>
              <w:rPr>
                <w:rFonts w:hint="default"/>
                <w:color w:val="auto"/>
                <w:highlight w:val="none"/>
                <w:lang w:val="en-US" w:eastAsia="zh-CN"/>
              </w:rPr>
              <w:t>（1）雨水导排系统设计原则</w:t>
            </w:r>
          </w:p>
          <w:p w14:paraId="764EBCAA">
            <w:pPr>
              <w:bidi w:val="0"/>
              <w:rPr>
                <w:rFonts w:hint="default"/>
                <w:color w:val="auto"/>
                <w:highlight w:val="none"/>
                <w:lang w:val="en-US" w:eastAsia="zh-CN"/>
              </w:rPr>
            </w:pPr>
            <w:r>
              <w:rPr>
                <w:rFonts w:hint="eastAsia"/>
                <w:color w:val="auto"/>
                <w:highlight w:val="none"/>
                <w:lang w:val="en-US" w:eastAsia="zh-CN"/>
              </w:rPr>
              <w:t>堆填（砌）</w:t>
            </w:r>
            <w:r>
              <w:rPr>
                <w:rFonts w:hint="default"/>
                <w:color w:val="auto"/>
                <w:highlight w:val="none"/>
                <w:lang w:val="en-US" w:eastAsia="zh-CN"/>
              </w:rPr>
              <w:t>场应设置独立的雨水导排管理系统，设计原则如下：</w:t>
            </w:r>
          </w:p>
          <w:p w14:paraId="5D58C897">
            <w:pPr>
              <w:bidi w:val="0"/>
              <w:rPr>
                <w:rFonts w:hint="default"/>
                <w:color w:val="auto"/>
                <w:highlight w:val="none"/>
                <w:lang w:val="en-US" w:eastAsia="zh-CN"/>
              </w:rPr>
            </w:pPr>
            <w:r>
              <w:rPr>
                <w:rFonts w:hint="default"/>
                <w:color w:val="auto"/>
                <w:highlight w:val="none"/>
                <w:lang w:val="en-US" w:eastAsia="zh-CN"/>
              </w:rPr>
              <w:t>①场外汇水和场内未作业区域的汇水应直接排放，尽量减少雨水侵入固废堆体。</w:t>
            </w:r>
          </w:p>
          <w:p w14:paraId="0776E300">
            <w:pPr>
              <w:bidi w:val="0"/>
              <w:rPr>
                <w:rFonts w:hint="default"/>
                <w:color w:val="auto"/>
                <w:highlight w:val="none"/>
                <w:lang w:val="en-US" w:eastAsia="zh-CN"/>
              </w:rPr>
            </w:pPr>
            <w:r>
              <w:rPr>
                <w:rFonts w:hint="default"/>
                <w:color w:val="auto"/>
                <w:highlight w:val="none"/>
                <w:lang w:val="en-US" w:eastAsia="zh-CN"/>
              </w:rPr>
              <w:t>②排水能力应满足防洪标准要求。</w:t>
            </w:r>
          </w:p>
          <w:p w14:paraId="69879BA6">
            <w:pPr>
              <w:bidi w:val="0"/>
              <w:rPr>
                <w:rFonts w:hint="default"/>
                <w:color w:val="auto"/>
                <w:highlight w:val="none"/>
                <w:lang w:val="en-US" w:eastAsia="zh-CN"/>
              </w:rPr>
            </w:pPr>
            <w:r>
              <w:rPr>
                <w:rFonts w:hint="default"/>
                <w:color w:val="auto"/>
                <w:highlight w:val="none"/>
                <w:lang w:val="en-US" w:eastAsia="zh-CN"/>
              </w:rPr>
              <w:t>（2）雨水导排系统设计</w:t>
            </w:r>
          </w:p>
          <w:p w14:paraId="148561A1">
            <w:pPr>
              <w:bidi w:val="0"/>
              <w:rPr>
                <w:rFonts w:hint="default"/>
                <w:color w:val="auto"/>
                <w:highlight w:val="none"/>
                <w:lang w:val="en-US" w:eastAsia="zh-CN"/>
              </w:rPr>
            </w:pPr>
            <w:r>
              <w:rPr>
                <w:rFonts w:hint="default"/>
                <w:color w:val="auto"/>
                <w:highlight w:val="none"/>
                <w:lang w:val="en-US" w:eastAsia="zh-CN"/>
              </w:rPr>
              <w:t>雨水导排系统由库区四周</w:t>
            </w:r>
            <w:r>
              <w:rPr>
                <w:rFonts w:hint="eastAsia"/>
                <w:color w:val="auto"/>
                <w:highlight w:val="none"/>
                <w:lang w:val="en-US" w:eastAsia="zh-CN"/>
              </w:rPr>
              <w:t>截</w:t>
            </w:r>
            <w:r>
              <w:rPr>
                <w:rFonts w:hint="default"/>
                <w:color w:val="auto"/>
                <w:highlight w:val="none"/>
                <w:lang w:val="en-US" w:eastAsia="zh-CN"/>
              </w:rPr>
              <w:t>洪沟、雨水收集明渠以及必要的集水井、排放管组成。</w:t>
            </w:r>
          </w:p>
          <w:p w14:paraId="14A7AD89">
            <w:pPr>
              <w:bidi w:val="0"/>
              <w:rPr>
                <w:rFonts w:hint="default"/>
                <w:color w:val="auto"/>
                <w:highlight w:val="none"/>
                <w:lang w:val="en-US" w:eastAsia="zh-CN"/>
              </w:rPr>
            </w:pPr>
            <w:r>
              <w:rPr>
                <w:rFonts w:hint="default"/>
                <w:color w:val="auto"/>
                <w:highlight w:val="none"/>
                <w:lang w:val="en-US" w:eastAsia="zh-CN"/>
              </w:rPr>
              <w:t>雨水收集明渠随着固废堆填堆体的建设而修建。雨水收集明渠根据其服务年限分为三类：永久性，半永久性和临时性排水沟渠。永久性排水沟渠按20年以上考虑，半永久性沟渠一般服务年限为3～10年，临时性沟渠则少于3年。永久性沟渠作为堆体雨水永久性导排设施，一般在完成生态修复后的固废场表面上修建。固废表面的径流汇入位于库区四周排水沟内，排出场外。</w:t>
            </w:r>
          </w:p>
          <w:p w14:paraId="5807232D">
            <w:pPr>
              <w:bidi w:val="0"/>
              <w:rPr>
                <w:rFonts w:hint="default"/>
                <w:color w:val="auto"/>
                <w:highlight w:val="none"/>
                <w:lang w:val="en-US" w:eastAsia="zh-CN"/>
              </w:rPr>
            </w:pPr>
            <w:r>
              <w:rPr>
                <w:rFonts w:hint="eastAsia"/>
                <w:color w:val="auto"/>
                <w:highlight w:val="none"/>
                <w:lang w:val="en-US" w:eastAsia="zh-CN"/>
              </w:rPr>
              <w:t>截</w:t>
            </w:r>
            <w:r>
              <w:rPr>
                <w:rFonts w:hint="default"/>
                <w:color w:val="auto"/>
                <w:highlight w:val="none"/>
                <w:lang w:val="en-US" w:eastAsia="zh-CN"/>
              </w:rPr>
              <w:t>洪沟：沿坑边界设置，拦截外围山坡径流。库区周边</w:t>
            </w:r>
            <w:r>
              <w:rPr>
                <w:rFonts w:hint="eastAsia"/>
                <w:color w:val="auto"/>
                <w:highlight w:val="none"/>
                <w:lang w:val="en-US" w:eastAsia="zh-CN"/>
              </w:rPr>
              <w:t>截</w:t>
            </w:r>
            <w:r>
              <w:rPr>
                <w:rFonts w:hint="default"/>
                <w:color w:val="auto"/>
                <w:highlight w:val="none"/>
                <w:lang w:val="en-US" w:eastAsia="zh-CN"/>
              </w:rPr>
              <w:t>洪沟的设置可避免雨水对</w:t>
            </w:r>
            <w:r>
              <w:rPr>
                <w:rFonts w:hint="eastAsia"/>
                <w:color w:val="auto"/>
                <w:highlight w:val="none"/>
                <w:lang w:val="en-US" w:eastAsia="zh-CN"/>
              </w:rPr>
              <w:t>堆填（砌）</w:t>
            </w:r>
            <w:r>
              <w:rPr>
                <w:rFonts w:hint="default"/>
                <w:color w:val="auto"/>
                <w:highlight w:val="none"/>
                <w:lang w:val="en-US" w:eastAsia="zh-CN"/>
              </w:rPr>
              <w:t>库区冲刷。堆体表面雨水收集明渠：由平台排水沟、作业道路排水沟、坡顶挡水堤和四周排水沟组成的堆体雨水收集网络，将雨水引向</w:t>
            </w:r>
            <w:r>
              <w:rPr>
                <w:rFonts w:hint="eastAsia"/>
                <w:color w:val="auto"/>
                <w:highlight w:val="none"/>
                <w:lang w:val="en-US" w:eastAsia="zh-CN"/>
              </w:rPr>
              <w:t>沉砂池，消除水流能量和沉淀后排入周边雨水沟渠</w:t>
            </w:r>
            <w:r>
              <w:rPr>
                <w:rFonts w:hint="default"/>
                <w:color w:val="auto"/>
                <w:highlight w:val="none"/>
                <w:lang w:val="en-US" w:eastAsia="zh-CN"/>
              </w:rPr>
              <w:t>。在</w:t>
            </w:r>
            <w:r>
              <w:rPr>
                <w:rFonts w:hint="eastAsia"/>
                <w:color w:val="auto"/>
                <w:highlight w:val="none"/>
                <w:lang w:val="en-US" w:eastAsia="zh-CN"/>
              </w:rPr>
              <w:t>堆填（砌）</w:t>
            </w:r>
            <w:r>
              <w:rPr>
                <w:rFonts w:hint="default"/>
                <w:color w:val="auto"/>
                <w:highlight w:val="none"/>
                <w:lang w:val="en-US" w:eastAsia="zh-CN"/>
              </w:rPr>
              <w:t>作业过程中，根据实际情况，</w:t>
            </w:r>
            <w:r>
              <w:rPr>
                <w:rFonts w:hint="default" w:ascii="Times New Roman" w:hAnsi="Times New Roman" w:eastAsia="宋体" w:cs="Times New Roman"/>
                <w:color w:val="auto"/>
                <w:highlight w:val="none"/>
                <w:lang w:val="en-US" w:eastAsia="zh-CN"/>
              </w:rPr>
              <w:t>可选择使用高密度聚乙烯土工膜（HDPE）或线型低密度聚乙烯膜（LLDPE）覆盖</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膜的厚度宜为0.5mm</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及其他临时性排水设施如排水管和排水泵等协助完成雨污分流。库区周边排水沟断面设计为梯形。</w:t>
            </w:r>
          </w:p>
          <w:p w14:paraId="39AFF1CD">
            <w:pPr>
              <w:numPr>
                <w:ilvl w:val="0"/>
                <w:numId w:val="19"/>
              </w:numPr>
              <w:bidi w:val="0"/>
              <w:ind w:left="0" w:leftChars="0" w:firstLine="480" w:firstLineChars="200"/>
              <w:rPr>
                <w:rFonts w:hint="eastAsia"/>
                <w:color w:val="auto"/>
                <w:highlight w:val="none"/>
                <w:lang w:val="en-US" w:eastAsia="zh-CN"/>
              </w:rPr>
            </w:pPr>
            <w:r>
              <w:rPr>
                <w:rFonts w:hint="eastAsia"/>
                <w:color w:val="auto"/>
                <w:highlight w:val="none"/>
                <w:lang w:val="en-US" w:eastAsia="zh-CN"/>
              </w:rPr>
              <w:t>运输道路</w:t>
            </w:r>
          </w:p>
          <w:p w14:paraId="0BFADAA3">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（1）外部道路运输</w:t>
            </w:r>
          </w:p>
          <w:p w14:paraId="7B98742A">
            <w:pPr>
              <w:bidi w:val="0"/>
              <w:rPr>
                <w:rFonts w:hint="eastAsia"/>
                <w:color w:val="auto"/>
                <w:highlight w:val="none"/>
                <w:lang w:val="en-US" w:eastAsia="zh-CN"/>
              </w:rPr>
            </w:pPr>
            <w:r>
              <w:rPr>
                <w:rFonts w:hint="eastAsia"/>
                <w:color w:val="auto"/>
                <w:highlight w:val="none"/>
                <w:lang w:val="en-US" w:eastAsia="zh-CN"/>
              </w:rPr>
              <w:t>运输车辆依托现有道路，经迁擂公路、乡村路运输进场。运输过程中覆盖篷布，密闭运输。</w:t>
            </w:r>
          </w:p>
          <w:p w14:paraId="1753C65D">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（2）内部道路运输</w:t>
            </w:r>
          </w:p>
          <w:p w14:paraId="6069A4E1">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本项目道路工程主要为进场道路和堆填（砌）临时作业道路。</w:t>
            </w:r>
          </w:p>
          <w:p w14:paraId="50DC13F8">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color w:val="auto"/>
                <w:highlight w:val="none"/>
                <w:lang w:val="en-US" w:eastAsia="zh-CN"/>
              </w:rPr>
            </w:pPr>
            <w:r>
              <w:rPr>
                <w:rFonts w:hint="eastAsia"/>
                <w:color w:val="auto"/>
                <w:highlight w:val="none"/>
                <w:lang w:val="en-US" w:eastAsia="zh-CN"/>
              </w:rPr>
              <w:t>进场道路为宽度不小于7m的水泥混凝土道路，在堆填（砌）作业临时道路的终端向库区设置车辆回转平台，主要用于运输车通行。</w:t>
            </w:r>
          </w:p>
          <w:p w14:paraId="7E542E48">
            <w:pPr>
              <w:numPr>
                <w:ilvl w:val="0"/>
                <w:numId w:val="19"/>
              </w:numPr>
              <w:bidi w:val="0"/>
              <w:ind w:left="0" w:leftChars="0" w:firstLine="480" w:firstLineChars="200"/>
              <w:rPr>
                <w:rFonts w:hint="default"/>
                <w:color w:val="auto"/>
                <w:sz w:val="24"/>
                <w:szCs w:val="24"/>
                <w:highlight w:val="none"/>
              </w:rPr>
            </w:pPr>
            <w:r>
              <w:rPr>
                <w:rFonts w:hint="default"/>
                <w:color w:val="auto"/>
                <w:sz w:val="24"/>
                <w:szCs w:val="24"/>
                <w:highlight w:val="none"/>
              </w:rPr>
              <w:t>项目的地理位置、平面布置与周边关系</w:t>
            </w:r>
          </w:p>
          <w:p w14:paraId="182C00E8">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地理位置：本项目位于迁安市夏官营镇罗庄子村西南，</w:t>
            </w:r>
            <w:r>
              <w:rPr>
                <w:rFonts w:hint="default"/>
                <w:color w:val="auto"/>
                <w:sz w:val="24"/>
                <w:szCs w:val="24"/>
                <w:highlight w:val="none"/>
              </w:rPr>
              <w:t>用地中心坐标为</w:t>
            </w:r>
            <w:r>
              <w:rPr>
                <w:rFonts w:hint="default" w:ascii="Times New Roman" w:hAnsi="Times New Roman" w:cs="Times New Roman"/>
                <w:color w:val="auto"/>
                <w:sz w:val="24"/>
                <w:szCs w:val="24"/>
                <w:highlight w:val="none"/>
                <w:lang w:val="en-US" w:eastAsia="zh-CN"/>
              </w:rPr>
              <w:t>东经：11</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47</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26.03</w:t>
            </w:r>
            <w:r>
              <w:rPr>
                <w:rFonts w:hint="default" w:ascii="Times New Roman" w:hAnsi="Times New Roman" w:cs="Times New Roman"/>
                <w:color w:val="auto"/>
                <w:sz w:val="24"/>
                <w:szCs w:val="24"/>
                <w:highlight w:val="none"/>
                <w:lang w:val="en-US" w:eastAsia="zh-CN"/>
              </w:rPr>
              <w:t>2"；北纬：39°</w:t>
            </w:r>
            <w:r>
              <w:rPr>
                <w:rFonts w:hint="eastAsia" w:cs="Times New Roman"/>
                <w:color w:val="auto"/>
                <w:sz w:val="24"/>
                <w:szCs w:val="24"/>
                <w:highlight w:val="none"/>
                <w:lang w:val="en-US" w:eastAsia="zh-CN"/>
              </w:rPr>
              <w:t>56</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44.491</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w:t>
            </w:r>
            <w:r>
              <w:rPr>
                <w:rFonts w:hint="default"/>
                <w:color w:val="auto"/>
                <w:sz w:val="24"/>
                <w:szCs w:val="24"/>
                <w:highlight w:val="none"/>
              </w:rPr>
              <w:t>地理位置图详见附图1</w:t>
            </w:r>
            <w:r>
              <w:rPr>
                <w:rFonts w:hint="eastAsia"/>
                <w:color w:val="auto"/>
                <w:sz w:val="24"/>
                <w:szCs w:val="24"/>
                <w:highlight w:val="none"/>
                <w:lang w:val="en-US" w:eastAsia="zh-CN"/>
              </w:rPr>
              <w:t>。</w:t>
            </w:r>
          </w:p>
          <w:p w14:paraId="6D7AE536">
            <w:pPr>
              <w:keepNext w:val="0"/>
              <w:keepLines w:val="0"/>
              <w:pageBreakBefore w:val="0"/>
              <w:widowControl w:val="0"/>
              <w:numPr>
                <w:ilvl w:val="0"/>
                <w:numId w:val="0"/>
              </w:numPr>
              <w:shd w:val="clear"/>
              <w:kinsoku/>
              <w:wordWrap/>
              <w:overflowPunct/>
              <w:topLinePunct w:val="0"/>
              <w:autoSpaceDE/>
              <w:autoSpaceDN/>
              <w:bidi w:val="0"/>
              <w:adjustRightInd/>
              <w:snapToGrid/>
              <w:ind w:leftChars="0" w:firstLine="480" w:firstLineChars="200"/>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平面布置：本项目场区东侧为堆填（砌）区，西侧为办公用房、洗车平台，场区出入口位于西侧。淋溶水沉淀池和雨水沉砂池均地下设置，布置在场区西侧。</w:t>
            </w:r>
            <w:r>
              <w:rPr>
                <w:rFonts w:hint="eastAsia"/>
                <w:color w:val="auto"/>
                <w:sz w:val="24"/>
                <w:szCs w:val="24"/>
                <w:highlight w:val="none"/>
                <w:shd w:val="clear" w:color="auto" w:fill="auto"/>
                <w:lang w:val="en-US" w:eastAsia="zh-CN"/>
              </w:rPr>
              <w:t>项目平面布置见附图2。</w:t>
            </w:r>
          </w:p>
          <w:p w14:paraId="411241F8">
            <w:pPr>
              <w:bidi w:val="0"/>
              <w:rPr>
                <w:rFonts w:hint="default"/>
                <w:color w:val="auto"/>
                <w:sz w:val="24"/>
                <w:szCs w:val="24"/>
                <w:highlight w:val="none"/>
                <w:lang w:val="en-US" w:eastAsia="zh-CN"/>
              </w:rPr>
            </w:pPr>
            <w:r>
              <w:rPr>
                <w:rFonts w:hint="eastAsia"/>
                <w:color w:val="auto"/>
                <w:highlight w:val="none"/>
                <w:lang w:val="en-US" w:eastAsia="zh-CN"/>
              </w:rPr>
              <w:t>周边关系：</w:t>
            </w:r>
            <w:r>
              <w:rPr>
                <w:rFonts w:hint="eastAsia"/>
                <w:color w:val="auto"/>
                <w:sz w:val="24"/>
                <w:szCs w:val="24"/>
                <w:highlight w:val="none"/>
                <w:lang w:val="en-US" w:eastAsia="zh-CN"/>
              </w:rPr>
              <w:t>项目南、西、北侧均为农田，东侧为唐钢炸药库，场界外500m范围内无大气环境保护目标。项目</w:t>
            </w:r>
            <w:r>
              <w:rPr>
                <w:rFonts w:hint="eastAsia" w:ascii="Times New Roman" w:eastAsia="宋体"/>
                <w:color w:val="auto"/>
                <w:sz w:val="24"/>
                <w:szCs w:val="24"/>
                <w:highlight w:val="none"/>
                <w:lang w:val="en-US" w:eastAsia="zh-CN"/>
              </w:rPr>
              <w:t>周边关系图见附图</w:t>
            </w:r>
            <w:r>
              <w:rPr>
                <w:rFonts w:hint="eastAsia"/>
                <w:color w:val="auto"/>
                <w:sz w:val="24"/>
                <w:szCs w:val="24"/>
                <w:highlight w:val="none"/>
                <w:lang w:val="en-US" w:eastAsia="zh-CN"/>
              </w:rPr>
              <w:t>3，场界外500m范围图见附图4。</w:t>
            </w:r>
          </w:p>
        </w:tc>
      </w:tr>
      <w:tr w14:paraId="2BA3C74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5" w:type="dxa"/>
            <w:tcBorders>
              <w:tl2br w:val="nil"/>
              <w:tr2bl w:val="nil"/>
            </w:tcBorders>
            <w:noWrap w:val="0"/>
            <w:vAlign w:val="center"/>
          </w:tcPr>
          <w:p w14:paraId="55E0CB69">
            <w:pPr>
              <w:pStyle w:val="35"/>
              <w:bidi w:val="0"/>
              <w:ind w:firstLine="0" w:firstLineChars="0"/>
              <w:rPr>
                <w:rFonts w:hint="eastAsia" w:ascii="Times New Roman" w:hAnsi="Times New Roman" w:eastAsia="宋体" w:cs="Times New Roman"/>
                <w:color w:val="auto"/>
                <w:kern w:val="1"/>
                <w:sz w:val="21"/>
                <w:szCs w:val="21"/>
                <w:highlight w:val="none"/>
                <w:vertAlign w:val="baseline"/>
                <w:lang w:val="en-US" w:eastAsia="zh-CN" w:bidi="ar-SA"/>
              </w:rPr>
            </w:pPr>
            <w:r>
              <w:rPr>
                <w:rFonts w:hint="eastAsia"/>
                <w:color w:val="auto"/>
                <w:sz w:val="24"/>
                <w:szCs w:val="24"/>
                <w:highlight w:val="none"/>
              </w:rPr>
              <w:t>工艺流程和产排污环节</w:t>
            </w:r>
          </w:p>
        </w:tc>
        <w:tc>
          <w:tcPr>
            <w:tcW w:w="8340" w:type="dxa"/>
            <w:tcBorders>
              <w:tl2br w:val="nil"/>
              <w:tr2bl w:val="nil"/>
            </w:tcBorders>
            <w:noWrap w:val="0"/>
            <w:vAlign w:val="top"/>
          </w:tcPr>
          <w:p w14:paraId="3FA91714">
            <w:pPr>
              <w:bidi w:val="0"/>
              <w:rPr>
                <w:rFonts w:hint="default"/>
                <w:b/>
                <w:bCs/>
                <w:color w:val="auto"/>
                <w:highlight w:val="none"/>
                <w:lang w:val="en-US" w:eastAsia="zh-CN"/>
              </w:rPr>
            </w:pPr>
            <w:r>
              <w:rPr>
                <w:rFonts w:hint="eastAsia"/>
                <w:b/>
                <w:bCs/>
                <w:color w:val="auto"/>
                <w:highlight w:val="none"/>
                <w:lang w:val="en-US" w:eastAsia="zh-CN"/>
              </w:rPr>
              <w:t>一、施工期</w:t>
            </w:r>
          </w:p>
          <w:p w14:paraId="4CFC94DB">
            <w:pPr>
              <w:keepNext w:val="0"/>
              <w:keepLines w:val="0"/>
              <w:widowControl/>
              <w:suppressLineNumbers w:val="0"/>
              <w:jc w:val="left"/>
              <w:rPr>
                <w:rFonts w:hint="default" w:eastAsia="宋体"/>
                <w:color w:val="auto"/>
                <w:highlight w:val="none"/>
                <w:lang w:val="en-US" w:eastAsia="zh-CN"/>
              </w:rPr>
            </w:pPr>
            <w:r>
              <w:rPr>
                <w:rFonts w:hint="eastAsia"/>
                <w:color w:val="auto"/>
                <w:highlight w:val="none"/>
                <w:lang w:val="en-US" w:eastAsia="zh-CN"/>
              </w:rPr>
              <w:t>本项目计划2026年10月开始施工，2026年11月完工，施工工期2个月。施工过程场地西侧设置物料存放区。</w:t>
            </w:r>
          </w:p>
          <w:p w14:paraId="7DF36C79">
            <w:pPr>
              <w:keepNext w:val="0"/>
              <w:keepLines w:val="0"/>
              <w:widowControl/>
              <w:suppressLineNumbers w:val="0"/>
              <w:jc w:val="left"/>
              <w:rPr>
                <w:rFonts w:hint="eastAsia"/>
                <w:color w:val="auto"/>
                <w:highlight w:val="none"/>
                <w:lang w:val="en-US" w:eastAsia="zh-CN"/>
              </w:rPr>
            </w:pPr>
            <w:r>
              <w:rPr>
                <w:rFonts w:hint="eastAsia"/>
                <w:color w:val="auto"/>
                <w:highlight w:val="none"/>
                <w:lang w:val="zh-CN"/>
              </w:rPr>
              <w:t>根据《建筑垃圾处理技术标准》（CJJ/T134-2019）</w:t>
            </w:r>
            <w:r>
              <w:rPr>
                <w:rFonts w:hint="eastAsia"/>
                <w:color w:val="auto"/>
                <w:highlight w:val="none"/>
                <w:lang w:val="en-US" w:eastAsia="zh-CN"/>
              </w:rPr>
              <w:t>要求，堆填（砌）前应清除基底的垃圾、树根等杂物，抽除坑穴积水等，验收基底标高，并进行场地平整。</w:t>
            </w:r>
          </w:p>
          <w:p w14:paraId="0E37FBFE">
            <w:pPr>
              <w:bidi w:val="0"/>
              <w:rPr>
                <w:rFonts w:hint="eastAsia" w:ascii="宋体" w:hAnsi="宋体" w:eastAsia="宋体" w:cs="宋体"/>
                <w:color w:val="auto"/>
                <w:kern w:val="0"/>
                <w:sz w:val="24"/>
                <w:szCs w:val="24"/>
                <w:highlight w:val="none"/>
                <w:lang w:val="en-US" w:eastAsia="zh-CN" w:bidi="ar"/>
              </w:rPr>
            </w:pPr>
            <w:r>
              <w:rPr>
                <w:rFonts w:hint="eastAsia"/>
                <w:color w:val="auto"/>
                <w:highlight w:val="none"/>
                <w:lang w:val="en-US" w:eastAsia="zh-CN"/>
              </w:rPr>
              <w:t>废弃低洼坑塘现状无积水，施工时视情况（若有少量雨水存积），则将积</w:t>
            </w:r>
            <w:r>
              <w:rPr>
                <w:rFonts w:hint="eastAsia" w:ascii="宋体" w:hAnsi="宋体" w:eastAsia="宋体" w:cs="宋体"/>
                <w:color w:val="auto"/>
                <w:kern w:val="0"/>
                <w:sz w:val="24"/>
                <w:szCs w:val="24"/>
                <w:highlight w:val="none"/>
                <w:lang w:val="en-US" w:eastAsia="zh-CN" w:bidi="ar"/>
              </w:rPr>
              <w:t>水先抽排至</w:t>
            </w:r>
            <w:r>
              <w:rPr>
                <w:rFonts w:hint="eastAsia" w:ascii="宋体" w:hAnsi="宋体" w:cs="宋体"/>
                <w:color w:val="auto"/>
                <w:kern w:val="0"/>
                <w:sz w:val="24"/>
                <w:szCs w:val="24"/>
                <w:highlight w:val="none"/>
                <w:lang w:val="en-US" w:eastAsia="zh-CN" w:bidi="ar"/>
              </w:rPr>
              <w:t>沉淀池</w:t>
            </w:r>
            <w:r>
              <w:rPr>
                <w:rFonts w:hint="eastAsia" w:ascii="宋体" w:hAnsi="宋体" w:eastAsia="宋体" w:cs="宋体"/>
                <w:color w:val="auto"/>
                <w:kern w:val="0"/>
                <w:sz w:val="24"/>
                <w:szCs w:val="24"/>
                <w:highlight w:val="none"/>
                <w:lang w:val="en-US" w:eastAsia="zh-CN" w:bidi="ar"/>
              </w:rPr>
              <w:t>，用于施工抑尘用水。施工期主要对用地及周边进行地形整治平整、地基处理、周边场地硬化、修建道路、建设垃圾坝、设置雨水淋溶液导排系统、地表水排水系统等工程建设工作，根据堆砌地场址水文地质情况，设置地下水收集导排系统。</w:t>
            </w:r>
          </w:p>
          <w:p w14:paraId="4E6A00F0">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1、</w:t>
            </w:r>
            <w:r>
              <w:rPr>
                <w:rFonts w:hint="eastAsia" w:ascii="宋体" w:hAnsi="宋体" w:eastAsia="宋体" w:cs="宋体"/>
                <w:b/>
                <w:bCs/>
                <w:color w:val="auto"/>
                <w:kern w:val="0"/>
                <w:sz w:val="24"/>
                <w:szCs w:val="24"/>
                <w:highlight w:val="none"/>
                <w:lang w:val="en-US" w:eastAsia="zh-CN" w:bidi="ar"/>
              </w:rPr>
              <w:t>场地平整、地基处理</w:t>
            </w:r>
          </w:p>
          <w:p w14:paraId="300362ED">
            <w:pPr>
              <w:bidi w:val="0"/>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清除基底的垃圾、树根等杂物，</w:t>
            </w:r>
            <w:r>
              <w:rPr>
                <w:rFonts w:hint="eastAsia" w:cs="Times New Roman"/>
                <w:color w:val="auto"/>
                <w:kern w:val="0"/>
                <w:sz w:val="24"/>
                <w:szCs w:val="24"/>
                <w:highlight w:val="none"/>
                <w:lang w:val="en-US" w:eastAsia="zh-CN" w:bidi="ar"/>
              </w:rPr>
              <w:t>视情况</w:t>
            </w:r>
            <w:r>
              <w:rPr>
                <w:rFonts w:hint="default" w:ascii="Times New Roman" w:hAnsi="Times New Roman" w:eastAsia="宋体" w:cs="Times New Roman"/>
                <w:color w:val="auto"/>
                <w:kern w:val="0"/>
                <w:sz w:val="24"/>
                <w:szCs w:val="24"/>
                <w:highlight w:val="none"/>
                <w:lang w:val="en-US" w:eastAsia="zh-CN" w:bidi="ar"/>
              </w:rPr>
              <w:t>抽除坑穴积水，为后续工作创造作业面。</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区地基应是具有承载堆体负荷的自然土层或经过地基处理的稳定土层，因此，场地清理后，根据场区地基承载力、沉降限制及稳定性等工程建设要求，进行相应处理。地基及其他建</w:t>
            </w:r>
            <w:r>
              <w:rPr>
                <w:rFonts w:hint="eastAsia" w:cs="Times New Roman"/>
                <w:color w:val="auto"/>
                <w:kern w:val="0"/>
                <w:sz w:val="24"/>
                <w:szCs w:val="24"/>
                <w:highlight w:val="none"/>
                <w:lang w:val="en-US" w:eastAsia="zh-CN" w:bidi="ar"/>
              </w:rPr>
              <w:t>（构）</w:t>
            </w:r>
            <w:r>
              <w:rPr>
                <w:rFonts w:hint="default" w:ascii="Times New Roman" w:hAnsi="Times New Roman" w:eastAsia="宋体" w:cs="Times New Roman"/>
                <w:color w:val="auto"/>
                <w:kern w:val="0"/>
                <w:sz w:val="24"/>
                <w:szCs w:val="24"/>
                <w:highlight w:val="none"/>
                <w:lang w:val="en-US" w:eastAsia="zh-CN" w:bidi="ar"/>
              </w:rPr>
              <w:t>筑物地基的设计按《建筑地基基础设计规范》（GB50007-2011）、《建筑与市政地基基础通用规范》（GB55003-2021）及《建筑地基处理技术规范》（JGJ79-2012）有关规定执行。</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区地基平整、找坡后采用大规格压路机碾压密实，并按要求铺2m厚</w:t>
            </w:r>
            <w:r>
              <w:rPr>
                <w:rFonts w:hint="default" w:ascii="Times New Roman" w:hAnsi="Times New Roman" w:eastAsia="宋体" w:cs="Times New Roman"/>
                <w:color w:val="auto"/>
                <w:sz w:val="24"/>
                <w:szCs w:val="24"/>
                <w:highlight w:val="none"/>
                <w:lang w:val="en-US" w:eastAsia="zh-CN"/>
              </w:rPr>
              <w:t>改性黏土</w:t>
            </w:r>
            <w:r>
              <w:rPr>
                <w:rFonts w:hint="default" w:ascii="Times New Roman" w:hAnsi="Times New Roman" w:eastAsia="宋体" w:cs="Times New Roman"/>
                <w:color w:val="auto"/>
                <w:kern w:val="0"/>
                <w:sz w:val="24"/>
                <w:szCs w:val="24"/>
                <w:highlight w:val="none"/>
                <w:lang w:val="en-US" w:eastAsia="zh-CN" w:bidi="ar"/>
              </w:rPr>
              <w:t>并进行碾压（施工时必须分层铺设、分层压实，每层的松铺厚度通常控制在20-30cm左右，以确保整体压实度和防渗性能达标），底部基础层压实度不小于0.93，地基边坡坡度不宜大于1：2，边坡压实度不应小于90%，确保</w:t>
            </w:r>
            <w:r>
              <w:rPr>
                <w:rFonts w:hint="default" w:ascii="Times New Roman" w:hAnsi="Times New Roman" w:eastAsia="宋体" w:cs="Times New Roman"/>
                <w:color w:val="auto"/>
                <w:sz w:val="24"/>
                <w:szCs w:val="24"/>
                <w:highlight w:val="none"/>
                <w:lang w:val="en-US" w:eastAsia="zh-CN"/>
              </w:rPr>
              <w:t>饱和渗透系数小于1.0×10</w:t>
            </w:r>
            <w:r>
              <w:rPr>
                <w:rFonts w:hint="default" w:ascii="Times New Roman" w:hAnsi="Times New Roman" w:eastAsia="宋体" w:cs="Times New Roman"/>
                <w:color w:val="auto"/>
                <w:sz w:val="24"/>
                <w:szCs w:val="24"/>
                <w:highlight w:val="none"/>
                <w:vertAlign w:val="superscript"/>
                <w:lang w:val="en-US" w:eastAsia="zh-CN"/>
              </w:rPr>
              <w:t>-7</w:t>
            </w:r>
            <w:r>
              <w:rPr>
                <w:rFonts w:hint="default" w:ascii="Times New Roman" w:hAnsi="Times New Roman" w:eastAsia="宋体" w:cs="Times New Roman"/>
                <w:color w:val="auto"/>
                <w:sz w:val="24"/>
                <w:szCs w:val="24"/>
                <w:highlight w:val="none"/>
                <w:lang w:val="en-US" w:eastAsia="zh-CN"/>
              </w:rPr>
              <w:t>cm/s。</w:t>
            </w:r>
          </w:p>
          <w:p w14:paraId="2E30D218">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2、</w:t>
            </w:r>
            <w:r>
              <w:rPr>
                <w:rFonts w:hint="eastAsia" w:ascii="宋体" w:hAnsi="宋体" w:eastAsia="宋体" w:cs="宋体"/>
                <w:b/>
                <w:bCs/>
                <w:color w:val="auto"/>
                <w:kern w:val="0"/>
                <w:sz w:val="24"/>
                <w:szCs w:val="24"/>
                <w:highlight w:val="none"/>
                <w:lang w:val="en-US" w:eastAsia="zh-CN" w:bidi="ar"/>
              </w:rPr>
              <w:t>场地硬化、修建道路</w:t>
            </w:r>
          </w:p>
          <w:p w14:paraId="35378F54">
            <w:pPr>
              <w:bidi w:val="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场内新建水泥混凝土路面。场外依托现有道路。</w:t>
            </w:r>
          </w:p>
          <w:p w14:paraId="4CA363FA">
            <w:pPr>
              <w:keepNext w:val="0"/>
              <w:keepLines w:val="0"/>
              <w:widowControl/>
              <w:suppressLineNumbers w:val="0"/>
              <w:jc w:val="left"/>
              <w:rPr>
                <w:color w:val="auto"/>
                <w:highlight w:val="none"/>
              </w:rPr>
            </w:pPr>
            <w:r>
              <w:rPr>
                <w:rFonts w:hint="default" w:ascii="Times New Roman" w:hAnsi="Times New Roman" w:eastAsia="宋体" w:cs="Times New Roman"/>
                <w:b/>
                <w:bCs/>
                <w:color w:val="auto"/>
                <w:kern w:val="0"/>
                <w:sz w:val="24"/>
                <w:szCs w:val="24"/>
                <w:highlight w:val="none"/>
                <w:lang w:val="en-US" w:eastAsia="zh-CN" w:bidi="ar"/>
              </w:rPr>
              <w:t>3、</w:t>
            </w:r>
            <w:r>
              <w:rPr>
                <w:rFonts w:hint="eastAsia" w:ascii="宋体" w:hAnsi="宋体" w:eastAsia="宋体" w:cs="宋体"/>
                <w:b/>
                <w:bCs/>
                <w:color w:val="auto"/>
                <w:kern w:val="0"/>
                <w:sz w:val="24"/>
                <w:szCs w:val="24"/>
                <w:highlight w:val="none"/>
                <w:lang w:val="en-US" w:eastAsia="zh-CN" w:bidi="ar"/>
              </w:rPr>
              <w:t>垃圾坝建设</w:t>
            </w:r>
          </w:p>
          <w:p w14:paraId="5B0256BE">
            <w:pPr>
              <w:bidi w:val="0"/>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本项目利用现有</w:t>
            </w:r>
            <w:r>
              <w:rPr>
                <w:rFonts w:hint="eastAsia"/>
                <w:color w:val="auto"/>
                <w:sz w:val="24"/>
                <w:szCs w:val="24"/>
                <w:highlight w:val="none"/>
                <w:lang w:val="en-US" w:eastAsia="zh-CN"/>
              </w:rPr>
              <w:t>废弃低洼坑塘</w:t>
            </w:r>
            <w:r>
              <w:rPr>
                <w:rFonts w:hint="eastAsia" w:ascii="宋体" w:hAnsi="宋体" w:cs="宋体"/>
                <w:color w:val="auto"/>
                <w:kern w:val="0"/>
                <w:sz w:val="24"/>
                <w:szCs w:val="24"/>
                <w:highlight w:val="none"/>
                <w:lang w:val="en-US" w:eastAsia="zh-CN" w:bidi="ar"/>
              </w:rPr>
              <w:t>堆填（砌）</w:t>
            </w:r>
            <w:r>
              <w:rPr>
                <w:rFonts w:hint="eastAsia" w:ascii="宋体" w:hAnsi="宋体" w:eastAsia="宋体" w:cs="宋体"/>
                <w:color w:val="auto"/>
                <w:kern w:val="0"/>
                <w:sz w:val="24"/>
                <w:szCs w:val="24"/>
                <w:highlight w:val="none"/>
                <w:lang w:val="en-US" w:eastAsia="zh-CN" w:bidi="ar"/>
              </w:rPr>
              <w:t>建筑垃圾，项目堆填高度设计为与周边地块平齐，现状</w:t>
            </w:r>
            <w:r>
              <w:rPr>
                <w:rFonts w:hint="eastAsia" w:ascii="宋体" w:hAnsi="宋体" w:cs="宋体"/>
                <w:color w:val="auto"/>
                <w:kern w:val="0"/>
                <w:sz w:val="24"/>
                <w:szCs w:val="24"/>
                <w:highlight w:val="none"/>
                <w:lang w:val="en-US" w:eastAsia="zh-CN" w:bidi="ar"/>
              </w:rPr>
              <w:t>坑塘</w:t>
            </w:r>
            <w:r>
              <w:rPr>
                <w:rFonts w:hint="eastAsia" w:ascii="宋体" w:hAnsi="宋体" w:eastAsia="宋体" w:cs="宋体"/>
                <w:color w:val="auto"/>
                <w:kern w:val="0"/>
                <w:sz w:val="24"/>
                <w:szCs w:val="24"/>
                <w:highlight w:val="none"/>
                <w:lang w:val="en-US" w:eastAsia="zh-CN" w:bidi="ar"/>
              </w:rPr>
              <w:t>已形成坝体，本项目根据现状坝体情况进行加固改造。为防止雨水冲刷，项目拟在周边设围堤，维护坝体安全。</w:t>
            </w:r>
          </w:p>
          <w:p w14:paraId="76FF55AE">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default" w:ascii="Times New Roman" w:hAnsi="Times New Roman" w:cs="Times New Roman"/>
                <w:b/>
                <w:bCs/>
                <w:color w:val="auto"/>
                <w:kern w:val="0"/>
                <w:sz w:val="24"/>
                <w:szCs w:val="24"/>
                <w:highlight w:val="none"/>
                <w:lang w:val="en-US" w:eastAsia="zh-CN" w:bidi="ar"/>
              </w:rPr>
              <w:t>4</w:t>
            </w:r>
            <w:r>
              <w:rPr>
                <w:rFonts w:hint="default" w:ascii="Times New Roman" w:hAnsi="Times New Roman" w:eastAsia="宋体" w:cs="Times New Roman"/>
                <w:b/>
                <w:bCs/>
                <w:color w:val="auto"/>
                <w:kern w:val="0"/>
                <w:sz w:val="24"/>
                <w:szCs w:val="24"/>
                <w:highlight w:val="none"/>
                <w:lang w:val="en-US" w:eastAsia="zh-CN" w:bidi="ar"/>
              </w:rPr>
              <w:t>、</w:t>
            </w:r>
            <w:r>
              <w:rPr>
                <w:rFonts w:hint="eastAsia" w:ascii="宋体" w:hAnsi="宋体" w:eastAsia="宋体" w:cs="宋体"/>
                <w:b/>
                <w:bCs/>
                <w:color w:val="auto"/>
                <w:kern w:val="0"/>
                <w:sz w:val="24"/>
                <w:szCs w:val="24"/>
                <w:highlight w:val="none"/>
                <w:lang w:val="en-US" w:eastAsia="zh-CN" w:bidi="ar"/>
              </w:rPr>
              <w:t>地表水排水系统</w:t>
            </w:r>
          </w:p>
          <w:p w14:paraId="275B3A6F">
            <w:pPr>
              <w:keepNext w:val="0"/>
              <w:keepLines w:val="0"/>
              <w:widowControl/>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在</w:t>
            </w:r>
            <w:r>
              <w:rPr>
                <w:rFonts w:hint="eastAsia" w:ascii="宋体" w:hAnsi="宋体" w:cs="宋体"/>
                <w:color w:val="auto"/>
                <w:kern w:val="0"/>
                <w:sz w:val="24"/>
                <w:szCs w:val="24"/>
                <w:highlight w:val="none"/>
                <w:lang w:val="en-US" w:eastAsia="zh-CN" w:bidi="ar"/>
              </w:rPr>
              <w:t>坑塘</w:t>
            </w:r>
            <w:r>
              <w:rPr>
                <w:rFonts w:hint="default" w:ascii="Times New Roman" w:hAnsi="Times New Roman" w:eastAsia="宋体" w:cs="Times New Roman"/>
                <w:color w:val="auto"/>
                <w:kern w:val="0"/>
                <w:sz w:val="24"/>
                <w:szCs w:val="24"/>
                <w:highlight w:val="none"/>
                <w:lang w:val="en-US" w:eastAsia="zh-CN" w:bidi="ar"/>
              </w:rPr>
              <w:t>周边较高处设置环形截洪沟，并设置雨水收集明渠以及排放沟，截洪沟断面形式采用矩形，沟底宽0.5m，沟深0.8m。截洪沟采用浆砌石砌筑，砂浆强度等级不低于M7.5，沟底铺设厚度15cm的C15混凝土垫层。截洪沟的作用是拦截</w:t>
            </w:r>
            <w:r>
              <w:rPr>
                <w:rFonts w:hint="eastAsia" w:cs="Times New Roman"/>
                <w:color w:val="auto"/>
                <w:kern w:val="0"/>
                <w:sz w:val="24"/>
                <w:szCs w:val="24"/>
                <w:highlight w:val="none"/>
                <w:lang w:val="en-US" w:eastAsia="zh-CN" w:bidi="ar"/>
              </w:rPr>
              <w:t>堆填</w:t>
            </w:r>
            <w:r>
              <w:rPr>
                <w:rFonts w:hint="default" w:ascii="Times New Roman" w:hAnsi="Times New Roman" w:eastAsia="宋体" w:cs="Times New Roman"/>
                <w:color w:val="auto"/>
                <w:kern w:val="0"/>
                <w:sz w:val="24"/>
                <w:szCs w:val="24"/>
                <w:highlight w:val="none"/>
                <w:lang w:val="en-US" w:eastAsia="zh-CN" w:bidi="ar"/>
              </w:rPr>
              <w:t>区周边的地表径流，防止雨水大量进入</w:t>
            </w:r>
            <w:r>
              <w:rPr>
                <w:rFonts w:hint="eastAsia" w:cs="Times New Roman"/>
                <w:color w:val="auto"/>
                <w:kern w:val="0"/>
                <w:sz w:val="24"/>
                <w:szCs w:val="24"/>
                <w:highlight w:val="none"/>
                <w:lang w:val="en-US" w:eastAsia="zh-CN" w:bidi="ar"/>
              </w:rPr>
              <w:t>堆填</w:t>
            </w:r>
            <w:r>
              <w:rPr>
                <w:rFonts w:hint="default" w:ascii="Times New Roman" w:hAnsi="Times New Roman" w:eastAsia="宋体" w:cs="Times New Roman"/>
                <w:color w:val="auto"/>
                <w:kern w:val="0"/>
                <w:sz w:val="24"/>
                <w:szCs w:val="24"/>
                <w:highlight w:val="none"/>
                <w:lang w:val="en-US" w:eastAsia="zh-CN" w:bidi="ar"/>
              </w:rPr>
              <w:t>区。</w:t>
            </w:r>
          </w:p>
          <w:p w14:paraId="206338DE">
            <w:pPr>
              <w:keepNext w:val="0"/>
              <w:keepLines w:val="0"/>
              <w:widowControl/>
              <w:suppressLineNumbers w:val="0"/>
              <w:jc w:val="left"/>
              <w:rPr>
                <w:color w:val="auto"/>
                <w:highlight w:val="none"/>
              </w:rPr>
            </w:pPr>
            <w:r>
              <w:rPr>
                <w:rFonts w:hint="default" w:ascii="Times New Roman" w:hAnsi="Times New Roman" w:cs="Times New Roman"/>
                <w:b/>
                <w:bCs/>
                <w:color w:val="auto"/>
                <w:kern w:val="0"/>
                <w:sz w:val="24"/>
                <w:szCs w:val="24"/>
                <w:highlight w:val="none"/>
                <w:lang w:val="en-US" w:eastAsia="zh-CN" w:bidi="ar"/>
              </w:rPr>
              <w:t>5</w:t>
            </w:r>
            <w:r>
              <w:rPr>
                <w:rFonts w:hint="default" w:ascii="Times New Roman" w:hAnsi="Times New Roman" w:eastAsia="宋体" w:cs="Times New Roman"/>
                <w:b/>
                <w:bCs/>
                <w:color w:val="auto"/>
                <w:kern w:val="0"/>
                <w:sz w:val="24"/>
                <w:szCs w:val="24"/>
                <w:highlight w:val="none"/>
                <w:lang w:val="en-US" w:eastAsia="zh-CN" w:bidi="ar"/>
              </w:rPr>
              <w:t>、</w:t>
            </w:r>
            <w:r>
              <w:rPr>
                <w:rFonts w:hint="eastAsia" w:ascii="宋体" w:hAnsi="宋体" w:eastAsia="宋体" w:cs="宋体"/>
                <w:b/>
                <w:bCs/>
                <w:color w:val="auto"/>
                <w:kern w:val="0"/>
                <w:sz w:val="24"/>
                <w:szCs w:val="24"/>
                <w:highlight w:val="none"/>
                <w:lang w:val="en-US" w:eastAsia="zh-CN" w:bidi="ar"/>
              </w:rPr>
              <w:t xml:space="preserve">地下水导排系统 </w:t>
            </w:r>
          </w:p>
          <w:p w14:paraId="1A2FED46">
            <w:pPr>
              <w:keepNext w:val="0"/>
              <w:keepLines w:val="0"/>
              <w:pageBreakBefore w:val="0"/>
              <w:widowControl/>
              <w:suppressLineNumbers w:val="0"/>
              <w:kinsoku/>
              <w:wordWrap/>
              <w:overflowPunct/>
              <w:topLinePunct w:val="0"/>
              <w:autoSpaceDE/>
              <w:autoSpaceDN/>
              <w:bidi w:val="0"/>
              <w:ind w:left="0" w:leftChars="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bidi="ar"/>
              </w:rPr>
              <w:t>在</w:t>
            </w:r>
            <w:r>
              <w:rPr>
                <w:rFonts w:hint="eastAsia" w:cs="Times New Roman"/>
                <w:color w:val="auto"/>
                <w:kern w:val="0"/>
                <w:sz w:val="24"/>
                <w:szCs w:val="24"/>
                <w:highlight w:val="none"/>
                <w:lang w:val="en-US" w:eastAsia="zh-CN" w:bidi="ar"/>
              </w:rPr>
              <w:t>堆填（砌）</w:t>
            </w:r>
            <w:r>
              <w:rPr>
                <w:rFonts w:hint="default" w:ascii="Times New Roman" w:hAnsi="Times New Roman" w:eastAsia="宋体" w:cs="Times New Roman"/>
                <w:color w:val="auto"/>
                <w:kern w:val="0"/>
                <w:sz w:val="24"/>
                <w:szCs w:val="24"/>
                <w:highlight w:val="none"/>
                <w:lang w:val="en-US" w:eastAsia="zh-CN" w:bidi="ar"/>
              </w:rPr>
              <w:t>区底部</w:t>
            </w:r>
            <w:r>
              <w:rPr>
                <w:rFonts w:hint="default" w:ascii="Times New Roman" w:hAnsi="Times New Roman" w:eastAsia="宋体" w:cs="Times New Roman"/>
                <w:color w:val="auto"/>
                <w:sz w:val="24"/>
                <w:szCs w:val="24"/>
                <w:highlight w:val="none"/>
                <w:lang w:val="en-US" w:eastAsia="zh-CN"/>
              </w:rPr>
              <w:t>采用碎石导流层方法建设地下水导排系统。</w:t>
            </w:r>
          </w:p>
          <w:p w14:paraId="140B50A2">
            <w:pPr>
              <w:keepNext w:val="0"/>
              <w:keepLines w:val="0"/>
              <w:pageBreakBefore w:val="0"/>
              <w:widowControl/>
              <w:suppressLineNumbers w:val="0"/>
              <w:kinsoku/>
              <w:wordWrap/>
              <w:overflowPunct/>
              <w:topLinePunct w:val="0"/>
              <w:autoSpaceDE/>
              <w:autoSpaceDN/>
              <w:bidi w:val="0"/>
              <w:ind w:left="0" w:leftChars="0" w:firstLine="500" w:firstLineChars="200"/>
              <w:jc w:val="left"/>
              <w:textAlignment w:val="auto"/>
              <w:rPr>
                <w:rFonts w:hint="default" w:ascii="Times New Roman" w:hAnsi="Times New Roman" w:eastAsia="宋体" w:cs="Times New Roman"/>
                <w:i w:val="0"/>
                <w:iCs w:val="0"/>
                <w:caps w:val="0"/>
                <w:color w:val="auto"/>
                <w:spacing w:val="5"/>
                <w:sz w:val="24"/>
                <w:szCs w:val="24"/>
                <w:highlight w:val="none"/>
                <w:shd w:val="clear" w:fill="FFFFFF"/>
              </w:rPr>
            </w:pPr>
            <w:r>
              <w:rPr>
                <w:rFonts w:hint="default" w:ascii="Times New Roman" w:hAnsi="Times New Roman" w:eastAsia="宋体" w:cs="Times New Roman"/>
                <w:i w:val="0"/>
                <w:iCs w:val="0"/>
                <w:caps w:val="0"/>
                <w:color w:val="auto"/>
                <w:spacing w:val="5"/>
                <w:sz w:val="24"/>
                <w:szCs w:val="24"/>
                <w:highlight w:val="none"/>
                <w:shd w:val="clear" w:fill="FFFFFF"/>
              </w:rPr>
              <w:t>碎石：选用质地坚硬、洁净、无软弱夹层的碎石或卵石。粒径</w:t>
            </w:r>
            <w:r>
              <w:rPr>
                <w:rFonts w:hint="default" w:ascii="Times New Roman" w:hAnsi="Times New Roman" w:eastAsia="宋体" w:cs="Times New Roman"/>
                <w:i w:val="0"/>
                <w:iCs w:val="0"/>
                <w:caps w:val="0"/>
                <w:color w:val="auto"/>
                <w:spacing w:val="5"/>
                <w:sz w:val="24"/>
                <w:szCs w:val="24"/>
                <w:highlight w:val="none"/>
                <w:shd w:val="clear" w:fill="FFFFFF"/>
                <w:lang w:val="en-US" w:eastAsia="zh-CN"/>
              </w:rPr>
              <w:t>为</w:t>
            </w:r>
            <w:r>
              <w:rPr>
                <w:rFonts w:hint="default" w:ascii="Times New Roman" w:hAnsi="Times New Roman" w:eastAsia="宋体" w:cs="Times New Roman"/>
                <w:i w:val="0"/>
                <w:iCs w:val="0"/>
                <w:caps w:val="0"/>
                <w:color w:val="auto"/>
                <w:spacing w:val="5"/>
                <w:sz w:val="24"/>
                <w:szCs w:val="24"/>
                <w:highlight w:val="none"/>
                <w:shd w:val="clear" w:fill="FFFFFF"/>
              </w:rPr>
              <w:t>5-31.5mm或10-40mm的连续级配，含泥量控制在3%-5%以下，以保证良好的透水性。</w:t>
            </w:r>
            <w:r>
              <w:rPr>
                <w:rFonts w:hint="eastAsia" w:cs="Times New Roman"/>
                <w:color w:val="auto"/>
                <w:sz w:val="24"/>
                <w:szCs w:val="24"/>
                <w:highlight w:val="none"/>
                <w:lang w:val="en-US" w:eastAsia="zh-CN"/>
              </w:rPr>
              <w:t>堆填（砌）</w:t>
            </w:r>
            <w:r>
              <w:rPr>
                <w:rFonts w:hint="default" w:ascii="Times New Roman" w:hAnsi="Times New Roman" w:eastAsia="宋体" w:cs="Times New Roman"/>
                <w:color w:val="auto"/>
                <w:sz w:val="24"/>
                <w:szCs w:val="24"/>
                <w:highlight w:val="none"/>
                <w:lang w:val="en-US" w:eastAsia="zh-CN"/>
              </w:rPr>
              <w:t>场底部及内侧铺填</w:t>
            </w:r>
            <w:r>
              <w:rPr>
                <w:rFonts w:hint="eastAsia" w:cs="Times New Roman"/>
                <w:color w:val="auto"/>
                <w:sz w:val="24"/>
                <w:szCs w:val="24"/>
                <w:highlight w:val="none"/>
                <w:lang w:val="en-US" w:eastAsia="zh-CN"/>
              </w:rPr>
              <w:t>不小于30cm</w:t>
            </w:r>
            <w:r>
              <w:rPr>
                <w:rFonts w:hint="default" w:ascii="Times New Roman" w:hAnsi="Times New Roman" w:eastAsia="宋体" w:cs="Times New Roman"/>
                <w:color w:val="auto"/>
                <w:sz w:val="24"/>
                <w:szCs w:val="24"/>
                <w:highlight w:val="none"/>
                <w:lang w:val="en-US" w:eastAsia="zh-CN"/>
              </w:rPr>
              <w:t>厚碎石滤水层，以形成底部排渗系统，减少场内积水蓄积，增加堆填场的稳定性。</w:t>
            </w:r>
          </w:p>
          <w:p w14:paraId="2281347E">
            <w:pPr>
              <w:keepNext w:val="0"/>
              <w:keepLines w:val="0"/>
              <w:pageBreakBefore w:val="0"/>
              <w:widowControl/>
              <w:suppressLineNumbers w:val="0"/>
              <w:kinsoku/>
              <w:wordWrap/>
              <w:overflowPunct/>
              <w:topLinePunct w:val="0"/>
              <w:autoSpaceDE/>
              <w:autoSpaceDN/>
              <w:bidi w:val="0"/>
              <w:ind w:left="0" w:leftChars="0" w:firstLine="500" w:firstLineChars="200"/>
              <w:jc w:val="left"/>
              <w:textAlignment w:val="auto"/>
              <w:rPr>
                <w:rFonts w:hint="default" w:ascii="Times New Roman" w:hAnsi="Times New Roman" w:eastAsia="宋体" w:cs="Times New Roman"/>
                <w:color w:val="auto"/>
                <w:spacing w:val="5"/>
                <w:sz w:val="24"/>
                <w:szCs w:val="24"/>
                <w:highlight w:val="none"/>
                <w:lang w:eastAsia="zh-CN"/>
              </w:rPr>
            </w:pPr>
            <w:r>
              <w:rPr>
                <w:rFonts w:hint="default" w:ascii="Times New Roman" w:hAnsi="Times New Roman" w:eastAsia="宋体" w:cs="Times New Roman"/>
                <w:i w:val="0"/>
                <w:iCs w:val="0"/>
                <w:caps w:val="0"/>
                <w:color w:val="auto"/>
                <w:spacing w:val="5"/>
                <w:sz w:val="24"/>
                <w:szCs w:val="24"/>
                <w:highlight w:val="none"/>
                <w:shd w:val="clear" w:fill="FFFFFF"/>
              </w:rPr>
              <w:t>土工布（反滤层）：选用透水性好、耐腐蚀、抗拉强度高的非织造土工布（规格200g/</w:t>
            </w:r>
            <w:r>
              <w:rPr>
                <w:rFonts w:hint="eastAsia" w:cs="Times New Roman"/>
                <w:i w:val="0"/>
                <w:iCs w:val="0"/>
                <w:caps w:val="0"/>
                <w:color w:val="auto"/>
                <w:spacing w:val="5"/>
                <w:sz w:val="24"/>
                <w:szCs w:val="24"/>
                <w:highlight w:val="none"/>
                <w:shd w:val="clear" w:fill="FFFFFF"/>
                <w:lang w:val="en-US" w:eastAsia="zh-CN"/>
              </w:rPr>
              <w:t>m</w:t>
            </w:r>
            <w:r>
              <w:rPr>
                <w:rFonts w:hint="eastAsia" w:cs="Times New Roman"/>
                <w:i w:val="0"/>
                <w:iCs w:val="0"/>
                <w:caps w:val="0"/>
                <w:color w:val="auto"/>
                <w:spacing w:val="5"/>
                <w:sz w:val="24"/>
                <w:szCs w:val="24"/>
                <w:highlight w:val="none"/>
                <w:shd w:val="clear" w:fill="FFFFFF"/>
                <w:vertAlign w:val="superscript"/>
                <w:lang w:val="en-US" w:eastAsia="zh-CN"/>
              </w:rPr>
              <w:t>2</w:t>
            </w:r>
            <w:r>
              <w:rPr>
                <w:rFonts w:hint="default" w:ascii="Times New Roman" w:hAnsi="Times New Roman" w:eastAsia="宋体" w:cs="Times New Roman"/>
                <w:i w:val="0"/>
                <w:iCs w:val="0"/>
                <w:caps w:val="0"/>
                <w:color w:val="auto"/>
                <w:spacing w:val="5"/>
                <w:sz w:val="24"/>
                <w:szCs w:val="24"/>
                <w:highlight w:val="none"/>
                <w:shd w:val="clear" w:fill="FFFFFF"/>
              </w:rPr>
              <w:t>以上）。土工布的作用是防止上部细颗粒土壤进入碎石层造成堵塞，同时允许水顺利通过</w:t>
            </w:r>
            <w:r>
              <w:rPr>
                <w:rFonts w:hint="default" w:ascii="Times New Roman" w:hAnsi="Times New Roman" w:eastAsia="宋体" w:cs="Times New Roman"/>
                <w:i w:val="0"/>
                <w:iCs w:val="0"/>
                <w:caps w:val="0"/>
                <w:color w:val="auto"/>
                <w:spacing w:val="5"/>
                <w:sz w:val="24"/>
                <w:szCs w:val="24"/>
                <w:highlight w:val="none"/>
                <w:shd w:val="clear" w:fill="FFFFFF"/>
                <w:lang w:eastAsia="zh-CN"/>
              </w:rPr>
              <w:t>。</w:t>
            </w:r>
          </w:p>
          <w:p w14:paraId="19C56EA1">
            <w:pPr>
              <w:keepNext w:val="0"/>
              <w:keepLines w:val="0"/>
              <w:pageBreakBefore w:val="0"/>
              <w:widowControl/>
              <w:suppressLineNumbers w:val="0"/>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集水管：采用HDPE</w:t>
            </w:r>
            <w:r>
              <w:rPr>
                <w:rFonts w:hint="default" w:ascii="Times New Roman" w:hAnsi="Times New Roman" w:eastAsia="宋体" w:cs="Times New Roman"/>
                <w:i w:val="0"/>
                <w:iCs w:val="0"/>
                <w:caps w:val="0"/>
                <w:color w:val="auto"/>
                <w:spacing w:val="0"/>
                <w:sz w:val="24"/>
                <w:szCs w:val="24"/>
                <w:highlight w:val="none"/>
                <w:shd w:val="clear" w:fill="FFFFFF"/>
              </w:rPr>
              <w:t>穿孔花管</w:t>
            </w:r>
            <w:r>
              <w:rPr>
                <w:rFonts w:hint="default" w:ascii="Times New Roman" w:hAnsi="Times New Roman" w:eastAsia="宋体" w:cs="Times New Roman"/>
                <w:color w:val="auto"/>
                <w:kern w:val="0"/>
                <w:sz w:val="24"/>
                <w:szCs w:val="24"/>
                <w:highlight w:val="none"/>
                <w:lang w:val="en-US" w:eastAsia="zh-CN" w:bidi="ar"/>
              </w:rPr>
              <w:t>，管径DN250mm，管壁上设置渗水孔。</w:t>
            </w:r>
          </w:p>
          <w:p w14:paraId="672C6CE2">
            <w:pPr>
              <w:keepNext w:val="0"/>
              <w:keepLines w:val="0"/>
              <w:pageBreakBefore w:val="0"/>
              <w:widowControl/>
              <w:suppressLineNumbers w:val="0"/>
              <w:kinsoku/>
              <w:wordWrap/>
              <w:overflowPunct/>
              <w:topLinePunct w:val="0"/>
              <w:autoSpaceDE/>
              <w:autoSpaceDN/>
              <w:bidi w:val="0"/>
              <w:adjustRightInd w:val="0"/>
              <w:snapToGrid w:val="0"/>
              <w:ind w:left="0" w:leftChars="0"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集水管铺设在盲沟底部，</w:t>
            </w:r>
            <w:r>
              <w:rPr>
                <w:rFonts w:hint="default" w:ascii="Times New Roman" w:hAnsi="Times New Roman" w:eastAsia="宋体" w:cs="Times New Roman"/>
                <w:b w:val="0"/>
                <w:bCs w:val="0"/>
                <w:i w:val="0"/>
                <w:iCs w:val="0"/>
                <w:caps w:val="0"/>
                <w:color w:val="auto"/>
                <w:spacing w:val="0"/>
                <w:sz w:val="24"/>
                <w:szCs w:val="24"/>
                <w:highlight w:val="none"/>
                <w:shd w:val="clear" w:fill="FFFFFF"/>
              </w:rPr>
              <w:t>盲沟底部采用</w:t>
            </w:r>
            <w:r>
              <w:rPr>
                <w:rFonts w:hint="eastAsia" w:ascii="宋体" w:hAnsi="宋体" w:eastAsia="宋体" w:cs="宋体"/>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i w:val="0"/>
                <w:iCs w:val="0"/>
                <w:caps w:val="0"/>
                <w:color w:val="auto"/>
                <w:spacing w:val="0"/>
                <w:sz w:val="24"/>
                <w:szCs w:val="24"/>
                <w:highlight w:val="none"/>
                <w:shd w:val="clear" w:fill="FFFFFF"/>
              </w:rPr>
              <w:t>主盲沟+支盲沟</w:t>
            </w:r>
            <w:r>
              <w:rPr>
                <w:rFonts w:hint="eastAsia" w:ascii="宋体" w:hAnsi="宋体" w:eastAsia="宋体" w:cs="宋体"/>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i w:val="0"/>
                <w:iCs w:val="0"/>
                <w:caps w:val="0"/>
                <w:color w:val="auto"/>
                <w:spacing w:val="0"/>
                <w:sz w:val="24"/>
                <w:szCs w:val="24"/>
                <w:highlight w:val="none"/>
                <w:shd w:val="clear" w:fill="FFFFFF"/>
              </w:rPr>
              <w:t>的鱼骨状管网布置。主盲沟沿</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堆填区</w:t>
            </w:r>
            <w:r>
              <w:rPr>
                <w:rFonts w:hint="default" w:ascii="Times New Roman" w:hAnsi="Times New Roman" w:eastAsia="宋体" w:cs="Times New Roman"/>
                <w:b w:val="0"/>
                <w:bCs w:val="0"/>
                <w:i w:val="0"/>
                <w:iCs w:val="0"/>
                <w:caps w:val="0"/>
                <w:color w:val="auto"/>
                <w:spacing w:val="0"/>
                <w:sz w:val="24"/>
                <w:szCs w:val="24"/>
                <w:highlight w:val="none"/>
                <w:shd w:val="clear" w:fill="FFFFFF"/>
              </w:rPr>
              <w:t>最低点（或设计坡向）铺设，支盲沟以一定角度（如45°或60°）接入主盲沟。支盲沟之间的中心间距控制在</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3</w:t>
            </w:r>
            <w:r>
              <w:rPr>
                <w:rFonts w:hint="default" w:ascii="Times New Roman" w:hAnsi="Times New Roman" w:eastAsia="宋体" w:cs="Times New Roman"/>
                <w:b w:val="0"/>
                <w:bCs w:val="0"/>
                <w:i w:val="0"/>
                <w:iCs w:val="0"/>
                <w:caps w:val="0"/>
                <w:color w:val="auto"/>
                <w:spacing w:val="0"/>
                <w:sz w:val="24"/>
                <w:szCs w:val="24"/>
                <w:highlight w:val="none"/>
                <w:shd w:val="clear" w:fill="FFFFFF"/>
              </w:rPr>
              <w:t>0m~40m之间，以确保</w:t>
            </w:r>
            <w:r>
              <w:rPr>
                <w:rFonts w:hint="default" w:ascii="Times New Roman" w:hAnsi="Times New Roman" w:eastAsia="宋体" w:cs="Times New Roman"/>
                <w:b w:val="0"/>
                <w:bCs w:val="0"/>
                <w:i w:val="0"/>
                <w:iCs w:val="0"/>
                <w:caps w:val="0"/>
                <w:color w:val="auto"/>
                <w:spacing w:val="0"/>
                <w:sz w:val="24"/>
                <w:szCs w:val="24"/>
                <w:highlight w:val="none"/>
                <w:shd w:val="clear" w:fill="FFFFFF"/>
                <w:lang w:val="en-US" w:eastAsia="zh-CN"/>
              </w:rPr>
              <w:t>地下水</w:t>
            </w:r>
            <w:r>
              <w:rPr>
                <w:rFonts w:hint="default" w:ascii="Times New Roman" w:hAnsi="Times New Roman" w:eastAsia="宋体" w:cs="Times New Roman"/>
                <w:b w:val="0"/>
                <w:bCs w:val="0"/>
                <w:i w:val="0"/>
                <w:iCs w:val="0"/>
                <w:caps w:val="0"/>
                <w:color w:val="auto"/>
                <w:spacing w:val="0"/>
                <w:sz w:val="24"/>
                <w:szCs w:val="24"/>
                <w:highlight w:val="none"/>
                <w:shd w:val="clear" w:fill="FFFFFF"/>
              </w:rPr>
              <w:t>能被均匀、高效地收集</w:t>
            </w:r>
            <w:r>
              <w:rPr>
                <w:rFonts w:hint="default" w:ascii="Times New Roman" w:hAnsi="Times New Roman" w:eastAsia="宋体" w:cs="Times New Roman"/>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i w:val="0"/>
                <w:iCs w:val="0"/>
                <w:caps w:val="0"/>
                <w:color w:val="auto"/>
                <w:spacing w:val="0"/>
                <w:sz w:val="24"/>
                <w:szCs w:val="24"/>
                <w:highlight w:val="none"/>
                <w:shd w:val="clear" w:fill="FFFFFF"/>
              </w:rPr>
              <w:t>盲沟内铺设HDPE穿孔花管</w:t>
            </w:r>
            <w:r>
              <w:rPr>
                <w:rFonts w:hint="default" w:ascii="Times New Roman" w:hAnsi="Times New Roman" w:eastAsia="宋体" w:cs="Times New Roman"/>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color w:val="auto"/>
                <w:sz w:val="24"/>
                <w:szCs w:val="24"/>
                <w:highlight w:val="none"/>
                <w:lang w:val="en-US" w:eastAsia="zh-CN"/>
              </w:rPr>
              <w:t>埋设坡度为5%</w:t>
            </w:r>
            <w:r>
              <w:rPr>
                <w:rFonts w:hint="default" w:ascii="Times New Roman" w:hAnsi="Times New Roman" w:eastAsia="宋体" w:cs="Times New Roman"/>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i w:val="0"/>
                <w:iCs w:val="0"/>
                <w:caps w:val="0"/>
                <w:color w:val="auto"/>
                <w:spacing w:val="0"/>
                <w:sz w:val="24"/>
                <w:szCs w:val="24"/>
                <w:highlight w:val="none"/>
                <w:shd w:val="clear" w:fill="FFFFFF"/>
              </w:rPr>
              <w:t>管壁上的透水孔呈梅花形交错布置，开孔间距通常为10cm~15cm，以保证地下水能从各个方向顺利进入管道</w:t>
            </w:r>
            <w:r>
              <w:rPr>
                <w:rFonts w:hint="default" w:ascii="Times New Roman" w:hAnsi="Times New Roman" w:eastAsia="宋体" w:cs="Times New Roman"/>
                <w:b w:val="0"/>
                <w:bCs w:val="0"/>
                <w:i w:val="0"/>
                <w:iCs w:val="0"/>
                <w:caps w:val="0"/>
                <w:color w:val="auto"/>
                <w:spacing w:val="0"/>
                <w:sz w:val="24"/>
                <w:szCs w:val="24"/>
                <w:highlight w:val="none"/>
                <w:shd w:val="clear" w:fill="FFFFFF"/>
                <w:lang w:eastAsia="zh-CN"/>
              </w:rPr>
              <w:t>。</w:t>
            </w:r>
            <w:r>
              <w:rPr>
                <w:rFonts w:hint="default" w:ascii="Times New Roman" w:hAnsi="Times New Roman" w:eastAsia="宋体" w:cs="Times New Roman"/>
                <w:b w:val="0"/>
                <w:bCs w:val="0"/>
                <w:color w:val="auto"/>
                <w:kern w:val="0"/>
                <w:sz w:val="24"/>
                <w:szCs w:val="24"/>
                <w:highlight w:val="none"/>
                <w:lang w:val="en-US" w:eastAsia="zh-CN" w:bidi="ar"/>
              </w:rPr>
              <w:t>将地下水收集后导入集液井。</w:t>
            </w:r>
            <w:r>
              <w:rPr>
                <w:rFonts w:hint="eastAsia" w:cs="Times New Roman"/>
                <w:b w:val="0"/>
                <w:bCs w:val="0"/>
                <w:color w:val="auto"/>
                <w:kern w:val="0"/>
                <w:sz w:val="24"/>
                <w:szCs w:val="24"/>
                <w:highlight w:val="none"/>
                <w:lang w:val="en-US" w:eastAsia="zh-CN" w:bidi="ar"/>
              </w:rPr>
              <w:t>堆填（砌）</w:t>
            </w:r>
            <w:r>
              <w:rPr>
                <w:rFonts w:hint="default" w:ascii="Times New Roman" w:hAnsi="Times New Roman" w:eastAsia="宋体" w:cs="Times New Roman"/>
                <w:b w:val="0"/>
                <w:bCs w:val="0"/>
                <w:color w:val="auto"/>
                <w:kern w:val="0"/>
                <w:sz w:val="24"/>
                <w:szCs w:val="24"/>
                <w:highlight w:val="none"/>
                <w:lang w:val="en-US" w:eastAsia="zh-CN" w:bidi="ar"/>
              </w:rPr>
              <w:t>区内设集液井，井内设置液位计和潜水泵，当池内水位达到一定液位时，潜水泵自动启动，将地下水提升至沉淀池，经</w:t>
            </w:r>
            <w:r>
              <w:rPr>
                <w:rFonts w:hint="default" w:ascii="Times New Roman" w:hAnsi="Times New Roman" w:eastAsia="宋体" w:cs="Times New Roman"/>
                <w:b w:val="0"/>
                <w:bCs w:val="0"/>
                <w:color w:val="auto"/>
                <w:sz w:val="24"/>
                <w:szCs w:val="24"/>
                <w:highlight w:val="none"/>
              </w:rPr>
              <w:t>沉淀后，分批次回用作区域抑尘用水</w:t>
            </w:r>
            <w:r>
              <w:rPr>
                <w:rFonts w:hint="default" w:ascii="Times New Roman" w:hAnsi="Times New Roman" w:eastAsia="宋体" w:cs="Times New Roman"/>
                <w:color w:val="auto"/>
                <w:sz w:val="24"/>
                <w:szCs w:val="24"/>
                <w:highlight w:val="none"/>
              </w:rPr>
              <w:t>。</w:t>
            </w:r>
          </w:p>
          <w:p w14:paraId="1815678D">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r>
              <w:rPr>
                <w:rFonts w:hint="default" w:ascii="Times New Roman" w:hAnsi="Times New Roman" w:cs="Times New Roman"/>
                <w:b/>
                <w:bCs/>
                <w:color w:val="auto"/>
                <w:kern w:val="0"/>
                <w:sz w:val="24"/>
                <w:szCs w:val="24"/>
                <w:highlight w:val="none"/>
                <w:lang w:val="en-US" w:eastAsia="zh-CN" w:bidi="ar"/>
              </w:rPr>
              <w:t>6</w:t>
            </w:r>
            <w:r>
              <w:rPr>
                <w:rFonts w:hint="default" w:ascii="Times New Roman" w:hAnsi="Times New Roman" w:eastAsia="宋体" w:cs="Times New Roman"/>
                <w:b/>
                <w:bCs/>
                <w:color w:val="auto"/>
                <w:kern w:val="0"/>
                <w:sz w:val="24"/>
                <w:szCs w:val="24"/>
                <w:highlight w:val="none"/>
                <w:lang w:val="en-US" w:eastAsia="zh-CN" w:bidi="ar"/>
              </w:rPr>
              <w:t>、</w:t>
            </w:r>
            <w:r>
              <w:rPr>
                <w:rFonts w:hint="eastAsia" w:ascii="宋体" w:hAnsi="宋体" w:eastAsia="宋体" w:cs="宋体"/>
                <w:b/>
                <w:bCs/>
                <w:color w:val="auto"/>
                <w:kern w:val="0"/>
                <w:sz w:val="24"/>
                <w:szCs w:val="24"/>
                <w:highlight w:val="none"/>
                <w:lang w:val="en-US" w:eastAsia="zh-CN" w:bidi="ar"/>
              </w:rPr>
              <w:t>雨水淋溶液导排系统</w:t>
            </w:r>
          </w:p>
          <w:p w14:paraId="1305C335">
            <w:pPr>
              <w:bidi w:val="0"/>
              <w:rPr>
                <w:rFonts w:hint="eastAsia"/>
                <w:color w:val="auto"/>
                <w:highlight w:val="none"/>
              </w:rPr>
            </w:pPr>
            <w:r>
              <w:rPr>
                <w:rFonts w:hint="eastAsia"/>
                <w:color w:val="auto"/>
                <w:highlight w:val="none"/>
                <w:lang w:val="en-US" w:eastAsia="zh-CN"/>
              </w:rPr>
              <w:t>本</w:t>
            </w:r>
            <w:r>
              <w:rPr>
                <w:rFonts w:hint="eastAsia"/>
                <w:color w:val="auto"/>
                <w:highlight w:val="none"/>
              </w:rPr>
              <w:t>项目主要进行建筑垃圾</w:t>
            </w:r>
            <w:r>
              <w:rPr>
                <w:rFonts w:hint="eastAsia"/>
                <w:color w:val="auto"/>
                <w:highlight w:val="none"/>
                <w:lang w:eastAsia="zh-CN"/>
              </w:rPr>
              <w:t>堆填（砌）</w:t>
            </w:r>
            <w:r>
              <w:rPr>
                <w:rFonts w:hint="eastAsia"/>
                <w:color w:val="auto"/>
                <w:highlight w:val="none"/>
              </w:rPr>
              <w:t>，本身不会产生渗滤液，且结合《建筑垃圾处理技术标准》</w:t>
            </w:r>
            <w:r>
              <w:rPr>
                <w:rFonts w:hint="eastAsia"/>
                <w:color w:val="auto"/>
                <w:highlight w:val="none"/>
                <w:lang w:eastAsia="zh-CN"/>
              </w:rPr>
              <w:t>（</w:t>
            </w:r>
            <w:r>
              <w:rPr>
                <w:rFonts w:hint="eastAsia"/>
                <w:color w:val="auto"/>
                <w:highlight w:val="none"/>
              </w:rPr>
              <w:t>CJJ</w:t>
            </w:r>
            <w:r>
              <w:rPr>
                <w:rFonts w:hint="eastAsia"/>
                <w:color w:val="auto"/>
                <w:highlight w:val="none"/>
                <w:lang w:val="en-US" w:eastAsia="zh-CN"/>
              </w:rPr>
              <w:t>/</w:t>
            </w:r>
            <w:r>
              <w:rPr>
                <w:rFonts w:hint="eastAsia"/>
                <w:color w:val="auto"/>
                <w:highlight w:val="none"/>
              </w:rPr>
              <w:t>T134-2019</w:t>
            </w:r>
            <w:r>
              <w:rPr>
                <w:rFonts w:hint="eastAsia"/>
                <w:color w:val="auto"/>
                <w:highlight w:val="none"/>
                <w:lang w:eastAsia="zh-CN"/>
              </w:rPr>
              <w:t>）</w:t>
            </w:r>
            <w:r>
              <w:rPr>
                <w:rFonts w:hint="eastAsia"/>
                <w:color w:val="auto"/>
                <w:highlight w:val="none"/>
              </w:rPr>
              <w:t>中</w:t>
            </w:r>
            <w:r>
              <w:rPr>
                <w:rFonts w:hint="eastAsia"/>
                <w:color w:val="auto"/>
                <w:highlight w:val="none"/>
                <w:lang w:eastAsia="zh-CN"/>
              </w:rPr>
              <w:t>“</w:t>
            </w:r>
            <w:r>
              <w:rPr>
                <w:rFonts w:hint="eastAsia"/>
                <w:color w:val="auto"/>
                <w:highlight w:val="none"/>
              </w:rPr>
              <w:t>10.6章节</w:t>
            </w:r>
            <w:r>
              <w:rPr>
                <w:rFonts w:hint="eastAsia"/>
                <w:color w:val="auto"/>
                <w:highlight w:val="none"/>
                <w:lang w:eastAsia="zh-CN"/>
              </w:rPr>
              <w:t>”</w:t>
            </w:r>
            <w:r>
              <w:rPr>
                <w:rFonts w:hint="eastAsia"/>
                <w:color w:val="auto"/>
                <w:highlight w:val="none"/>
              </w:rPr>
              <w:t>中可知</w:t>
            </w:r>
            <w:r>
              <w:rPr>
                <w:rFonts w:hint="eastAsia"/>
                <w:color w:val="auto"/>
                <w:highlight w:val="none"/>
                <w:lang w:eastAsia="zh-CN"/>
              </w:rPr>
              <w:t>：“</w:t>
            </w:r>
            <w:r>
              <w:rPr>
                <w:rFonts w:hint="eastAsia"/>
                <w:color w:val="auto"/>
                <w:highlight w:val="none"/>
              </w:rPr>
              <w:t>建筑垃圾渗出水量可忽略不计</w:t>
            </w:r>
            <w:r>
              <w:rPr>
                <w:rFonts w:hint="eastAsia"/>
                <w:color w:val="auto"/>
                <w:highlight w:val="none"/>
                <w:lang w:eastAsia="zh-CN"/>
              </w:rPr>
              <w:t>”</w:t>
            </w:r>
            <w:r>
              <w:rPr>
                <w:rFonts w:hint="eastAsia"/>
                <w:color w:val="auto"/>
                <w:highlight w:val="none"/>
              </w:rPr>
              <w:t>。建筑垃圾</w:t>
            </w:r>
            <w:r>
              <w:rPr>
                <w:rFonts w:hint="eastAsia"/>
                <w:color w:val="auto"/>
                <w:highlight w:val="none"/>
                <w:lang w:eastAsia="zh-CN"/>
              </w:rPr>
              <w:t>堆填（砌）</w:t>
            </w:r>
            <w:r>
              <w:rPr>
                <w:rFonts w:hint="eastAsia"/>
                <w:color w:val="auto"/>
                <w:highlight w:val="none"/>
              </w:rPr>
              <w:t>区的淋溶水主要来自于降雨时进入</w:t>
            </w:r>
            <w:r>
              <w:rPr>
                <w:rFonts w:hint="eastAsia"/>
                <w:color w:val="auto"/>
                <w:highlight w:val="none"/>
                <w:lang w:val="en-US" w:eastAsia="zh-CN"/>
              </w:rPr>
              <w:t>场区</w:t>
            </w:r>
            <w:r>
              <w:rPr>
                <w:rFonts w:hint="eastAsia"/>
                <w:color w:val="auto"/>
                <w:highlight w:val="none"/>
              </w:rPr>
              <w:t>的</w:t>
            </w:r>
            <w:r>
              <w:rPr>
                <w:rFonts w:hint="eastAsia"/>
                <w:color w:val="auto"/>
                <w:highlight w:val="none"/>
                <w:lang w:val="en-US" w:eastAsia="zh-CN"/>
              </w:rPr>
              <w:t>雨</w:t>
            </w:r>
            <w:r>
              <w:rPr>
                <w:rFonts w:hint="eastAsia"/>
                <w:color w:val="auto"/>
                <w:highlight w:val="none"/>
              </w:rPr>
              <w:t>水下渗，场外雨水经截洪沟收集引至沉砂池，消除水流能量和沉淀后排入周边雨水沟渠。建筑垃圾</w:t>
            </w:r>
            <w:r>
              <w:rPr>
                <w:rFonts w:hint="eastAsia"/>
                <w:color w:val="auto"/>
                <w:highlight w:val="none"/>
                <w:lang w:eastAsia="zh-CN"/>
              </w:rPr>
              <w:t>堆填（砌）</w:t>
            </w:r>
            <w:r>
              <w:rPr>
                <w:rFonts w:hint="eastAsia"/>
                <w:color w:val="auto"/>
                <w:highlight w:val="none"/>
              </w:rPr>
              <w:t>区场地配套设置</w:t>
            </w:r>
            <w:r>
              <w:rPr>
                <w:rFonts w:hint="eastAsia"/>
                <w:color w:val="auto"/>
                <w:highlight w:val="none"/>
                <w:lang w:val="en-US" w:eastAsia="zh-CN"/>
              </w:rPr>
              <w:t>沉淀</w:t>
            </w:r>
            <w:r>
              <w:rPr>
                <w:rFonts w:hint="eastAsia"/>
                <w:color w:val="auto"/>
                <w:highlight w:val="none"/>
              </w:rPr>
              <w:t>池</w:t>
            </w:r>
            <w:r>
              <w:rPr>
                <w:rFonts w:hint="eastAsia"/>
                <w:color w:val="auto"/>
                <w:highlight w:val="none"/>
                <w:lang w:eastAsia="zh-CN"/>
              </w:rPr>
              <w:t>（</w:t>
            </w:r>
            <w:r>
              <w:rPr>
                <w:rFonts w:hint="eastAsia"/>
                <w:color w:val="auto"/>
                <w:highlight w:val="none"/>
                <w:lang w:val="en-US" w:eastAsia="zh-CN"/>
              </w:rPr>
              <w:t>1</w:t>
            </w:r>
            <w:r>
              <w:rPr>
                <w:rFonts w:hint="eastAsia"/>
                <w:color w:val="auto"/>
                <w:highlight w:val="none"/>
              </w:rPr>
              <w:t>座，容积</w:t>
            </w:r>
            <w:r>
              <w:rPr>
                <w:rFonts w:hint="eastAsia"/>
                <w:color w:val="auto"/>
                <w:highlight w:val="none"/>
                <w:lang w:val="en-US" w:eastAsia="zh-CN"/>
              </w:rPr>
              <w:t>300</w:t>
            </w:r>
            <w:r>
              <w:rPr>
                <w:rFonts w:hint="eastAsia"/>
                <w:color w:val="auto"/>
                <w:highlight w:val="none"/>
              </w:rPr>
              <w:t>m</w:t>
            </w:r>
            <w:r>
              <w:rPr>
                <w:rFonts w:hint="eastAsia"/>
                <w:color w:val="auto"/>
                <w:highlight w:val="none"/>
                <w:vertAlign w:val="superscript"/>
                <w:lang w:val="en-US" w:eastAsia="zh-CN"/>
              </w:rPr>
              <w:t>3</w:t>
            </w:r>
            <w:r>
              <w:rPr>
                <w:rFonts w:hint="eastAsia"/>
                <w:color w:val="auto"/>
                <w:highlight w:val="none"/>
                <w:vertAlign w:val="baseline"/>
                <w:lang w:val="en-US" w:eastAsia="zh-CN"/>
              </w:rPr>
              <w:t>）</w:t>
            </w:r>
            <w:r>
              <w:rPr>
                <w:rFonts w:hint="eastAsia"/>
                <w:color w:val="auto"/>
                <w:highlight w:val="none"/>
              </w:rPr>
              <w:t>，</w:t>
            </w:r>
            <w:r>
              <w:rPr>
                <w:rFonts w:hint="eastAsia"/>
                <w:color w:val="auto"/>
                <w:highlight w:val="none"/>
                <w:lang w:val="en-US" w:eastAsia="zh-CN"/>
              </w:rPr>
              <w:t>同时</w:t>
            </w:r>
            <w:r>
              <w:rPr>
                <w:rFonts w:hint="eastAsia"/>
                <w:color w:val="auto"/>
                <w:highlight w:val="none"/>
              </w:rPr>
              <w:t>沿建筑垃圾</w:t>
            </w:r>
            <w:r>
              <w:rPr>
                <w:rFonts w:hint="eastAsia"/>
                <w:color w:val="auto"/>
                <w:highlight w:val="none"/>
                <w:lang w:eastAsia="zh-CN"/>
              </w:rPr>
              <w:t>堆填（砌）</w:t>
            </w:r>
            <w:r>
              <w:rPr>
                <w:rFonts w:hint="eastAsia"/>
                <w:color w:val="auto"/>
                <w:highlight w:val="none"/>
              </w:rPr>
              <w:t>场场底内铺设淋溶液导排盲沟，盲沟中铺设</w:t>
            </w:r>
            <w:r>
              <w:rPr>
                <w:rFonts w:hint="eastAsia"/>
                <w:color w:val="auto"/>
                <w:highlight w:val="none"/>
                <w:lang w:val="en-US" w:eastAsia="zh-CN"/>
              </w:rPr>
              <w:t>集水管</w:t>
            </w:r>
            <w:r>
              <w:rPr>
                <w:rFonts w:hint="eastAsia"/>
                <w:color w:val="auto"/>
                <w:highlight w:val="none"/>
              </w:rPr>
              <w:t>，场底产生的淋溶液经碎石导流层收集流入盲沟</w:t>
            </w:r>
            <w:r>
              <w:rPr>
                <w:rFonts w:hint="eastAsia"/>
                <w:color w:val="auto"/>
                <w:highlight w:val="none"/>
                <w:lang w:val="en-US" w:eastAsia="zh-CN"/>
              </w:rPr>
              <w:t>的</w:t>
            </w:r>
            <w:r>
              <w:rPr>
                <w:rFonts w:hint="eastAsia"/>
                <w:color w:val="auto"/>
                <w:highlight w:val="none"/>
              </w:rPr>
              <w:t>集</w:t>
            </w:r>
            <w:r>
              <w:rPr>
                <w:rFonts w:hint="eastAsia"/>
                <w:color w:val="auto"/>
                <w:highlight w:val="none"/>
                <w:lang w:val="en-US" w:eastAsia="zh-CN"/>
              </w:rPr>
              <w:t>水</w:t>
            </w:r>
            <w:r>
              <w:rPr>
                <w:rFonts w:hint="eastAsia"/>
                <w:color w:val="auto"/>
                <w:highlight w:val="none"/>
              </w:rPr>
              <w:t>管，</w:t>
            </w:r>
            <w:r>
              <w:rPr>
                <w:rFonts w:hint="eastAsia" w:ascii="宋体" w:hAnsi="宋体" w:eastAsia="宋体" w:cs="宋体"/>
                <w:color w:val="auto"/>
                <w:kern w:val="0"/>
                <w:sz w:val="24"/>
                <w:szCs w:val="24"/>
                <w:highlight w:val="none"/>
                <w:lang w:val="en-US" w:eastAsia="zh-CN" w:bidi="ar"/>
              </w:rPr>
              <w:t>将</w:t>
            </w:r>
            <w:r>
              <w:rPr>
                <w:rFonts w:hint="eastAsia"/>
                <w:color w:val="auto"/>
                <w:highlight w:val="none"/>
              </w:rPr>
              <w:t>淋溶</w:t>
            </w:r>
            <w:r>
              <w:rPr>
                <w:rFonts w:hint="eastAsia"/>
                <w:color w:val="auto"/>
                <w:highlight w:val="none"/>
                <w:lang w:val="en-US" w:eastAsia="zh-CN"/>
              </w:rPr>
              <w:t>水</w:t>
            </w:r>
            <w:r>
              <w:rPr>
                <w:rFonts w:hint="eastAsia" w:ascii="宋体" w:hAnsi="宋体" w:eastAsia="宋体" w:cs="宋体"/>
                <w:color w:val="auto"/>
                <w:kern w:val="0"/>
                <w:sz w:val="24"/>
                <w:szCs w:val="24"/>
                <w:highlight w:val="none"/>
                <w:lang w:val="en-US" w:eastAsia="zh-CN" w:bidi="ar"/>
              </w:rPr>
              <w:t>收集后导入集</w:t>
            </w:r>
            <w:r>
              <w:rPr>
                <w:rFonts w:hint="eastAsia" w:ascii="宋体" w:hAnsi="宋体" w:cs="宋体"/>
                <w:color w:val="auto"/>
                <w:kern w:val="0"/>
                <w:sz w:val="24"/>
                <w:szCs w:val="24"/>
                <w:highlight w:val="none"/>
                <w:lang w:val="en-US" w:eastAsia="zh-CN" w:bidi="ar"/>
              </w:rPr>
              <w:t>液</w:t>
            </w:r>
            <w:r>
              <w:rPr>
                <w:rFonts w:hint="eastAsia" w:ascii="宋体" w:hAnsi="宋体" w:eastAsia="宋体" w:cs="宋体"/>
                <w:color w:val="auto"/>
                <w:kern w:val="0"/>
                <w:sz w:val="24"/>
                <w:szCs w:val="24"/>
                <w:highlight w:val="none"/>
                <w:lang w:val="en-US" w:eastAsia="zh-CN" w:bidi="ar"/>
              </w:rPr>
              <w:t>井。</w:t>
            </w:r>
            <w:r>
              <w:rPr>
                <w:rFonts w:hint="eastAsia" w:ascii="宋体" w:hAnsi="宋体" w:cs="宋体"/>
                <w:color w:val="auto"/>
                <w:kern w:val="0"/>
                <w:sz w:val="24"/>
                <w:szCs w:val="24"/>
                <w:highlight w:val="none"/>
                <w:lang w:val="en-US" w:eastAsia="zh-CN" w:bidi="ar"/>
              </w:rPr>
              <w:t>堆填（砌）区</w:t>
            </w:r>
            <w:r>
              <w:rPr>
                <w:rFonts w:hint="eastAsia" w:ascii="宋体" w:hAnsi="宋体" w:eastAsia="宋体" w:cs="宋体"/>
                <w:color w:val="auto"/>
                <w:kern w:val="0"/>
                <w:sz w:val="24"/>
                <w:szCs w:val="24"/>
                <w:highlight w:val="none"/>
                <w:lang w:val="en-US" w:eastAsia="zh-CN" w:bidi="ar"/>
              </w:rPr>
              <w:t>内设集液井，井内设置液位计和潜水泵，当池内水位达到一定液位时，潜水泵自动启动，将水提升至</w:t>
            </w:r>
            <w:r>
              <w:rPr>
                <w:rFonts w:hint="eastAsia" w:ascii="宋体" w:hAnsi="宋体" w:cs="宋体"/>
                <w:color w:val="auto"/>
                <w:kern w:val="0"/>
                <w:sz w:val="24"/>
                <w:szCs w:val="24"/>
                <w:highlight w:val="none"/>
                <w:lang w:val="en-US" w:eastAsia="zh-CN" w:bidi="ar"/>
              </w:rPr>
              <w:t>沉淀池</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经</w:t>
            </w:r>
            <w:r>
              <w:rPr>
                <w:rFonts w:hint="eastAsia"/>
                <w:color w:val="auto"/>
                <w:highlight w:val="none"/>
              </w:rPr>
              <w:t>沉淀后，分批次回用作区域抑尘用水。</w:t>
            </w:r>
          </w:p>
          <w:p w14:paraId="3A228B3C">
            <w:pPr>
              <w:bidi w:val="0"/>
              <w:rPr>
                <w:rFonts w:hint="eastAsia"/>
                <w:color w:val="auto"/>
                <w:highlight w:val="none"/>
                <w:lang w:val="en-US" w:eastAsia="zh-CN"/>
              </w:rPr>
            </w:pPr>
            <w:r>
              <w:rPr>
                <w:rFonts w:hint="eastAsia"/>
                <w:color w:val="auto"/>
                <w:highlight w:val="none"/>
                <w:lang w:val="en-US" w:eastAsia="zh-CN"/>
              </w:rPr>
              <w:t>施工期会产生噪声、扬尘、废水、生活垃圾以及建筑垃圾等污染物，施工期工艺流程及产污环节见图2-3。</w:t>
            </w:r>
          </w:p>
          <w:p w14:paraId="11124E9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color w:val="auto"/>
                <w:highlight w:val="none"/>
                <w:lang w:val="en-US" w:eastAsia="zh-CN"/>
              </w:rPr>
            </w:pPr>
            <w:r>
              <w:rPr>
                <w:color w:val="auto"/>
                <w:highlight w:val="none"/>
              </w:rPr>
              <w:drawing>
                <wp:inline distT="0" distB="0" distL="114300" distR="114300">
                  <wp:extent cx="5170170" cy="1764030"/>
                  <wp:effectExtent l="0" t="0" r="11430" b="7620"/>
                  <wp:docPr id="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
                          <pic:cNvPicPr>
                            <a:picLocks noChangeAspect="1"/>
                          </pic:cNvPicPr>
                        </pic:nvPicPr>
                        <pic:blipFill>
                          <a:blip r:embed="rId15"/>
                          <a:srcRect l="1529" r="2158"/>
                          <a:stretch>
                            <a:fillRect/>
                          </a:stretch>
                        </pic:blipFill>
                        <pic:spPr>
                          <a:xfrm>
                            <a:off x="0" y="0"/>
                            <a:ext cx="5170170" cy="1764030"/>
                          </a:xfrm>
                          <a:prstGeom prst="rect">
                            <a:avLst/>
                          </a:prstGeom>
                          <a:noFill/>
                          <a:ln>
                            <a:noFill/>
                          </a:ln>
                        </pic:spPr>
                      </pic:pic>
                    </a:graphicData>
                  </a:graphic>
                </wp:inline>
              </w:drawing>
            </w:r>
          </w:p>
          <w:p w14:paraId="59DE964C">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施工期工艺流程及排污节点图</w:t>
            </w:r>
          </w:p>
          <w:p w14:paraId="130510B6">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施工期污染工序主要从大气污染物产生环节、废水产生环节、噪声产生环节、固体废物产生环节四个方面进行分析。</w:t>
            </w:r>
          </w:p>
          <w:p w14:paraId="57780F21">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（1）大气污染物产生环节</w:t>
            </w:r>
          </w:p>
          <w:p w14:paraId="31A8DEBC">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①场地平整</w:t>
            </w:r>
            <w:r>
              <w:rPr>
                <w:rFonts w:hint="eastAsia"/>
                <w:color w:val="auto"/>
                <w:highlight w:val="none"/>
                <w:lang w:val="en-US" w:eastAsia="zh-CN"/>
              </w:rPr>
              <w:t>、地基处理、开挖</w:t>
            </w:r>
            <w:r>
              <w:rPr>
                <w:rFonts w:hint="default"/>
                <w:color w:val="auto"/>
                <w:highlight w:val="none"/>
                <w:lang w:val="en-US" w:eastAsia="zh-CN"/>
              </w:rPr>
              <w:t>过程中产生的扬尘</w:t>
            </w:r>
            <w:r>
              <w:rPr>
                <w:rFonts w:hint="eastAsia"/>
                <w:color w:val="auto"/>
                <w:highlight w:val="none"/>
                <w:lang w:val="en-US" w:eastAsia="zh-CN"/>
              </w:rPr>
              <w:t>，</w:t>
            </w:r>
            <w:r>
              <w:rPr>
                <w:rFonts w:hint="default"/>
                <w:color w:val="auto"/>
                <w:highlight w:val="none"/>
                <w:lang w:val="en-US" w:eastAsia="zh-CN"/>
              </w:rPr>
              <w:t>主体施工时产生的扬尘，如</w:t>
            </w:r>
            <w:r>
              <w:rPr>
                <w:rFonts w:hint="eastAsia"/>
                <w:color w:val="auto"/>
                <w:highlight w:val="none"/>
                <w:lang w:val="en-US" w:eastAsia="zh-CN"/>
              </w:rPr>
              <w:t>围堤、</w:t>
            </w:r>
            <w:r>
              <w:rPr>
                <w:rFonts w:hint="default"/>
                <w:color w:val="auto"/>
                <w:highlight w:val="none"/>
                <w:lang w:val="en-US" w:eastAsia="zh-CN"/>
              </w:rPr>
              <w:t>截洪沟</w:t>
            </w:r>
            <w:r>
              <w:rPr>
                <w:rFonts w:hint="eastAsia"/>
                <w:color w:val="auto"/>
                <w:highlight w:val="none"/>
                <w:lang w:val="en-US" w:eastAsia="zh-CN"/>
              </w:rPr>
              <w:t>、沉淀池等</w:t>
            </w:r>
            <w:r>
              <w:rPr>
                <w:rFonts w:hint="default"/>
                <w:color w:val="auto"/>
                <w:highlight w:val="none"/>
                <w:lang w:val="en-US" w:eastAsia="zh-CN"/>
              </w:rPr>
              <w:t>施工产生的扬尘；</w:t>
            </w:r>
          </w:p>
          <w:p w14:paraId="49483F6C">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②施工过程中建筑材料运输、装卸、堆存过程中产生的扬尘。</w:t>
            </w:r>
          </w:p>
          <w:p w14:paraId="5E794AEB">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eastAsia" w:ascii="宋体" w:hAnsi="宋体" w:eastAsia="宋体" w:cs="宋体"/>
                <w:color w:val="auto"/>
                <w:highlight w:val="none"/>
                <w:lang w:val="en-US" w:eastAsia="zh-CN"/>
              </w:rPr>
              <w:t>③</w:t>
            </w:r>
            <w:r>
              <w:rPr>
                <w:rFonts w:hint="eastAsia" w:ascii="宋体" w:hAnsi="宋体" w:cs="宋体"/>
                <w:color w:val="auto"/>
                <w:highlight w:val="none"/>
                <w:lang w:val="en-US" w:eastAsia="zh-CN"/>
              </w:rPr>
              <w:t>施工机械和</w:t>
            </w:r>
            <w:r>
              <w:rPr>
                <w:rFonts w:hint="default"/>
                <w:color w:val="auto"/>
                <w:highlight w:val="none"/>
                <w:lang w:val="en-US" w:eastAsia="zh-CN"/>
              </w:rPr>
              <w:t>运输汽车尾气。</w:t>
            </w:r>
          </w:p>
          <w:p w14:paraId="30948A67">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（2）废水产生环节</w:t>
            </w:r>
          </w:p>
          <w:p w14:paraId="173AB25D">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本项目施工期废水主要为</w:t>
            </w:r>
            <w:r>
              <w:rPr>
                <w:rFonts w:hint="eastAsia"/>
                <w:color w:val="auto"/>
                <w:highlight w:val="none"/>
                <w:lang w:val="en-US" w:eastAsia="zh-CN"/>
              </w:rPr>
              <w:t>混凝土养护废水、洗车废水、</w:t>
            </w:r>
            <w:r>
              <w:rPr>
                <w:rFonts w:hint="default"/>
                <w:color w:val="auto"/>
                <w:highlight w:val="none"/>
                <w:lang w:val="en-US" w:eastAsia="zh-CN"/>
              </w:rPr>
              <w:t>施工人员生活污水。</w:t>
            </w:r>
          </w:p>
          <w:p w14:paraId="0E82BAA0">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（3）噪声产生环节</w:t>
            </w:r>
          </w:p>
          <w:p w14:paraId="346EA8BA">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本项目施工期噪声主要为施工机械设备噪声和</w:t>
            </w:r>
            <w:r>
              <w:rPr>
                <w:rFonts w:hint="eastAsia"/>
                <w:color w:val="auto"/>
                <w:highlight w:val="none"/>
                <w:lang w:val="en-US" w:eastAsia="zh-CN"/>
              </w:rPr>
              <w:t>运输</w:t>
            </w:r>
            <w:r>
              <w:rPr>
                <w:rFonts w:hint="default"/>
                <w:color w:val="auto"/>
                <w:highlight w:val="none"/>
                <w:lang w:val="en-US" w:eastAsia="zh-CN"/>
              </w:rPr>
              <w:t>噪声。</w:t>
            </w:r>
          </w:p>
          <w:p w14:paraId="21B186C5">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（4）固体废物产生环节</w:t>
            </w:r>
          </w:p>
          <w:p w14:paraId="776B0823">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①施工过程中产生的弃土、弃料等建筑垃圾；</w:t>
            </w:r>
          </w:p>
          <w:p w14:paraId="27500A73">
            <w:pPr>
              <w:keepNext w:val="0"/>
              <w:keepLines w:val="0"/>
              <w:pageBreakBefore w:val="0"/>
              <w:widowControl w:val="0"/>
              <w:kinsoku/>
              <w:wordWrap/>
              <w:overflowPunct/>
              <w:topLinePunct w:val="0"/>
              <w:autoSpaceDE/>
              <w:autoSpaceDN/>
              <w:bidi w:val="0"/>
              <w:adjustRightInd/>
              <w:snapToGrid/>
              <w:textAlignment w:val="auto"/>
              <w:rPr>
                <w:rFonts w:hint="default"/>
                <w:color w:val="auto"/>
                <w:highlight w:val="none"/>
                <w:lang w:val="en-US" w:eastAsia="zh-CN"/>
              </w:rPr>
            </w:pPr>
            <w:r>
              <w:rPr>
                <w:rFonts w:hint="default"/>
                <w:color w:val="auto"/>
                <w:highlight w:val="none"/>
                <w:lang w:val="en-US" w:eastAsia="zh-CN"/>
              </w:rPr>
              <w:t>②施工人员产生的生活垃圾。</w:t>
            </w:r>
          </w:p>
          <w:p w14:paraId="6997FC0A">
            <w:pPr>
              <w:bidi w:val="0"/>
              <w:rPr>
                <w:rFonts w:hint="default"/>
                <w:b/>
                <w:bCs/>
                <w:color w:val="auto"/>
                <w:highlight w:val="none"/>
                <w:lang w:val="en-US" w:eastAsia="zh-CN"/>
              </w:rPr>
            </w:pPr>
            <w:r>
              <w:rPr>
                <w:rFonts w:hint="eastAsia"/>
                <w:b/>
                <w:bCs/>
                <w:color w:val="auto"/>
                <w:highlight w:val="none"/>
                <w:lang w:val="en-US" w:eastAsia="zh-CN"/>
              </w:rPr>
              <w:t>二、运营期</w:t>
            </w:r>
          </w:p>
          <w:p w14:paraId="70D832ED">
            <w:pPr>
              <w:bidi w:val="0"/>
              <w:rPr>
                <w:rFonts w:hint="default"/>
                <w:color w:val="auto"/>
                <w:highlight w:val="none"/>
                <w:lang w:val="en-US" w:eastAsia="zh-CN"/>
              </w:rPr>
            </w:pPr>
            <w:r>
              <w:rPr>
                <w:rFonts w:hint="eastAsia"/>
                <w:color w:val="auto"/>
                <w:highlight w:val="none"/>
                <w:lang w:val="en-US" w:eastAsia="zh-CN"/>
              </w:rPr>
              <w:t>1、堆填（砌）工艺流程</w:t>
            </w:r>
          </w:p>
          <w:p w14:paraId="7A326492">
            <w:pPr>
              <w:bidi w:val="0"/>
              <w:rPr>
                <w:rFonts w:hint="eastAsia"/>
                <w:color w:val="auto"/>
                <w:highlight w:val="none"/>
                <w:lang w:val="en-US" w:eastAsia="zh-CN"/>
              </w:rPr>
            </w:pPr>
            <w:r>
              <w:rPr>
                <w:rFonts w:hint="eastAsia"/>
                <w:color w:val="auto"/>
                <w:highlight w:val="none"/>
                <w:lang w:val="en-US" w:eastAsia="zh-CN"/>
              </w:rPr>
              <w:t>本项目接收的建筑垃圾包括</w:t>
            </w:r>
            <w:r>
              <w:rPr>
                <w:rFonts w:hint="default"/>
                <w:color w:val="auto"/>
                <w:highlight w:val="none"/>
                <w:lang w:val="en-US" w:eastAsia="zh-CN"/>
              </w:rPr>
              <w:t>工程渣土、工程泥浆、工程垃圾</w:t>
            </w:r>
            <w:r>
              <w:rPr>
                <w:rFonts w:hint="eastAsia"/>
                <w:color w:val="auto"/>
                <w:highlight w:val="none"/>
                <w:lang w:val="en-US" w:eastAsia="zh-CN"/>
              </w:rPr>
              <w:t>等，不包括经检验、鉴定为危险废物的建筑垃圾。本项目不设置建筑垃圾预处理设施，项目仅接收符合直接堆填要求的建筑垃圾，对符合要求的建筑垃圾进场后进行直接堆填。</w:t>
            </w:r>
          </w:p>
          <w:p w14:paraId="4C9EDF28">
            <w:pPr>
              <w:pStyle w:val="7"/>
              <w:spacing w:line="480" w:lineRule="exact"/>
              <w:ind w:firstLine="480"/>
              <w:rPr>
                <w:rFonts w:hint="default"/>
                <w:color w:val="auto"/>
                <w:highlight w:val="none"/>
                <w:lang w:val="en-US" w:eastAsia="zh-CN"/>
              </w:rPr>
            </w:pPr>
            <w:r>
              <w:rPr>
                <w:rFonts w:hint="eastAsia"/>
                <w:snapToGrid w:val="0"/>
                <w:color w:val="auto"/>
                <w:kern w:val="24"/>
                <w:sz w:val="24"/>
                <w:highlight w:val="none"/>
              </w:rPr>
              <w:t>本项目设置</w:t>
            </w:r>
            <w:r>
              <w:rPr>
                <w:rFonts w:hint="eastAsia"/>
                <w:snapToGrid w:val="0"/>
                <w:color w:val="auto"/>
                <w:kern w:val="24"/>
                <w:sz w:val="24"/>
                <w:highlight w:val="none"/>
                <w:lang w:val="en-US" w:eastAsia="zh-CN"/>
              </w:rPr>
              <w:t>1</w:t>
            </w:r>
            <w:r>
              <w:rPr>
                <w:rFonts w:hint="eastAsia"/>
                <w:snapToGrid w:val="0"/>
                <w:color w:val="auto"/>
                <w:kern w:val="24"/>
                <w:sz w:val="24"/>
                <w:highlight w:val="none"/>
              </w:rPr>
              <w:t>个堆填区，</w:t>
            </w:r>
            <w:r>
              <w:rPr>
                <w:rFonts w:hint="eastAsia"/>
                <w:snapToGrid w:val="0"/>
                <w:color w:val="auto"/>
                <w:kern w:val="24"/>
                <w:sz w:val="24"/>
                <w:highlight w:val="none"/>
                <w:lang w:val="en-US" w:eastAsia="zh-CN"/>
              </w:rPr>
              <w:t>堆填区</w:t>
            </w:r>
            <w:r>
              <w:rPr>
                <w:rFonts w:hint="eastAsia"/>
                <w:snapToGrid w:val="0"/>
                <w:color w:val="auto"/>
                <w:kern w:val="24"/>
                <w:sz w:val="24"/>
                <w:highlight w:val="none"/>
              </w:rPr>
              <w:t>占地面积</w:t>
            </w:r>
            <w:r>
              <w:rPr>
                <w:rFonts w:hint="eastAsia"/>
                <w:snapToGrid w:val="0"/>
                <w:color w:val="auto"/>
                <w:kern w:val="24"/>
                <w:sz w:val="24"/>
                <w:highlight w:val="none"/>
                <w:lang w:val="en-US" w:eastAsia="zh-CN"/>
              </w:rPr>
              <w:t>5876</w:t>
            </w:r>
            <w:r>
              <w:rPr>
                <w:rFonts w:hint="eastAsia"/>
                <w:snapToGrid w:val="0"/>
                <w:color w:val="auto"/>
                <w:kern w:val="24"/>
                <w:sz w:val="24"/>
                <w:highlight w:val="none"/>
              </w:rPr>
              <w:t>m</w:t>
            </w:r>
            <w:r>
              <w:rPr>
                <w:rFonts w:hint="eastAsia"/>
                <w:snapToGrid w:val="0"/>
                <w:color w:val="auto"/>
                <w:kern w:val="24"/>
                <w:sz w:val="24"/>
                <w:highlight w:val="none"/>
                <w:vertAlign w:val="superscript"/>
              </w:rPr>
              <w:t>2</w:t>
            </w:r>
            <w:r>
              <w:rPr>
                <w:rFonts w:hint="eastAsia"/>
                <w:snapToGrid w:val="0"/>
                <w:color w:val="auto"/>
                <w:kern w:val="24"/>
                <w:sz w:val="24"/>
                <w:highlight w:val="none"/>
              </w:rPr>
              <w:t>，深度</w:t>
            </w:r>
            <w:r>
              <w:rPr>
                <w:rFonts w:hint="eastAsia"/>
                <w:snapToGrid w:val="0"/>
                <w:color w:val="auto"/>
                <w:kern w:val="24"/>
                <w:sz w:val="24"/>
                <w:highlight w:val="none"/>
                <w:lang w:val="en-US" w:eastAsia="zh-CN"/>
              </w:rPr>
              <w:t>约</w:t>
            </w:r>
            <w:r>
              <w:rPr>
                <w:rFonts w:hint="eastAsia"/>
                <w:snapToGrid w:val="0"/>
                <w:color w:val="auto"/>
                <w:kern w:val="24"/>
                <w:sz w:val="24"/>
                <w:highlight w:val="none"/>
              </w:rPr>
              <w:t>为</w:t>
            </w:r>
            <w:r>
              <w:rPr>
                <w:rFonts w:hint="eastAsia"/>
                <w:snapToGrid w:val="0"/>
                <w:color w:val="auto"/>
                <w:kern w:val="24"/>
                <w:sz w:val="24"/>
                <w:highlight w:val="none"/>
                <w:lang w:val="en-US" w:eastAsia="zh-CN"/>
              </w:rPr>
              <w:t>30</w:t>
            </w:r>
            <w:r>
              <w:rPr>
                <w:rFonts w:hint="eastAsia"/>
                <w:snapToGrid w:val="0"/>
                <w:color w:val="auto"/>
                <w:kern w:val="24"/>
                <w:sz w:val="24"/>
                <w:highlight w:val="none"/>
              </w:rPr>
              <w:t>m，不规则形状，</w:t>
            </w:r>
            <w:r>
              <w:rPr>
                <w:rFonts w:hint="eastAsia"/>
                <w:snapToGrid w:val="0"/>
                <w:color w:val="auto"/>
                <w:kern w:val="24"/>
                <w:sz w:val="24"/>
                <w:szCs w:val="24"/>
                <w:highlight w:val="none"/>
              </w:rPr>
              <w:t>堆填至与周边地块平齐</w:t>
            </w:r>
            <w:r>
              <w:rPr>
                <w:rFonts w:hint="eastAsia"/>
                <w:snapToGrid w:val="0"/>
                <w:color w:val="auto"/>
                <w:kern w:val="24"/>
                <w:sz w:val="24"/>
                <w:szCs w:val="24"/>
                <w:highlight w:val="none"/>
                <w:lang w:eastAsia="zh-CN"/>
              </w:rPr>
              <w:t>，</w:t>
            </w:r>
            <w:r>
              <w:rPr>
                <w:rFonts w:hint="eastAsia"/>
                <w:color w:val="auto"/>
                <w:sz w:val="24"/>
                <w:szCs w:val="24"/>
                <w:highlight w:val="none"/>
                <w:lang w:val="en-US" w:eastAsia="zh-CN"/>
              </w:rPr>
              <w:t>设计库容19万m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，设计服务年限3年</w:t>
            </w:r>
            <w:r>
              <w:rPr>
                <w:rFonts w:hint="eastAsia"/>
                <w:snapToGrid w:val="0"/>
                <w:color w:val="auto"/>
                <w:kern w:val="24"/>
                <w:sz w:val="24"/>
                <w:szCs w:val="24"/>
                <w:highlight w:val="none"/>
              </w:rPr>
              <w:t>。</w:t>
            </w:r>
            <w:r>
              <w:rPr>
                <w:rFonts w:hint="eastAsia"/>
                <w:color w:val="auto"/>
                <w:highlight w:val="none"/>
                <w:lang w:val="en-US" w:eastAsia="zh-CN"/>
              </w:rPr>
              <w:t>运营期堆填（砌）工艺流程如下：</w:t>
            </w:r>
          </w:p>
          <w:p w14:paraId="0B2D0E8E">
            <w:pPr>
              <w:bidi w:val="0"/>
              <w:rPr>
                <w:rFonts w:hint="default"/>
                <w:color w:val="auto"/>
                <w:highlight w:val="none"/>
                <w:lang w:val="en-US" w:eastAsia="zh-CN"/>
              </w:rPr>
            </w:pPr>
            <w:r>
              <w:rPr>
                <w:rFonts w:hint="default"/>
                <w:color w:val="auto"/>
                <w:highlight w:val="none"/>
                <w:lang w:val="en-US" w:eastAsia="zh-CN"/>
              </w:rPr>
              <w:t>（1）</w:t>
            </w:r>
            <w:r>
              <w:rPr>
                <w:rFonts w:hint="eastAsia"/>
                <w:color w:val="auto"/>
                <w:highlight w:val="none"/>
                <w:lang w:val="en-US" w:eastAsia="zh-CN"/>
              </w:rPr>
              <w:t>建筑垃圾</w:t>
            </w:r>
            <w:r>
              <w:rPr>
                <w:rFonts w:hint="default"/>
                <w:color w:val="auto"/>
                <w:highlight w:val="none"/>
                <w:lang w:val="en-US" w:eastAsia="zh-CN"/>
              </w:rPr>
              <w:t>进场、卸料</w:t>
            </w:r>
          </w:p>
          <w:p w14:paraId="38D570FB">
            <w:pPr>
              <w:bidi w:val="0"/>
              <w:rPr>
                <w:rFonts w:hint="default"/>
                <w:color w:val="auto"/>
                <w:highlight w:val="none"/>
                <w:lang w:val="en-US" w:eastAsia="zh-CN"/>
              </w:rPr>
            </w:pPr>
            <w:r>
              <w:rPr>
                <w:rFonts w:hint="default"/>
                <w:color w:val="auto"/>
                <w:highlight w:val="none"/>
                <w:lang w:val="en-US" w:eastAsia="zh-CN"/>
              </w:rPr>
              <w:t>项目接收</w:t>
            </w:r>
            <w:r>
              <w:rPr>
                <w:rFonts w:hint="eastAsia"/>
                <w:color w:val="auto"/>
                <w:highlight w:val="none"/>
                <w:lang w:val="en-US" w:eastAsia="zh-CN"/>
              </w:rPr>
              <w:t>迁安</w:t>
            </w:r>
            <w:r>
              <w:rPr>
                <w:rFonts w:hint="default"/>
                <w:color w:val="auto"/>
                <w:highlight w:val="none"/>
                <w:lang w:val="en-US" w:eastAsia="zh-CN"/>
              </w:rPr>
              <w:t>市内各建筑工程场所产生可直接堆填的建筑垃圾，由运输单位按照既定的路线运输至场内，所有运输车辆通过入口登记，以确定废物来源；</w:t>
            </w:r>
          </w:p>
          <w:p w14:paraId="547253F0">
            <w:pPr>
              <w:bidi w:val="0"/>
              <w:ind w:left="0" w:leftChars="0" w:firstLine="0" w:firstLineChars="0"/>
              <w:rPr>
                <w:rFonts w:hint="default"/>
                <w:color w:val="auto"/>
                <w:highlight w:val="none"/>
                <w:lang w:val="en-US" w:eastAsia="zh-CN"/>
              </w:rPr>
            </w:pPr>
            <w:r>
              <w:rPr>
                <w:rFonts w:hint="default"/>
                <w:color w:val="auto"/>
                <w:highlight w:val="none"/>
                <w:lang w:val="en-US" w:eastAsia="zh-CN"/>
              </w:rPr>
              <w:t>建筑垃圾经运输车辆运至</w:t>
            </w:r>
            <w:r>
              <w:rPr>
                <w:rFonts w:hint="eastAsia"/>
                <w:color w:val="auto"/>
                <w:highlight w:val="none"/>
                <w:lang w:val="en-US" w:eastAsia="zh-CN"/>
              </w:rPr>
              <w:t>堆填（砌）</w:t>
            </w:r>
            <w:r>
              <w:rPr>
                <w:rFonts w:hint="default"/>
                <w:color w:val="auto"/>
                <w:highlight w:val="none"/>
                <w:lang w:val="en-US" w:eastAsia="zh-CN"/>
              </w:rPr>
              <w:t>场区，</w:t>
            </w:r>
            <w:r>
              <w:rPr>
                <w:rFonts w:hint="eastAsia"/>
                <w:color w:val="auto"/>
                <w:highlight w:val="none"/>
                <w:lang w:val="en-US" w:eastAsia="zh-CN"/>
              </w:rPr>
              <w:t>运输</w:t>
            </w:r>
            <w:r>
              <w:rPr>
                <w:rFonts w:hint="default"/>
                <w:color w:val="auto"/>
                <w:highlight w:val="none"/>
                <w:lang w:val="en-US" w:eastAsia="zh-CN"/>
              </w:rPr>
              <w:t>车首先经地</w:t>
            </w:r>
            <w:r>
              <w:rPr>
                <w:rFonts w:hint="eastAsia"/>
                <w:color w:val="auto"/>
                <w:highlight w:val="none"/>
                <w:lang w:val="en-US" w:eastAsia="zh-CN"/>
              </w:rPr>
              <w:t>磅</w:t>
            </w:r>
            <w:r>
              <w:rPr>
                <w:rFonts w:hint="default"/>
                <w:color w:val="auto"/>
                <w:highlight w:val="none"/>
                <w:lang w:val="en-US" w:eastAsia="zh-CN"/>
              </w:rPr>
              <w:t>称重计量，以确定垃圾的重量</w:t>
            </w:r>
            <w:r>
              <w:rPr>
                <w:rFonts w:hint="eastAsia"/>
                <w:color w:val="auto"/>
                <w:highlight w:val="none"/>
                <w:lang w:val="en-US" w:eastAsia="zh-CN"/>
              </w:rPr>
              <w:t>，然后</w:t>
            </w:r>
            <w:r>
              <w:rPr>
                <w:rFonts w:hint="default"/>
                <w:color w:val="auto"/>
                <w:highlight w:val="none"/>
                <w:lang w:val="en-US" w:eastAsia="zh-CN"/>
              </w:rPr>
              <w:t>在指定地点进行垃圾倾倒。</w:t>
            </w:r>
          </w:p>
          <w:p w14:paraId="10059B6A">
            <w:pPr>
              <w:bidi w:val="0"/>
              <w:rPr>
                <w:rFonts w:hint="default"/>
                <w:color w:val="auto"/>
                <w:highlight w:val="none"/>
                <w:lang w:val="en-US" w:eastAsia="zh-CN"/>
              </w:rPr>
            </w:pPr>
            <w:r>
              <w:rPr>
                <w:rFonts w:hint="default"/>
                <w:color w:val="auto"/>
                <w:highlight w:val="none"/>
                <w:lang w:val="en-US" w:eastAsia="zh-CN"/>
              </w:rPr>
              <w:t>运输车辆出场前</w:t>
            </w:r>
            <w:r>
              <w:rPr>
                <w:rFonts w:hint="eastAsia"/>
                <w:color w:val="auto"/>
                <w:highlight w:val="none"/>
                <w:lang w:val="en-US" w:eastAsia="zh-CN"/>
              </w:rPr>
              <w:t>通过洗车平台</w:t>
            </w:r>
            <w:r>
              <w:rPr>
                <w:rFonts w:hint="default"/>
                <w:color w:val="auto"/>
                <w:highlight w:val="none"/>
                <w:lang w:val="en-US" w:eastAsia="zh-CN"/>
              </w:rPr>
              <w:t>进行车辆</w:t>
            </w:r>
            <w:r>
              <w:rPr>
                <w:rFonts w:hint="eastAsia"/>
                <w:color w:val="auto"/>
                <w:highlight w:val="none"/>
                <w:lang w:val="en-US" w:eastAsia="zh-CN"/>
              </w:rPr>
              <w:t>清洗</w:t>
            </w:r>
            <w:r>
              <w:rPr>
                <w:rFonts w:hint="default"/>
                <w:color w:val="auto"/>
                <w:highlight w:val="none"/>
                <w:lang w:val="en-US" w:eastAsia="zh-CN"/>
              </w:rPr>
              <w:t>，以减少对场外周边环境的污染。</w:t>
            </w:r>
          </w:p>
          <w:p w14:paraId="7B16D816">
            <w:pPr>
              <w:bidi w:val="0"/>
              <w:rPr>
                <w:rFonts w:hint="eastAsia"/>
                <w:b/>
                <w:bCs/>
                <w:color w:val="auto"/>
                <w:highlight w:val="none"/>
                <w:lang w:val="en-US" w:eastAsia="zh-CN"/>
              </w:rPr>
            </w:pPr>
            <w:r>
              <w:rPr>
                <w:rFonts w:hint="eastAsia"/>
                <w:b/>
                <w:bCs/>
                <w:color w:val="auto"/>
                <w:highlight w:val="none"/>
                <w:lang w:val="en-US" w:eastAsia="zh-CN"/>
              </w:rPr>
              <w:t>本工序污染物主要为：卸车过程产生的废气，运输过程产生的废气；洗车废水；洗车平台污泥。</w:t>
            </w:r>
          </w:p>
          <w:p w14:paraId="25D56B09">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（2）堆填（砌）作业</w:t>
            </w:r>
          </w:p>
          <w:p w14:paraId="10BD60F8">
            <w:pPr>
              <w:pStyle w:val="28"/>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snapToGrid w:val="0"/>
                <w:color w:val="auto"/>
                <w:kern w:val="24"/>
                <w:sz w:val="24"/>
                <w:highlight w:val="none"/>
                <w:lang w:val="en-US" w:eastAsia="zh-CN"/>
              </w:rPr>
              <w:t>本项目不涉及预处理，只对满足堆填要求的建筑垃圾进行堆填。</w:t>
            </w:r>
            <w:r>
              <w:rPr>
                <w:rFonts w:hint="default" w:ascii="Times New Roman" w:hAnsi="Times New Roman" w:eastAsia="宋体" w:cs="Times New Roman"/>
                <w:color w:val="auto"/>
                <w:kern w:val="2"/>
                <w:sz w:val="24"/>
                <w:szCs w:val="24"/>
                <w:highlight w:val="none"/>
                <w:lang w:val="en-US" w:eastAsia="zh-CN" w:bidi="ar-SA"/>
              </w:rPr>
              <w:t>达到进场条件的建筑垃圾运至</w:t>
            </w:r>
            <w:r>
              <w:rPr>
                <w:rFonts w:hint="eastAsia" w:cs="Times New Roman"/>
                <w:color w:val="auto"/>
                <w:kern w:val="2"/>
                <w:sz w:val="24"/>
                <w:szCs w:val="24"/>
                <w:highlight w:val="none"/>
                <w:lang w:val="en-US" w:eastAsia="zh-CN" w:bidi="ar-SA"/>
              </w:rPr>
              <w:t>堆填（砌）</w:t>
            </w:r>
            <w:r>
              <w:rPr>
                <w:rFonts w:hint="eastAsia" w:ascii="Times New Roman" w:hAnsi="Times New Roman" w:eastAsia="宋体" w:cs="Times New Roman"/>
                <w:color w:val="auto"/>
                <w:kern w:val="2"/>
                <w:sz w:val="24"/>
                <w:szCs w:val="24"/>
                <w:highlight w:val="none"/>
                <w:lang w:val="en-US" w:eastAsia="zh-CN" w:bidi="ar-SA"/>
              </w:rPr>
              <w:t>区</w:t>
            </w:r>
            <w:r>
              <w:rPr>
                <w:rFonts w:hint="default" w:ascii="Times New Roman" w:hAnsi="Times New Roman" w:eastAsia="宋体" w:cs="Times New Roman"/>
                <w:color w:val="auto"/>
                <w:kern w:val="2"/>
                <w:sz w:val="24"/>
                <w:szCs w:val="24"/>
                <w:highlight w:val="none"/>
                <w:lang w:val="en-US" w:eastAsia="zh-CN" w:bidi="ar-SA"/>
              </w:rPr>
              <w:t>时，由自卸汽车直接在坑内卸料，严禁在斜坡侧向倾卸，不得距离基坑边缘过近卸料，防止车辆倾覆。自卸汽车卸料后，车厢必须及时复位，不得在倾斜情况下行驶，严禁车厢内载人。</w:t>
            </w:r>
          </w:p>
          <w:p w14:paraId="0449B103">
            <w:pPr>
              <w:bidi w:val="0"/>
              <w:rPr>
                <w:rFonts w:hint="default"/>
                <w:color w:val="auto"/>
                <w:highlight w:val="none"/>
                <w:lang w:val="en-US" w:eastAsia="zh-CN"/>
              </w:rPr>
            </w:pPr>
            <w:r>
              <w:rPr>
                <w:rFonts w:hint="default"/>
                <w:color w:val="auto"/>
                <w:highlight w:val="none"/>
                <w:lang w:val="en-US" w:eastAsia="zh-CN"/>
              </w:rPr>
              <w:t>按照相关标准的要求，堆填实行</w:t>
            </w:r>
            <w:r>
              <w:rPr>
                <w:rFonts w:hint="eastAsia" w:ascii="宋体" w:hAnsi="宋体" w:eastAsia="宋体" w:cs="宋体"/>
                <w:color w:val="auto"/>
                <w:highlight w:val="none"/>
                <w:lang w:val="en-US" w:eastAsia="zh-CN"/>
              </w:rPr>
              <w:t>“</w:t>
            </w:r>
            <w:r>
              <w:rPr>
                <w:rFonts w:hint="default"/>
                <w:color w:val="auto"/>
                <w:highlight w:val="none"/>
                <w:lang w:val="en-US" w:eastAsia="zh-CN"/>
              </w:rPr>
              <w:t>随倒随压、层层压实</w:t>
            </w:r>
            <w:r>
              <w:rPr>
                <w:rFonts w:hint="eastAsia" w:ascii="宋体" w:hAnsi="宋体" w:eastAsia="宋体" w:cs="宋体"/>
                <w:color w:val="auto"/>
                <w:highlight w:val="none"/>
                <w:lang w:val="en-US" w:eastAsia="zh-CN"/>
              </w:rPr>
              <w:t>”</w:t>
            </w:r>
            <w:r>
              <w:rPr>
                <w:rFonts w:hint="default"/>
                <w:color w:val="auto"/>
                <w:highlight w:val="none"/>
                <w:lang w:val="en-US" w:eastAsia="zh-CN"/>
              </w:rPr>
              <w:t>工艺。本项目堆填工程为分单元、分层堆填作业。单元作业工序为卸车、分层摊铺、压实，达到规定高度后应进行覆盖、再压实。单元作业时控制作业面面积。</w:t>
            </w:r>
          </w:p>
          <w:p w14:paraId="789F2449">
            <w:pPr>
              <w:bidi w:val="0"/>
              <w:rPr>
                <w:rFonts w:hint="default"/>
                <w:color w:val="auto"/>
                <w:highlight w:val="none"/>
                <w:lang w:val="en-US" w:eastAsia="zh-CN"/>
              </w:rPr>
            </w:pPr>
            <w:r>
              <w:rPr>
                <w:rFonts w:hint="default"/>
                <w:color w:val="auto"/>
                <w:highlight w:val="none"/>
                <w:lang w:val="en-US" w:eastAsia="zh-CN"/>
              </w:rPr>
              <w:t>每层垃圾摊铺厚度不宜超过60cm，从作业单元的边坡底部到顶部摊铺。每一单元的建筑垃圾高度宜为2m</w:t>
            </w:r>
            <w:r>
              <w:rPr>
                <w:rFonts w:hint="eastAsia"/>
                <w:color w:val="auto"/>
                <w:highlight w:val="none"/>
                <w:lang w:val="en-US" w:eastAsia="zh-CN"/>
              </w:rPr>
              <w:t>~</w:t>
            </w:r>
            <w:r>
              <w:rPr>
                <w:rFonts w:hint="default"/>
                <w:color w:val="auto"/>
                <w:highlight w:val="none"/>
                <w:lang w:val="en-US" w:eastAsia="zh-CN"/>
              </w:rPr>
              <w:t>4m，最高不应超过6m。单元作业宽度最小不宜小于6m。单元的坡度不宜大于1：3。</w:t>
            </w:r>
          </w:p>
          <w:p w14:paraId="3813886E">
            <w:pPr>
              <w:bidi w:val="0"/>
              <w:rPr>
                <w:rFonts w:hint="default"/>
                <w:color w:val="auto"/>
                <w:highlight w:val="none"/>
                <w:lang w:val="en-US" w:eastAsia="zh-CN"/>
              </w:rPr>
            </w:pPr>
            <w:r>
              <w:rPr>
                <w:rFonts w:hint="default"/>
                <w:color w:val="auto"/>
                <w:highlight w:val="none"/>
                <w:lang w:val="en-US" w:eastAsia="zh-CN"/>
              </w:rPr>
              <w:t>每一单元作业完成后，进行覆盖。土覆盖的厚度为20cm</w:t>
            </w:r>
            <w:r>
              <w:rPr>
                <w:rFonts w:hint="eastAsia"/>
                <w:color w:val="auto"/>
                <w:highlight w:val="none"/>
                <w:lang w:val="en-US" w:eastAsia="zh-CN"/>
              </w:rPr>
              <w:t>~</w:t>
            </w:r>
            <w:r>
              <w:rPr>
                <w:rFonts w:hint="default"/>
                <w:color w:val="auto"/>
                <w:highlight w:val="none"/>
                <w:lang w:val="en-US" w:eastAsia="zh-CN"/>
              </w:rPr>
              <w:t>30cm。</w:t>
            </w:r>
          </w:p>
          <w:p w14:paraId="30B65D50">
            <w:pPr>
              <w:bidi w:val="0"/>
              <w:rPr>
                <w:rFonts w:hint="default"/>
                <w:color w:val="auto"/>
                <w:highlight w:val="none"/>
                <w:lang w:val="en-US" w:eastAsia="zh-CN"/>
              </w:rPr>
            </w:pPr>
            <w:r>
              <w:rPr>
                <w:rFonts w:hint="default"/>
                <w:color w:val="auto"/>
                <w:highlight w:val="none"/>
                <w:lang w:val="en-US" w:eastAsia="zh-CN"/>
              </w:rPr>
              <w:t>由推土机进行推摊，推距控制在30米以内。将建筑垃圾分层摊铺，进行3～5次碾压。</w:t>
            </w:r>
          </w:p>
          <w:p w14:paraId="12CE6BAD">
            <w:pPr>
              <w:bidi w:val="0"/>
              <w:rPr>
                <w:rFonts w:hint="default"/>
                <w:color w:val="auto"/>
                <w:highlight w:val="none"/>
                <w:lang w:val="en-US" w:eastAsia="zh-CN"/>
              </w:rPr>
            </w:pPr>
            <w:r>
              <w:rPr>
                <w:rFonts w:hint="default"/>
                <w:color w:val="auto"/>
                <w:highlight w:val="none"/>
                <w:lang w:val="en-US" w:eastAsia="zh-CN"/>
              </w:rPr>
              <w:t>本项目场区内共有一个</w:t>
            </w:r>
            <w:r>
              <w:rPr>
                <w:rFonts w:hint="eastAsia"/>
                <w:color w:val="auto"/>
                <w:highlight w:val="none"/>
                <w:lang w:val="en-US" w:eastAsia="zh-CN"/>
              </w:rPr>
              <w:t>堆填（砌）</w:t>
            </w:r>
            <w:r>
              <w:rPr>
                <w:rFonts w:hint="default"/>
                <w:color w:val="auto"/>
                <w:highlight w:val="none"/>
                <w:lang w:val="en-US" w:eastAsia="zh-CN"/>
              </w:rPr>
              <w:t>区，卸料平台设置于作业单元面上，在每日作业前布置就绪。</w:t>
            </w:r>
          </w:p>
          <w:p w14:paraId="4843E3A2">
            <w:pPr>
              <w:bidi w:val="0"/>
              <w:rPr>
                <w:rFonts w:hint="eastAsia"/>
                <w:b/>
                <w:bCs/>
                <w:color w:val="auto"/>
                <w:highlight w:val="none"/>
                <w:lang w:val="en-US" w:eastAsia="zh-CN"/>
              </w:rPr>
            </w:pPr>
            <w:r>
              <w:rPr>
                <w:rFonts w:hint="eastAsia"/>
                <w:b/>
                <w:bCs/>
                <w:color w:val="auto"/>
                <w:highlight w:val="none"/>
                <w:lang w:val="en-US" w:eastAsia="zh-CN"/>
              </w:rPr>
              <w:t>本工序污染物主要为：堆填过程产生的废气；堆填区淋溶水；堆填过程机械噪声。</w:t>
            </w:r>
          </w:p>
          <w:p w14:paraId="0FB59218">
            <w:pPr>
              <w:bidi w:val="0"/>
              <w:rPr>
                <w:rFonts w:hint="default"/>
                <w:color w:val="auto"/>
                <w:highlight w:val="none"/>
                <w:lang w:val="en-US" w:eastAsia="zh-CN"/>
              </w:rPr>
            </w:pPr>
            <w:r>
              <w:rPr>
                <w:rFonts w:hint="eastAsia"/>
                <w:color w:val="auto"/>
                <w:highlight w:val="none"/>
                <w:lang w:val="en-US" w:eastAsia="zh-CN"/>
              </w:rPr>
              <w:t>（3）封场覆盖</w:t>
            </w:r>
          </w:p>
          <w:p w14:paraId="785229F5">
            <w:pPr>
              <w:bidi w:val="0"/>
              <w:rPr>
                <w:rFonts w:hint="default"/>
                <w:color w:val="auto"/>
                <w:highlight w:val="none"/>
                <w:lang w:val="en-US" w:eastAsia="zh-CN"/>
              </w:rPr>
            </w:pPr>
            <w:r>
              <w:rPr>
                <w:rFonts w:hint="default"/>
                <w:color w:val="auto"/>
                <w:highlight w:val="none"/>
                <w:lang w:val="en-US" w:eastAsia="zh-CN"/>
              </w:rPr>
              <w:t>覆盖是堆填的关键环节，覆盖措施不到位，会很大程度上影响堆填效果及周围环境。</w:t>
            </w:r>
          </w:p>
          <w:p w14:paraId="17C6038E">
            <w:pPr>
              <w:bidi w:val="0"/>
              <w:rPr>
                <w:rFonts w:hint="eastAsia"/>
                <w:b w:val="0"/>
                <w:bCs w:val="0"/>
                <w:color w:val="auto"/>
                <w:highlight w:val="none"/>
                <w:lang w:val="en-US" w:eastAsia="zh-CN"/>
              </w:rPr>
            </w:pPr>
            <w:r>
              <w:rPr>
                <w:rFonts w:hint="default"/>
                <w:color w:val="auto"/>
                <w:highlight w:val="none"/>
                <w:lang w:val="en-US" w:eastAsia="zh-CN"/>
              </w:rPr>
              <w:t>堆填至设计</w:t>
            </w:r>
            <w:r>
              <w:rPr>
                <w:rFonts w:hint="eastAsia"/>
                <w:color w:val="auto"/>
                <w:highlight w:val="none"/>
                <w:lang w:val="en-US" w:eastAsia="zh-CN"/>
              </w:rPr>
              <w:t>堆填</w:t>
            </w:r>
            <w:r>
              <w:rPr>
                <w:rFonts w:hint="default"/>
                <w:color w:val="auto"/>
                <w:highlight w:val="none"/>
                <w:lang w:val="en-US" w:eastAsia="zh-CN"/>
              </w:rPr>
              <w:t>高程时，为美化场区景观和为后续利用创造条件，需进行封场覆盖，其目的在于土地的综合利用</w:t>
            </w:r>
            <w:r>
              <w:rPr>
                <w:rFonts w:hint="eastAsia"/>
                <w:color w:val="auto"/>
                <w:highlight w:val="none"/>
                <w:lang w:val="en-US" w:eastAsia="zh-CN"/>
              </w:rPr>
              <w:t>，本项目</w:t>
            </w:r>
            <w:r>
              <w:rPr>
                <w:rFonts w:hint="default"/>
                <w:color w:val="auto"/>
                <w:highlight w:val="none"/>
                <w:lang w:val="en-US" w:eastAsia="zh-CN"/>
              </w:rPr>
              <w:t>封场覆盖</w:t>
            </w:r>
            <w:r>
              <w:rPr>
                <w:rFonts w:hint="eastAsia"/>
                <w:color w:val="auto"/>
                <w:highlight w:val="none"/>
                <w:lang w:val="en-US" w:eastAsia="zh-CN"/>
              </w:rPr>
              <w:t>按照</w:t>
            </w:r>
            <w:r>
              <w:rPr>
                <w:rFonts w:hint="eastAsia"/>
                <w:b w:val="0"/>
                <w:bCs w:val="0"/>
                <w:color w:val="auto"/>
                <w:highlight w:val="none"/>
                <w:lang w:val="en-US" w:eastAsia="zh-CN"/>
              </w:rPr>
              <w:t>《建筑垃圾堆砌地建设标准》（DB13（J）T8464-2022）的要求进行，垃圾层上由下至上依次为防渗层、排水层、植被层。</w:t>
            </w:r>
          </w:p>
          <w:p w14:paraId="2DC33793">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both"/>
              <w:textAlignment w:val="auto"/>
              <w:rPr>
                <w:rFonts w:hint="eastAsia" w:ascii="Times New Roman" w:hAnsi="Times New Roman"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防渗层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采用黏土层，采用黏土层的渗透系数不大于1.0×10</w:t>
            </w:r>
            <w:r>
              <w:rPr>
                <w:rFonts w:hint="default" w:ascii="Times New Roman" w:hAnsi="Times New Roman" w:eastAsia="宋体" w:cs="Times New Roman"/>
                <w:color w:val="auto"/>
                <w:kern w:val="1"/>
                <w:sz w:val="24"/>
                <w:szCs w:val="24"/>
                <w:highlight w:val="none"/>
                <w:vertAlign w:val="superscript"/>
                <w:lang w:val="en-US" w:eastAsia="zh-CN" w:bidi="ar-SA"/>
              </w:rPr>
              <w:t>-7</w:t>
            </w:r>
            <w:r>
              <w:rPr>
                <w:rFonts w:hint="default" w:ascii="Times New Roman" w:hAnsi="Times New Roman" w:eastAsia="宋体" w:cs="Times New Roman"/>
                <w:color w:val="auto"/>
                <w:kern w:val="1"/>
                <w:sz w:val="24"/>
                <w:szCs w:val="24"/>
                <w:highlight w:val="none"/>
                <w:lang w:val="en-US" w:eastAsia="zh-CN" w:bidi="ar-SA"/>
              </w:rPr>
              <w:t>cm/s，厚度为30cm</w:t>
            </w:r>
            <w:r>
              <w:rPr>
                <w:rFonts w:hint="eastAsia" w:ascii="Times New Roman" w:hAnsi="Times New Roman" w:cs="Times New Roman"/>
                <w:color w:val="auto"/>
                <w:kern w:val="1"/>
                <w:sz w:val="24"/>
                <w:szCs w:val="24"/>
                <w:highlight w:val="none"/>
                <w:lang w:val="en-US" w:eastAsia="zh-CN" w:bidi="ar-SA"/>
              </w:rPr>
              <w:t>；</w:t>
            </w:r>
          </w:p>
          <w:p w14:paraId="27A2D9DB">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left"/>
              <w:textAlignment w:val="auto"/>
              <w:rPr>
                <w:rFonts w:hint="default" w:ascii="Times New Roman" w:hAnsi="Times New Roman" w:eastAsia="宋体"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排水层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采用卵石，厚度为30cm</w:t>
            </w:r>
            <w:r>
              <w:rPr>
                <w:rFonts w:hint="eastAsia" w:ascii="Times New Roman" w:hAnsi="Times New Roman" w:cs="Times New Roman"/>
                <w:color w:val="auto"/>
                <w:kern w:val="1"/>
                <w:sz w:val="24"/>
                <w:szCs w:val="24"/>
                <w:highlight w:val="none"/>
                <w:lang w:val="en-US" w:eastAsia="zh-CN" w:bidi="ar-SA"/>
              </w:rPr>
              <w:t>；边坡宜采用土工复合排水网，厚度不应小于5mm</w:t>
            </w:r>
            <w:r>
              <w:rPr>
                <w:rFonts w:hint="eastAsia" w:cs="Times New Roman"/>
                <w:color w:val="auto"/>
                <w:kern w:val="1"/>
                <w:sz w:val="24"/>
                <w:szCs w:val="24"/>
                <w:highlight w:val="none"/>
                <w:lang w:val="en-US" w:eastAsia="zh-CN" w:bidi="ar-SA"/>
              </w:rPr>
              <w:t>；</w:t>
            </w:r>
          </w:p>
          <w:p w14:paraId="4DA8C85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b w:val="0"/>
                <w:bCs w:val="0"/>
                <w:color w:val="auto"/>
                <w:sz w:val="24"/>
                <w:szCs w:val="24"/>
                <w:highlight w:val="none"/>
                <w:lang w:val="en-US" w:eastAsia="zh-CN"/>
              </w:rPr>
            </w:pPr>
            <w:r>
              <w:rPr>
                <w:rFonts w:hint="default" w:ascii="Times New Roman" w:hAnsi="Times New Roman" w:eastAsia="宋体" w:cs="Times New Roman"/>
                <w:color w:val="auto"/>
                <w:kern w:val="1"/>
                <w:sz w:val="24"/>
                <w:szCs w:val="24"/>
                <w:highlight w:val="none"/>
                <w:lang w:val="en-US" w:eastAsia="zh-CN" w:bidi="ar-SA"/>
              </w:rPr>
              <w:t>植被层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采用自然土加表层营养土回填，自然土厚度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35cm，营养土厚度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15cm，植被层压实度</w:t>
            </w:r>
            <w:r>
              <w:rPr>
                <w:rFonts w:hint="eastAsia" w:cs="Times New Roman"/>
                <w:color w:val="auto"/>
                <w:kern w:val="1"/>
                <w:sz w:val="24"/>
                <w:szCs w:val="24"/>
                <w:highlight w:val="none"/>
                <w:lang w:val="en-US" w:eastAsia="zh-CN" w:bidi="ar-SA"/>
              </w:rPr>
              <w:t>大于</w:t>
            </w:r>
            <w:r>
              <w:rPr>
                <w:rFonts w:hint="default" w:ascii="Times New Roman" w:hAnsi="Times New Roman" w:eastAsia="宋体" w:cs="Times New Roman"/>
                <w:color w:val="auto"/>
                <w:kern w:val="1"/>
                <w:sz w:val="24"/>
                <w:szCs w:val="24"/>
                <w:highlight w:val="none"/>
                <w:lang w:val="en-US" w:eastAsia="zh-CN" w:bidi="ar-SA"/>
              </w:rPr>
              <w:t>80%</w:t>
            </w:r>
            <w:r>
              <w:rPr>
                <w:rFonts w:hint="eastAsia"/>
                <w:b w:val="0"/>
                <w:bCs w:val="0"/>
                <w:color w:val="auto"/>
                <w:sz w:val="24"/>
                <w:szCs w:val="24"/>
                <w:highlight w:val="none"/>
                <w:lang w:val="en-US" w:eastAsia="zh-CN"/>
              </w:rPr>
              <w:t>。</w:t>
            </w:r>
          </w:p>
          <w:p w14:paraId="33B22243">
            <w:pPr>
              <w:bidi w:val="0"/>
              <w:rPr>
                <w:rFonts w:hint="default"/>
                <w:color w:val="auto"/>
                <w:highlight w:val="none"/>
                <w:lang w:val="en-US" w:eastAsia="zh-CN"/>
              </w:rPr>
            </w:pPr>
            <w:r>
              <w:rPr>
                <w:rFonts w:hint="eastAsia"/>
                <w:color w:val="auto"/>
                <w:highlight w:val="none"/>
                <w:lang w:val="en-US" w:eastAsia="zh-CN"/>
              </w:rPr>
              <w:t>堆填</w:t>
            </w:r>
            <w:r>
              <w:rPr>
                <w:rFonts w:hint="default"/>
                <w:color w:val="auto"/>
                <w:highlight w:val="none"/>
                <w:lang w:val="en-US" w:eastAsia="zh-CN"/>
              </w:rPr>
              <w:t>场封场后，场顶的稳定约需2-3年，对封场后垃圾堆体可能出现的因局部沉降引起的陷落、裂隙等也将做及时的处理。</w:t>
            </w:r>
          </w:p>
          <w:p w14:paraId="2FB54880">
            <w:pPr>
              <w:pStyle w:val="7"/>
              <w:spacing w:line="480" w:lineRule="exact"/>
              <w:ind w:firstLine="480"/>
              <w:rPr>
                <w:snapToGrid w:val="0"/>
                <w:color w:val="auto"/>
                <w:kern w:val="24"/>
                <w:sz w:val="24"/>
                <w:highlight w:val="none"/>
              </w:rPr>
            </w:pPr>
            <w:r>
              <w:rPr>
                <w:rFonts w:hint="eastAsia"/>
                <w:color w:val="auto"/>
                <w:highlight w:val="none"/>
                <w:lang w:val="en-US" w:eastAsia="zh-CN"/>
              </w:rPr>
              <w:t>场地封场覆盖经有关部门鉴定</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val="en-US" w:eastAsia="zh-CN"/>
              </w:rPr>
              <w:t>。</w:t>
            </w:r>
            <w:r>
              <w:rPr>
                <w:snapToGrid w:val="0"/>
                <w:color w:val="auto"/>
                <w:kern w:val="24"/>
                <w:sz w:val="24"/>
                <w:highlight w:val="none"/>
              </w:rPr>
              <w:t>环评要求</w:t>
            </w:r>
            <w:r>
              <w:rPr>
                <w:rFonts w:hint="eastAsia"/>
                <w:snapToGrid w:val="0"/>
                <w:color w:val="auto"/>
                <w:kern w:val="24"/>
                <w:sz w:val="24"/>
                <w:highlight w:val="none"/>
              </w:rPr>
              <w:t>封场</w:t>
            </w:r>
            <w:r>
              <w:rPr>
                <w:snapToGrid w:val="0"/>
                <w:color w:val="auto"/>
                <w:kern w:val="24"/>
                <w:sz w:val="24"/>
                <w:highlight w:val="none"/>
              </w:rPr>
              <w:t>结束后，及时实行复垦绿化</w:t>
            </w:r>
            <w:r>
              <w:rPr>
                <w:rFonts w:hint="eastAsia"/>
                <w:snapToGrid w:val="0"/>
                <w:color w:val="auto"/>
                <w:kern w:val="24"/>
                <w:sz w:val="24"/>
                <w:highlight w:val="none"/>
                <w:lang w:eastAsia="zh-CN"/>
              </w:rPr>
              <w:t>，</w:t>
            </w:r>
            <w:r>
              <w:rPr>
                <w:rFonts w:hint="eastAsia"/>
                <w:snapToGrid w:val="0"/>
                <w:color w:val="auto"/>
                <w:kern w:val="24"/>
                <w:sz w:val="24"/>
                <w:highlight w:val="none"/>
                <w:lang w:val="en-US" w:eastAsia="zh-CN"/>
              </w:rPr>
              <w:t>按照相关要求及时用于农业开发</w:t>
            </w:r>
            <w:r>
              <w:rPr>
                <w:snapToGrid w:val="0"/>
                <w:color w:val="auto"/>
                <w:kern w:val="24"/>
                <w:sz w:val="24"/>
                <w:highlight w:val="none"/>
              </w:rPr>
              <w:t>。</w:t>
            </w:r>
          </w:p>
          <w:p w14:paraId="6F0DC4D8">
            <w:pPr>
              <w:bidi w:val="0"/>
              <w:rPr>
                <w:rFonts w:hint="eastAsia"/>
                <w:b/>
                <w:bCs/>
                <w:color w:val="auto"/>
                <w:highlight w:val="none"/>
                <w:lang w:val="en-US" w:eastAsia="zh-CN"/>
              </w:rPr>
            </w:pPr>
            <w:r>
              <w:rPr>
                <w:rFonts w:hint="eastAsia"/>
                <w:b/>
                <w:bCs/>
                <w:color w:val="auto"/>
                <w:highlight w:val="none"/>
                <w:lang w:val="en-US" w:eastAsia="zh-CN"/>
              </w:rPr>
              <w:t>本工序污染物主要为：封场覆盖过程机械噪声。</w:t>
            </w:r>
          </w:p>
          <w:p w14:paraId="4A476322">
            <w:pPr>
              <w:bidi w:val="0"/>
              <w:rPr>
                <w:rFonts w:hint="eastAsia"/>
                <w:b/>
                <w:bCs/>
                <w:color w:val="auto"/>
                <w:highlight w:val="none"/>
                <w:lang w:val="en-US" w:eastAsia="zh-CN"/>
              </w:rPr>
            </w:pPr>
          </w:p>
          <w:p w14:paraId="1BA535C9">
            <w:pPr>
              <w:bidi w:val="0"/>
              <w:rPr>
                <w:rFonts w:hint="eastAsia"/>
                <w:b/>
                <w:bCs/>
                <w:color w:val="auto"/>
                <w:highlight w:val="none"/>
                <w:lang w:val="en-US" w:eastAsia="zh-CN"/>
              </w:rPr>
            </w:pPr>
          </w:p>
          <w:p w14:paraId="04D89BC8">
            <w:pPr>
              <w:bidi w:val="0"/>
              <w:rPr>
                <w:rFonts w:hint="eastAsia"/>
                <w:b/>
                <w:bCs/>
                <w:color w:val="auto"/>
                <w:highlight w:val="none"/>
                <w:lang w:val="en-US" w:eastAsia="zh-CN"/>
              </w:rPr>
            </w:pPr>
          </w:p>
          <w:p w14:paraId="1CEB7BFE">
            <w:pPr>
              <w:bidi w:val="0"/>
              <w:rPr>
                <w:rFonts w:hint="eastAsia"/>
                <w:b/>
                <w:bCs/>
                <w:color w:val="auto"/>
                <w:highlight w:val="none"/>
                <w:lang w:val="en-US" w:eastAsia="zh-CN"/>
              </w:rPr>
            </w:pPr>
          </w:p>
          <w:p w14:paraId="688ED946">
            <w:pPr>
              <w:bidi w:val="0"/>
              <w:rPr>
                <w:rFonts w:hint="eastAsia"/>
                <w:b/>
                <w:bCs/>
                <w:color w:val="auto"/>
                <w:highlight w:val="none"/>
                <w:lang w:val="en-US" w:eastAsia="zh-CN"/>
              </w:rPr>
            </w:pPr>
            <w:r>
              <w:rPr>
                <w:color w:val="auto"/>
                <w:sz w:val="24"/>
                <w:highlight w:val="none"/>
              </w:rPr>
              <mc:AlternateContent>
                <mc:Choice Requires="wpg">
                  <w:drawing>
                    <wp:anchor distT="0" distB="0" distL="114300" distR="114300" simplePos="0" relativeHeight="251661312" behindDoc="0" locked="0" layoutInCell="1" allowOverlap="1">
                      <wp:simplePos x="0" y="0"/>
                      <wp:positionH relativeFrom="column">
                        <wp:posOffset>276225</wp:posOffset>
                      </wp:positionH>
                      <wp:positionV relativeFrom="paragraph">
                        <wp:posOffset>157480</wp:posOffset>
                      </wp:positionV>
                      <wp:extent cx="4594860" cy="5646420"/>
                      <wp:effectExtent l="6350" t="6350" r="8890" b="24130"/>
                      <wp:wrapNone/>
                      <wp:docPr id="63" name="组合 63"/>
                      <wp:cNvGraphicFramePr/>
                      <a:graphic xmlns:a="http://schemas.openxmlformats.org/drawingml/2006/main">
                        <a:graphicData uri="http://schemas.microsoft.com/office/word/2010/wordprocessingGroup">
                          <wpg:wgp>
                            <wpg:cNvGrpSpPr/>
                            <wpg:grpSpPr>
                              <a:xfrm>
                                <a:off x="0" y="0"/>
                                <a:ext cx="4594860" cy="5646420"/>
                                <a:chOff x="4825" y="983678"/>
                                <a:chExt cx="7236" cy="8892"/>
                              </a:xfrm>
                            </wpg:grpSpPr>
                            <wps:wsp>
                              <wps:cNvPr id="21" name="矩形 21"/>
                              <wps:cNvSpPr/>
                              <wps:spPr>
                                <a:xfrm>
                                  <a:off x="4825" y="983678"/>
                                  <a:ext cx="2571" cy="8892"/>
                                </a:xfrm>
                                <a:prstGeom prst="rect">
                                  <a:avLst/>
                                </a:prstGeom>
                                <a:noFill/>
                                <a:ln w="12700" cmpd="sng">
                                  <a:solidFill>
                                    <a:srgbClr val="FF0000"/>
                                  </a:solidFill>
                                  <a:prstDash val="sysDash"/>
                                </a:ln>
                              </wps:spPr>
                              <wps:style>
                                <a:lnRef idx="2">
                                  <a:schemeClr val="accent1">
                                    <a:lumMod val="75000"/>
                                  </a:schemeClr>
                                </a:lnRef>
                                <a:fillRef idx="1">
                                  <a:schemeClr val="accent1"/>
                                </a:fillRef>
                                <a:effectRef idx="0">
                                  <a:srgbClr val="FFFFFF"/>
                                </a:effectRef>
                                <a:fontRef idx="minor">
                                  <a:schemeClr val="lt1"/>
                                </a:fontRef>
                              </wps:style>
                              <wps:txbx>
                                <w:txbxContent>
                                  <w:p w14:paraId="5B1BE21E">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 name="矩形 1"/>
                              <wps:cNvSpPr/>
                              <wps:spPr>
                                <a:xfrm>
                                  <a:off x="5212" y="984511"/>
                                  <a:ext cx="1594" cy="739"/>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50600DF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建筑垃圾</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 name="直接箭头连接符 4"/>
                              <wps:cNvCnPr/>
                              <wps:spPr>
                                <a:xfrm>
                                  <a:off x="6025" y="985250"/>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1" name="矩形 11"/>
                              <wps:cNvSpPr/>
                              <wps:spPr>
                                <a:xfrm>
                                  <a:off x="5226" y="985794"/>
                                  <a:ext cx="1594" cy="739"/>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6DB2DB2">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车辆运输进场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 name="直接箭头连接符 12"/>
                              <wps:cNvCnPr/>
                              <wps:spPr>
                                <a:xfrm>
                                  <a:off x="6049" y="986535"/>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3" name="矩形 13"/>
                              <wps:cNvSpPr/>
                              <wps:spPr>
                                <a:xfrm>
                                  <a:off x="5249" y="989753"/>
                                  <a:ext cx="1654" cy="858"/>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5000860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将坑塘堆填满后进行封场覆盖</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 name="直接箭头连接符 14"/>
                              <wps:cNvCnPr/>
                              <wps:spPr>
                                <a:xfrm>
                                  <a:off x="7382" y="985025"/>
                                  <a:ext cx="340" cy="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15" name="矩形 15"/>
                              <wps:cNvSpPr/>
                              <wps:spPr>
                                <a:xfrm>
                                  <a:off x="5214" y="987081"/>
                                  <a:ext cx="1643" cy="739"/>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516DAF1">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经场区道路</w:t>
                                    </w:r>
                                  </w:p>
                                  <w:p w14:paraId="5D844D91">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进入卸料平台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 name="直接箭头连接符 16"/>
                              <wps:cNvCnPr/>
                              <wps:spPr>
                                <a:xfrm>
                                  <a:off x="6047" y="989227"/>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7" name="直接箭头连接符 17"/>
                              <wps:cNvCnPr/>
                              <wps:spPr>
                                <a:xfrm>
                                  <a:off x="6026" y="987809"/>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8" name="矩形 18"/>
                              <wps:cNvSpPr/>
                              <wps:spPr>
                                <a:xfrm>
                                  <a:off x="5238" y="988344"/>
                                  <a:ext cx="1643" cy="881"/>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22FBDA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卸料后，挖掘机将垃圾投堆填场内</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直接箭头连接符 19"/>
                              <wps:cNvCnPr/>
                              <wps:spPr>
                                <a:xfrm>
                                  <a:off x="6069" y="990635"/>
                                  <a:ext cx="11" cy="53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0" name="矩形 20"/>
                              <wps:cNvSpPr/>
                              <wps:spPr>
                                <a:xfrm>
                                  <a:off x="5264" y="991192"/>
                                  <a:ext cx="1654" cy="858"/>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7E87E11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根据项目情况，复绿</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 name="直接箭头连接符 22"/>
                              <wps:cNvCnPr/>
                              <wps:spPr>
                                <a:xfrm>
                                  <a:off x="7728" y="984477"/>
                                  <a:ext cx="1701" cy="9"/>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25" name="直接箭头连接符 25"/>
                              <wps:cNvCnPr/>
                              <wps:spPr>
                                <a:xfrm>
                                  <a:off x="7394" y="987239"/>
                                  <a:ext cx="340" cy="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26" name="直接箭头连接符 26"/>
                              <wps:cNvCnPr/>
                              <wps:spPr>
                                <a:xfrm>
                                  <a:off x="7417" y="989289"/>
                                  <a:ext cx="340" cy="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27" name="直接箭头连接符 27"/>
                              <wps:cNvCnPr/>
                              <wps:spPr>
                                <a:xfrm>
                                  <a:off x="7429" y="991217"/>
                                  <a:ext cx="340" cy="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28" name="直接箭头连接符 28"/>
                              <wps:cNvCnPr/>
                              <wps:spPr>
                                <a:xfrm flipH="1" flipV="1">
                                  <a:off x="7727" y="984471"/>
                                  <a:ext cx="1" cy="116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29" name="直接箭头连接符 29"/>
                              <wps:cNvCnPr/>
                              <wps:spPr>
                                <a:xfrm flipH="1" flipV="1">
                                  <a:off x="7744" y="986773"/>
                                  <a:ext cx="8" cy="1373"/>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31" name="直接箭头连接符 31"/>
                              <wps:cNvCnPr/>
                              <wps:spPr>
                                <a:xfrm flipV="1">
                                  <a:off x="7752" y="990337"/>
                                  <a:ext cx="1" cy="1701"/>
                                </a:xfrm>
                                <a:prstGeom prst="straightConnector1">
                                  <a:avLst/>
                                </a:prstGeom>
                                <a:ln w="12700" cmpd="sng">
                                  <a:solidFill>
                                    <a:schemeClr val="tx1"/>
                                  </a:solidFill>
                                  <a:prstDash val="sysDot"/>
                                  <a:tailEnd type="none"/>
                                </a:ln>
                              </wps:spPr>
                              <wps:style>
                                <a:lnRef idx="2">
                                  <a:schemeClr val="accent1"/>
                                </a:lnRef>
                                <a:fillRef idx="0">
                                  <a:srgbClr val="FFFFFF"/>
                                </a:fillRef>
                                <a:effectRef idx="0">
                                  <a:srgbClr val="FFFFFF"/>
                                </a:effectRef>
                                <a:fontRef idx="minor">
                                  <a:schemeClr val="tx1"/>
                                </a:fontRef>
                              </wps:style>
                              <wps:bodyPr/>
                            </wps:wsp>
                            <wps:wsp>
                              <wps:cNvPr id="32" name="矩形 32"/>
                              <wps:cNvSpPr/>
                              <wps:spPr>
                                <a:xfrm>
                                  <a:off x="7317" y="984623"/>
                                  <a:ext cx="597" cy="60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2C3EDD0">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G</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矩形 33"/>
                              <wps:cNvSpPr/>
                              <wps:spPr>
                                <a:xfrm>
                                  <a:off x="7306" y="986810"/>
                                  <a:ext cx="597" cy="60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4D7BE50">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 name="矩形 34"/>
                              <wps:cNvSpPr/>
                              <wps:spPr>
                                <a:xfrm>
                                  <a:off x="7986" y="988798"/>
                                  <a:ext cx="597" cy="60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9E7A6E4">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 name="矩形 35"/>
                              <wps:cNvSpPr/>
                              <wps:spPr>
                                <a:xfrm>
                                  <a:off x="7349" y="990679"/>
                                  <a:ext cx="597" cy="60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6A0048E9">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 name="直接箭头连接符 36"/>
                              <wps:cNvCnPr/>
                              <wps:spPr>
                                <a:xfrm>
                                  <a:off x="7728" y="985656"/>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37" name="直接箭头连接符 37"/>
                              <wps:cNvCnPr/>
                              <wps:spPr>
                                <a:xfrm>
                                  <a:off x="7739" y="986775"/>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38" name="直接箭头连接符 38"/>
                              <wps:cNvCnPr/>
                              <wps:spPr>
                                <a:xfrm>
                                  <a:off x="7775" y="988168"/>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39" name="直接箭头连接符 39"/>
                              <wps:cNvCnPr/>
                              <wps:spPr>
                                <a:xfrm>
                                  <a:off x="7753" y="989289"/>
                                  <a:ext cx="1699" cy="1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40" name="直接箭头连接符 40"/>
                              <wps:cNvCnPr/>
                              <wps:spPr>
                                <a:xfrm>
                                  <a:off x="7785" y="991227"/>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48" name="矩形 48"/>
                              <wps:cNvSpPr/>
                              <wps:spPr>
                                <a:xfrm>
                                  <a:off x="7618" y="986388"/>
                                  <a:ext cx="1771" cy="465"/>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10B9A3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洗车废水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6" name="矩形 46"/>
                              <wps:cNvSpPr/>
                              <wps:spPr>
                                <a:xfrm>
                                  <a:off x="9455" y="984981"/>
                                  <a:ext cx="2580" cy="1365"/>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CA832A0">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车辆加盖苫布，场区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定期洒水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，对进出场车辆进行清洗；车辆定期、及时维修、保养，非道路移动机械进行环保登记</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7" name="矩形 47"/>
                              <wps:cNvSpPr/>
                              <wps:spPr>
                                <a:xfrm>
                                  <a:off x="9454" y="986480"/>
                                  <a:ext cx="2569" cy="527"/>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65B2055D">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沉淀处理后循环使用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5" name="矩形 45"/>
                              <wps:cNvSpPr/>
                              <wps:spPr>
                                <a:xfrm>
                                  <a:off x="7492" y="985183"/>
                                  <a:ext cx="1896" cy="607"/>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038AC5F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运输废气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3" name="矩形 43"/>
                              <wps:cNvSpPr/>
                              <wps:spPr>
                                <a:xfrm>
                                  <a:off x="9454" y="983946"/>
                                  <a:ext cx="2569" cy="931"/>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69151EA9">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装卸降低高度落差，移动雾炮喷雾抑尘；及时覆盖、压实作业面</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4" name="矩形 44"/>
                              <wps:cNvSpPr/>
                              <wps:spPr>
                                <a:xfrm>
                                  <a:off x="7600" y="984042"/>
                                  <a:ext cx="1896" cy="382"/>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C1ACBE0">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卸车、堆填废气</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1" name="矩形 51"/>
                              <wps:cNvSpPr/>
                              <wps:spPr>
                                <a:xfrm>
                                  <a:off x="9490" y="987907"/>
                                  <a:ext cx="2569" cy="527"/>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1F0B2A2C">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泼洒地面抑尘</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9" name="矩形 49"/>
                              <wps:cNvSpPr/>
                              <wps:spPr>
                                <a:xfrm>
                                  <a:off x="7794" y="987724"/>
                                  <a:ext cx="1570" cy="477"/>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2BB8ADE">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职工生活</w:t>
                                    </w:r>
                                    <w:r>
                                      <w:rPr>
                                        <w:rFonts w:hint="eastAsia" w:cs="Times New Roman"/>
                                        <w:color w:val="000000" w:themeColor="text1"/>
                                        <w:sz w:val="21"/>
                                        <w:szCs w:val="21"/>
                                        <w:lang w:val="en-US" w:eastAsia="zh-CN"/>
                                        <w14:textFill>
                                          <w14:solidFill>
                                            <w14:schemeClr w14:val="tx1"/>
                                          </w14:solidFill>
                                        </w14:textFill>
                                      </w:rPr>
                                      <w:t>污</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2" name="矩形 52"/>
                              <wps:cNvSpPr/>
                              <wps:spPr>
                                <a:xfrm>
                                  <a:off x="9454" y="987120"/>
                                  <a:ext cx="2569" cy="645"/>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7D8FA1B">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收集后引入沉淀池，沉淀后，回用作区域抑尘</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 name="直接箭头连接符 50"/>
                              <wps:cNvCnPr/>
                              <wps:spPr>
                                <a:xfrm>
                                  <a:off x="7763" y="987513"/>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54" name="矩形 54"/>
                              <wps:cNvSpPr/>
                              <wps:spPr>
                                <a:xfrm>
                                  <a:off x="9444" y="988833"/>
                                  <a:ext cx="2569" cy="861"/>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73038C08">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选用低噪声设备，定期维修保养；车辆减速慢行、禁止鸣笛</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3" name="矩形 53"/>
                              <wps:cNvSpPr/>
                              <wps:spPr>
                                <a:xfrm>
                                  <a:off x="7892" y="987033"/>
                                  <a:ext cx="1222" cy="607"/>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48D947A">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淋溶水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5" name="矩形 55"/>
                              <wps:cNvSpPr/>
                              <wps:spPr>
                                <a:xfrm>
                                  <a:off x="7725" y="989950"/>
                                  <a:ext cx="1587" cy="418"/>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758FDF3">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洗车平台污泥</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8" name="矩形 58"/>
                              <wps:cNvSpPr/>
                              <wps:spPr>
                                <a:xfrm>
                                  <a:off x="9480" y="990000"/>
                                  <a:ext cx="2569" cy="707"/>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7F6E2E58">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与建筑垃圾一起堆填处理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6" name="直接箭头连接符 56"/>
                              <wps:cNvCnPr/>
                              <wps:spPr>
                                <a:xfrm>
                                  <a:off x="7773" y="990358"/>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59" name="矩形 59"/>
                              <wps:cNvSpPr/>
                              <wps:spPr>
                                <a:xfrm>
                                  <a:off x="7796" y="990646"/>
                                  <a:ext cx="1587" cy="632"/>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FE59AE8">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沉砂池和沉淀池沉渣</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2" name="矩形 62"/>
                              <wps:cNvSpPr/>
                              <wps:spPr>
                                <a:xfrm>
                                  <a:off x="9476" y="991661"/>
                                  <a:ext cx="2569" cy="719"/>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5B5FC055">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袋装化收集，送至环卫部门指定地点统一处理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7" name="直接箭头连接符 57"/>
                              <wps:cNvCnPr/>
                              <wps:spPr>
                                <a:xfrm>
                                  <a:off x="7773" y="992049"/>
                                  <a:ext cx="1701" cy="1"/>
                                </a:xfrm>
                                <a:prstGeom prst="straightConnector1">
                                  <a:avLst/>
                                </a:prstGeom>
                                <a:ln w="12700" cmpd="sng">
                                  <a:solidFill>
                                    <a:schemeClr val="tx1"/>
                                  </a:solidFill>
                                  <a:prstDash val="sysDot"/>
                                  <a:tailEnd type="arrow"/>
                                </a:ln>
                              </wps:spPr>
                              <wps:style>
                                <a:lnRef idx="2">
                                  <a:schemeClr val="accent1"/>
                                </a:lnRef>
                                <a:fillRef idx="0">
                                  <a:srgbClr val="FFFFFF"/>
                                </a:fillRef>
                                <a:effectRef idx="0">
                                  <a:srgbClr val="FFFFFF"/>
                                </a:effectRef>
                                <a:fontRef idx="minor">
                                  <a:schemeClr val="tx1"/>
                                </a:fontRef>
                              </wps:style>
                              <wps:bodyPr/>
                            </wps:wsp>
                            <wps:wsp>
                              <wps:cNvPr id="60" name="矩形 60"/>
                              <wps:cNvSpPr/>
                              <wps:spPr>
                                <a:xfrm>
                                  <a:off x="9492" y="990881"/>
                                  <a:ext cx="2569" cy="707"/>
                                </a:xfrm>
                                <a:prstGeom prst="rect">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3FD626F9">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与建筑垃圾一起堆填处理</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1" name="矩形 61"/>
                              <wps:cNvSpPr/>
                              <wps:spPr>
                                <a:xfrm>
                                  <a:off x="7785" y="991581"/>
                                  <a:ext cx="1634" cy="477"/>
                                </a:xfrm>
                                <a:prstGeom prst="rect">
                                  <a:avLst/>
                                </a:prstGeom>
                                <a:noFill/>
                                <a:ln w="12700" cmpd="sng">
                                  <a:no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2EDC5C84">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职工生活垃圾</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1.75pt;margin-top:12.4pt;height:444.6pt;width:361.8pt;z-index:251661312;mso-width-relative:page;mso-height-relative:page;" coordorigin="4825,983678" coordsize="7236,8892" o:gfxdata="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">
                      <o:lock v:ext="edit" aspectratio="f"/>
                      <v:rect id="_x0000_s1026" o:spid="_x0000_s1026" o:spt="1" style="position:absolute;left:4825;top:983678;height:8892;width:2571;v-text-anchor:middle;" filled="f" stroked="t" coordsize="21600,21600" o:gfxdata="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8q9ZvQAA&#10;ANsAAAAPAAAAAAAAAAEAIAAAACIAAABkcnMvZG93bnJldi54bWxQSwECFAAUAAAACACHTuJAMy8F&#10;njsAAAA5AAAAEAAAAAAAAAABACAAAAAMAQAAZHJzL3NoYXBleG1sLnhtbFBLBQYAAAAABgAGAFsB&#10;AAC2AwAAAAA=&#10;">
                        <v:fill on="f" focussize="0,0"/>
                        <v:stroke weight="1pt" color="#FF0000 [2404]" miterlimit="8" joinstyle="miter" dashstyle="3 1"/>
                        <v:imagedata o:title=""/>
                        <o:lock v:ext="edit" aspectratio="f"/>
                        <v:textbox>
                          <w:txbxContent>
                            <w:p w14:paraId="5B1BE21E">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p>
                          </w:txbxContent>
                        </v:textbox>
                      </v:rect>
                      <v:rect id="_x0000_s1026" o:spid="_x0000_s1026" o:spt="1" style="position:absolute;left:5212;top:984511;height:739;width:1594;v-text-anchor:middle;" filled="f" stroked="t" coordsize="21600,21600" o:gfxdata="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PpQaugAAANo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textbox>
                          <w:txbxContent>
                            <w:p w14:paraId="50600DF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建筑垃圾</w:t>
                              </w:r>
                            </w:p>
                          </w:txbxContent>
                        </v:textbox>
                      </v:rect>
                      <v:shape id="_x0000_s1026" o:spid="_x0000_s1026" o:spt="32" type="#_x0000_t32" style="position:absolute;left:6025;top:985250;height:535;width:11;" filled="f" stroked="t" coordsize="21600,21600" o:gfxdata="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4Bsn7sAAADa&#10;AAAADwAAAAAAAAABACAAAAAiAAAAZHJzL2Rvd25yZXYueG1sUEsBAhQAFAAAAAgAh07iQDMvBZ47&#10;AAAAOQAAABAAAAAAAAAAAQAgAAAACgEAAGRycy9zaGFwZXhtbC54bWxQSwUGAAAAAAYABgBbAQAA&#10;tAMAAAAA&#10;">
                        <v:fill on="f" focussize="0,0"/>
                        <v:stroke weight="1pt" color="#000000 [3213]" miterlimit="8" joinstyle="miter" endarrow="open"/>
                        <v:imagedata o:title=""/>
                        <o:lock v:ext="edit" aspectratio="f"/>
                      </v:shape>
                      <v:rect id="_x0000_s1026" o:spid="_x0000_s1026" o:spt="1" style="position:absolute;left:5226;top:985794;height:739;width:1594;v-text-anchor:middle;" filled="f" stroked="t" coordsize="21600,21600" o:gfxdata="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6Q7hr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textbox>
                          <w:txbxContent>
                            <w:p w14:paraId="36DB2DB2">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车辆运输进场</w:t>
                              </w:r>
                            </w:p>
                          </w:txbxContent>
                        </v:textbox>
                      </v:rect>
                      <v:shape id="_x0000_s1026" o:spid="_x0000_s1026" o:spt="32" type="#_x0000_t32" style="position:absolute;left:6049;top:986535;height:535;width:11;" filled="f" stroked="t" coordsize="21600,21600" o:gfxdata="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3FntLgAAADbAAAA&#10;DwAAAAAAAAABACAAAAAiAAAAZHJzL2Rvd25yZXYueG1sUEsBAhQAFAAAAAgAh07iQDMvBZ47AAAA&#10;OQAAABAAAAAAAAAAAQAgAAAABwEAAGRycy9zaGFwZXhtbC54bWxQSwUGAAAAAAYABgBbAQAAsQMA&#10;AAAA&#10;">
                        <v:fill on="f" focussize="0,0"/>
                        <v:stroke weight="1pt" color="#000000 [3213]" miterlimit="8" joinstyle="miter" endarrow="open"/>
                        <v:imagedata o:title=""/>
                        <o:lock v:ext="edit" aspectratio="f"/>
                      </v:shape>
                      <v:rect id="_x0000_s1026" o:spid="_x0000_s1026" o:spt="1" style="position:absolute;left:5249;top:989753;height:858;width:1654;v-text-anchor:middle;" filled="f" stroked="t" coordsize="21600,21600" o:gfxdata="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DoAar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textbox>
                          <w:txbxContent>
                            <w:p w14:paraId="5000860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将坑塘堆填满后进行封场覆盖</w:t>
                              </w:r>
                            </w:p>
                          </w:txbxContent>
                        </v:textbox>
                      </v:rect>
                      <v:shape id="_x0000_s1026" o:spid="_x0000_s1026" o:spt="32" type="#_x0000_t32" style="position:absolute;left:7382;top:985025;height:1;width:340;" filled="f" stroked="t" coordsize="21600,21600" o:gfxdata="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3SGCK5AAAA2wAA&#10;AA8AAAAAAAAAAQAgAAAAIgAAAGRycy9kb3ducmV2LnhtbFBLAQIUABQAAAAIAIdO4kAzLwWeOwAA&#10;ADkAAAAQAAAAAAAAAAEAIAAAAAgBAABkcnMvc2hhcGV4bWwueG1sUEsFBgAAAAAGAAYAWwEAALID&#10;AAAAAA==&#10;">
                        <v:fill on="f" focussize="0,0"/>
                        <v:stroke weight="1pt" color="#000000 [3213]" miterlimit="8" joinstyle="miter" dashstyle="1 1"/>
                        <v:imagedata o:title=""/>
                        <o:lock v:ext="edit" aspectratio="f"/>
                      </v:shape>
                      <v:rect id="_x0000_s1026" o:spid="_x0000_s1026" o:spt="1" style="position:absolute;left:5214;top:987081;height:739;width:1643;v-text-anchor:middle;" filled="f" stroked="t" coordsize="21600,21600" o:gfxdata="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J89hb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textbox>
                          <w:txbxContent>
                            <w:p w14:paraId="3516DAF1">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经场区道路</w:t>
                              </w:r>
                            </w:p>
                            <w:p w14:paraId="5D844D91">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进入卸料平台</w:t>
                              </w:r>
                            </w:p>
                          </w:txbxContent>
                        </v:textbox>
                      </v:rect>
                      <v:shape id="_x0000_s1026" o:spid="_x0000_s1026" o:spt="32" type="#_x0000_t32" style="position:absolute;left:6047;top:989227;height:535;width:11;" filled="f" stroked="t" coordsize="21600,21600" o:gfxdata="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0SmG3twAAANsAAAAP&#10;AAAAAAAAAAEAIAAAACIAAABkcnMvZG93bnJldi54bWxQSwECFAAUAAAACACHTuJAMy8FnjsAAAA5&#10;AAAAEAAAAAAAAAABACAAAAAGAQAAZHJzL3NoYXBleG1sLnhtbFBLBQYAAAAABgAGAFsBAACwAwAA&#10;AAA=&#10;">
                        <v:fill on="f" focussize="0,0"/>
                        <v:stroke weight="1pt" color="#000000 [3213]" miterlimit="8" joinstyle="miter" endarrow="open"/>
                        <v:imagedata o:title=""/>
                        <o:lock v:ext="edit" aspectratio="f"/>
                      </v:shape>
                      <v:shape id="_x0000_s1026" o:spid="_x0000_s1026" o:spt="32" type="#_x0000_t32" style="position:absolute;left:6026;top:987809;height:535;width:11;" filled="f" stroked="t" coordsize="21600,21600" o:gfxdata="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wbELLgAAADbAAAA&#10;DwAAAAAAAAABACAAAAAiAAAAZHJzL2Rvd25yZXYueG1sUEsBAhQAFAAAAAgAh07iQDMvBZ47AAAA&#10;OQAAABAAAAAAAAAAAQAgAAAABwEAAGRycy9zaGFwZXhtbC54bWxQSwUGAAAAAAYABgBbAQAAsQMA&#10;AAAA&#10;">
                        <v:fill on="f" focussize="0,0"/>
                        <v:stroke weight="1pt" color="#000000 [3213]" miterlimit="8" joinstyle="miter" endarrow="open"/>
                        <v:imagedata o:title=""/>
                        <o:lock v:ext="edit" aspectratio="f"/>
                      </v:shape>
                      <v:rect id="_x0000_s1026" o:spid="_x0000_s1026" o:spt="1" style="position:absolute;left:5238;top:988344;height:881;width:1643;v-text-anchor:middle;" filled="f" stroked="t" coordsize="21600,21600" o:gfxdata="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p6SG7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textbox>
                          <w:txbxContent>
                            <w:p w14:paraId="222FBDA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卸料后，挖掘机将垃圾投堆填场内</w:t>
                              </w:r>
                            </w:p>
                          </w:txbxContent>
                        </v:textbox>
                      </v:rect>
                      <v:shape id="_x0000_s1026" o:spid="_x0000_s1026" o:spt="32" type="#_x0000_t32" style="position:absolute;left:6069;top:990635;height:535;width:11;" filled="f" stroked="t" coordsize="21600,21600" o:gfxdata="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dX1xbgAAADbAAAA&#10;DwAAAAAAAAABACAAAAAiAAAAZHJzL2Rvd25yZXYueG1sUEsBAhQAFAAAAAgAh07iQDMvBZ47AAAA&#10;OQAAABAAAAAAAAAAAQAgAAAABwEAAGRycy9zaGFwZXhtbC54bWxQSwUGAAAAAAYABgBbAQAAsQMA&#10;AAAA&#10;">
                        <v:fill on="f" focussize="0,0"/>
                        <v:stroke weight="1pt" color="#000000 [3213]" miterlimit="8" joinstyle="miter" endarrow="open"/>
                        <v:imagedata o:title=""/>
                        <o:lock v:ext="edit" aspectratio="f"/>
                      </v:shape>
                      <v:rect id="_x0000_s1026" o:spid="_x0000_s1026" o:spt="1" style="position:absolute;left:5264;top:991192;height:858;width:1654;v-text-anchor:middle;" filled="f" stroked="t" coordsize="21600,21600" o:gfxdata="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hFSgugAAANs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textbox>
                          <w:txbxContent>
                            <w:p w14:paraId="7E87E11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根据项目情况，复绿</w:t>
                              </w:r>
                            </w:p>
                          </w:txbxContent>
                        </v:textbox>
                      </v:rect>
                      <v:shape id="_x0000_s1026" o:spid="_x0000_s1026" o:spt="32" type="#_x0000_t32" style="position:absolute;left:7728;top:984477;height:9;width:1701;" filled="f" stroked="t" coordsize="21600,21600" o:gfxdata="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2jFdvQAA&#10;ANsAAAAPAAAAAAAAAAEAIAAAACIAAABkcnMvZG93bnJldi54bWxQSwECFAAUAAAACACHTuJAMy8F&#10;njsAAAA5AAAAEAAAAAAAAAABACAAAAAMAQAAZHJzL3NoYXBleG1sLnhtbFBLBQYAAAAABgAGAFsB&#10;AAC2AwAAAAA=&#10;">
                        <v:fill on="f" focussize="0,0"/>
                        <v:stroke weight="1pt" color="#000000 [3213]" miterlimit="8" joinstyle="miter" dashstyle="1 1" endarrow="open"/>
                        <v:imagedata o:title=""/>
                        <o:lock v:ext="edit" aspectratio="f"/>
                      </v:shape>
                      <v:shape id="_x0000_s1026" o:spid="_x0000_s1026" o:spt="32" type="#_x0000_t32" style="position:absolute;left:7394;top:987239;height:1;width:340;" filled="f" stroked="t" coordsize="21600,21600" o:gfxdata="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zydwS8AAAA&#10;2wAAAA8AAAAAAAAAAQAgAAAAIgAAAGRycy9kb3ducmV2LnhtbFBLAQIUABQAAAAIAIdO4kAzLwWe&#10;OwAAADkAAAAQAAAAAAAAAAEAIAAAAAsBAABkcnMvc2hhcGV4bWwueG1sUEsFBgAAAAAGAAYAWwEA&#10;ALUDAAAAAA==&#10;">
                        <v:fill on="f" focussize="0,0"/>
                        <v:stroke weight="1pt" color="#000000 [3213]" miterlimit="8" joinstyle="miter" dashstyle="1 1"/>
                        <v:imagedata o:title=""/>
                        <o:lock v:ext="edit" aspectratio="f"/>
                      </v:shape>
                      <v:shape id="_x0000_s1026" o:spid="_x0000_s1026" o:spt="32" type="#_x0000_t32" style="position:absolute;left:7417;top:989289;height:1;width:340;" filled="f" stroked="t" coordsize="21600,21600" o:gfxdata="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wg6XO8AAAA&#10;2wAAAA8AAAAAAAAAAQAgAAAAIgAAAGRycy9kb3ducmV2LnhtbFBLAQIUABQAAAAIAIdO4kAzLwWe&#10;OwAAADkAAAAQAAAAAAAAAAEAIAAAAAsBAABkcnMvc2hhcGV4bWwueG1sUEsFBgAAAAAGAAYAWwEA&#10;ALUDAAAAAA==&#10;">
                        <v:fill on="f" focussize="0,0"/>
                        <v:stroke weight="1pt" color="#000000 [3213]" miterlimit="8" joinstyle="miter" dashstyle="1 1"/>
                        <v:imagedata o:title=""/>
                        <o:lock v:ext="edit" aspectratio="f"/>
                      </v:shape>
                      <v:shape id="_x0000_s1026" o:spid="_x0000_s1026" o:spt="32" type="#_x0000_t32" style="position:absolute;left:7429;top:991217;height:1;width:340;" filled="f" stroked="t" coordsize="21600,21600" o:gfxdata="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NsTOi8AAAA&#10;2wAAAA8AAAAAAAAAAQAgAAAAIgAAAGRycy9kb3ducmV2LnhtbFBLAQIUABQAAAAIAIdO4kAzLwWe&#10;OwAAADkAAAAQAAAAAAAAAAEAIAAAAAsBAABkcnMvc2hhcGV4bWwueG1sUEsFBgAAAAAGAAYAWwEA&#10;ALUDAAAAAA==&#10;">
                        <v:fill on="f" focussize="0,0"/>
                        <v:stroke weight="1pt" color="#000000 [3213]" miterlimit="8" joinstyle="miter" dashstyle="1 1"/>
                        <v:imagedata o:title=""/>
                        <o:lock v:ext="edit" aspectratio="f"/>
                      </v:shape>
                      <v:shape id="_x0000_s1026" o:spid="_x0000_s1026" o:spt="32" type="#_x0000_t32" style="position:absolute;left:7727;top:984471;flip:x y;height:1161;width:1;" filled="f" stroked="t" coordsize="21600,21600" o:gfxdata="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tDfc7sAAADb&#10;AAAADwAAAAAAAAABACAAAAAiAAAAZHJzL2Rvd25yZXYueG1sUEsBAhQAFAAAAAgAh07iQDMvBZ47&#10;AAAAOQAAABAAAAAAAAAAAQAgAAAACgEAAGRycy9zaGFwZXhtbC54bWxQSwUGAAAAAAYABgBbAQAA&#10;tAMAAAAA&#10;">
                        <v:fill on="f" focussize="0,0"/>
                        <v:stroke weight="1pt" color="#000000 [3213]" miterlimit="8" joinstyle="miter" dashstyle="1 1"/>
                        <v:imagedata o:title=""/>
                        <o:lock v:ext="edit" aspectratio="f"/>
                      </v:shape>
                      <v:shape id="_x0000_s1026" o:spid="_x0000_s1026" o:spt="32" type="#_x0000_t32" style="position:absolute;left:7744;top:986773;flip:x y;height:1373;width:8;" filled="f" stroked="t" coordsize="21600,21600" o:gfxdata="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mceui/&#10;AAAA2wAAAA8AAAAAAAAAAQAgAAAAIgAAAGRycy9kb3ducmV2LnhtbFBLAQIUABQAAAAIAIdO4kAz&#10;LwWeOwAAADkAAAAQAAAAAAAAAAEAIAAAAA4BAABkcnMvc2hhcGV4bWwueG1sUEsFBgAAAAAGAAYA&#10;WwEAALgDAAAAAA==&#10;">
                        <v:fill on="f" focussize="0,0"/>
                        <v:stroke weight="1pt" color="#000000 [3213]" miterlimit="8" joinstyle="miter" dashstyle="1 1"/>
                        <v:imagedata o:title=""/>
                        <o:lock v:ext="edit" aspectratio="f"/>
                      </v:shape>
                      <v:shape id="_x0000_s1026" o:spid="_x0000_s1026" o:spt="32" type="#_x0000_t32" style="position:absolute;left:7752;top:990337;flip:y;height:1701;width:1;" filled="f" stroked="t" coordsize="21600,21600" o:gfxdata="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JVNyvQAA&#10;ANsAAAAPAAAAAAAAAAEAIAAAACIAAABkcnMvZG93bnJldi54bWxQSwECFAAUAAAACACHTuJAMy8F&#10;njsAAAA5AAAAEAAAAAAAAAABACAAAAAMAQAAZHJzL3NoYXBleG1sLnhtbFBLBQYAAAAABgAGAFsB&#10;AAC2AwAAAAA=&#10;">
                        <v:fill on="f" focussize="0,0"/>
                        <v:stroke weight="1pt" color="#000000 [3213]" miterlimit="8" joinstyle="miter" dashstyle="1 1"/>
                        <v:imagedata o:title=""/>
                        <o:lock v:ext="edit" aspectratio="f"/>
                      </v:shape>
                      <v:rect id="_x0000_s1026" o:spid="_x0000_s1026" o:spt="1" style="position:absolute;left:7317;top:984623;height:608;width:597;v-text-anchor:middle;" filled="f" stroked="f" coordsize="21600,21600" o:gfxdata="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fMIOu8AAAA&#10;2wAAAA8AAAAAAAAAAQAgAAAAIgAAAGRycy9kb3ducmV2LnhtbFBLAQIUABQAAAAIAIdO4kAzLwWe&#10;OwAAADkAAAAQAAAAAAAAAAEAIAAAAAsBAABkcnMvc2hhcGV4bWwueG1sUEsFBgAAAAAGAAYAWwEA&#10;ALUDAAAAAA==&#10;">
                        <v:fill on="f" focussize="0,0"/>
                        <v:stroke on="f" weight="1pt" miterlimit="8" joinstyle="miter"/>
                        <v:imagedata o:title=""/>
                        <o:lock v:ext="edit" aspectratio="f"/>
                        <v:textbox>
                          <w:txbxContent>
                            <w:p w14:paraId="22C3EDD0">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G</w:t>
                              </w:r>
                            </w:p>
                          </w:txbxContent>
                        </v:textbox>
                      </v:rect>
                      <v:rect id="_x0000_s1026" o:spid="_x0000_s1026" o:spt="1" style="position:absolute;left:7306;top:986810;height:608;width:597;v-text-anchor:middle;" filled="f" stroked="f" coordsize="21600,21600" o:gfxdata="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4gIVw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34D7BE50">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W</w:t>
                              </w:r>
                            </w:p>
                          </w:txbxContent>
                        </v:textbox>
                      </v:rect>
                      <v:rect id="_x0000_s1026" o:spid="_x0000_s1026" o:spt="1" style="position:absolute;left:7986;top:988798;height:608;width:597;v-text-anchor:middle;" filled="f" stroked="f" coordsize="21600,21600" o:gfxdata="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2kdBL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19E7A6E4">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w:t>
                              </w:r>
                            </w:p>
                          </w:txbxContent>
                        </v:textbox>
                      </v:rect>
                      <v:rect id="_x0000_s1026" o:spid="_x0000_s1026" o:spt="1" style="position:absolute;left:7349;top:990679;height:608;width:597;v-text-anchor:middle;" filled="f" stroked="f" coordsize="21600,21600" o:gfxdata="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W4n7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6A0048E9">
                              <w:pPr>
                                <w:keepNext w:val="0"/>
                                <w:keepLines w:val="0"/>
                                <w:pageBreakBefore w:val="0"/>
                                <w:widowControl w:val="0"/>
                                <w:kinsoku/>
                                <w:wordWrap/>
                                <w:overflowPunct/>
                                <w:topLinePunct w:val="0"/>
                                <w:bidi w:val="0"/>
                                <w:adjustRightInd/>
                                <w:snapToGrid/>
                                <w:spacing w:line="200" w:lineRule="exact"/>
                                <w:ind w:left="0" w:leftChars="0" w:firstLine="0" w:firstLineChars="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S</w:t>
                              </w:r>
                            </w:p>
                          </w:txbxContent>
                        </v:textbox>
                      </v:rect>
                      <v:shape id="_x0000_s1026" o:spid="_x0000_s1026" o:spt="32" type="#_x0000_t32" style="position:absolute;left:7728;top:985656;height:1;width:1701;" filled="f" stroked="t" coordsize="21600,21600" o:gfxdata="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jihg7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shape id="_x0000_s1026" o:spid="_x0000_s1026" o:spt="32" type="#_x0000_t32" style="position:absolute;left:7739;top:986775;height:1;width:1701;" filled="f" stroked="t" coordsize="21600,21600" o:gfxdata="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XQEGL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shape id="_x0000_s1026" o:spid="_x0000_s1026" o:spt="32" type="#_x0000_t32" style="position:absolute;left:7775;top:988168;height:1;width:1701;" filled="f" stroked="t" coordsize="21600,21600" o:gfxdata="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65BqugAAANsA&#10;AAAPAAAAAAAAAAEAIAAAACIAAABkcnMvZG93bnJldi54bWxQSwECFAAUAAAACACHTuJAMy8FnjsA&#10;AAA5AAAAEAAAAAAAAAABACAAAAAJAQAAZHJzL3NoYXBleG1sLnhtbFBLBQYAAAAABgAGAFsBAACz&#10;AwAAAAA=&#10;">
                        <v:fill on="f" focussize="0,0"/>
                        <v:stroke weight="1pt" color="#000000 [3213]" miterlimit="8" joinstyle="miter" dashstyle="1 1" endarrow="open"/>
                        <v:imagedata o:title=""/>
                        <o:lock v:ext="edit" aspectratio="f"/>
                      </v:shape>
                      <v:shape id="_x0000_s1026" o:spid="_x0000_s1026" o:spt="32" type="#_x0000_t32" style="position:absolute;left:7753;top:989289;height:11;width:1699;" filled="f" stroked="t" coordsize="21600,21600" o:gfxdata="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6c18b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shape id="_x0000_s1026" o:spid="_x0000_s1026" o:spt="32" type="#_x0000_t32" style="position:absolute;left:7785;top:991227;height:1;width:1701;" filled="f" stroked="t" coordsize="21600,21600" o:gfxdata="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m+8RugAAANsA&#10;AAAPAAAAAAAAAAEAIAAAACIAAABkcnMvZG93bnJldi54bWxQSwECFAAUAAAACACHTuJAMy8FnjsA&#10;AAA5AAAAEAAAAAAAAAABACAAAAAJAQAAZHJzL3NoYXBleG1sLnhtbFBLBQYAAAAABgAGAFsBAACz&#10;AwAAAAA=&#10;">
                        <v:fill on="f" focussize="0,0"/>
                        <v:stroke weight="1pt" color="#000000 [3213]" miterlimit="8" joinstyle="miter" dashstyle="1 1" endarrow="open"/>
                        <v:imagedata o:title=""/>
                        <o:lock v:ext="edit" aspectratio="f"/>
                      </v:shape>
                      <v:rect id="_x0000_s1026" o:spid="_x0000_s1026" o:spt="1" style="position:absolute;left:7618;top:986388;height:465;width:1771;v-text-anchor:middle;" filled="f" stroked="f" coordsize="21600,21600" o:gfxdata="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4iZHy5AAAA2wAA&#10;AA8AAAAAAAAAAQAgAAAAIgAAAGRycy9kb3ducmV2LnhtbFBLAQIUABQAAAAIAIdO4kAzLwWeOwAA&#10;ADkAAAAQAAAAAAAAAAEAIAAAAAgBAABkcnMvc2hhcGV4bWwueG1sUEsFBgAAAAAGAAYAWwEAALID&#10;AAAAAA==&#10;">
                        <v:fill on="f" focussize="0,0"/>
                        <v:stroke on="f" weight="1pt" miterlimit="8" joinstyle="miter"/>
                        <v:imagedata o:title=""/>
                        <o:lock v:ext="edit" aspectratio="f"/>
                        <v:textbox>
                          <w:txbxContent>
                            <w:p w14:paraId="410B9A36">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洗车废水</w:t>
                              </w:r>
                            </w:p>
                          </w:txbxContent>
                        </v:textbox>
                      </v:rect>
                      <v:rect id="_x0000_s1026" o:spid="_x0000_s1026" o:spt="1" style="position:absolute;left:9455;top:984981;height:1365;width:2580;v-text-anchor:middle;" filled="f" stroked="t" coordsize="21600,21600" o:gfxdata="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ozv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3CA832A0">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车辆加盖苫布，场区</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定期洒水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，对进出场车辆进行清洗；车辆定期、及时维修、保养，非道路移动机械进行环保登记</w:t>
                              </w:r>
                            </w:p>
                          </w:txbxContent>
                        </v:textbox>
                      </v:rect>
                      <v:rect id="_x0000_s1026" o:spid="_x0000_s1026" o:spt="1" style="position:absolute;left:9454;top:986480;height:527;width:2569;v-text-anchor:middle;" filled="f" stroked="t" coordsize="21600,21600" o:gfxdata="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sil0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65B2055D">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沉淀处理后循环使用</w:t>
                              </w:r>
                            </w:p>
                          </w:txbxContent>
                        </v:textbox>
                      </v:rect>
                      <v:rect id="_x0000_s1026" o:spid="_x0000_s1026" o:spt="1" style="position:absolute;left:7492;top:985183;height:607;width:1896;v-text-anchor:middle;" filled="f" stroked="f" coordsize="21600,21600" o:gfxdata="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CPL4r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038AC5FC">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运输废气</w:t>
                              </w:r>
                            </w:p>
                          </w:txbxContent>
                        </v:textbox>
                      </v:rect>
                      <v:rect id="_x0000_s1026" o:spid="_x0000_s1026" o:spt="1" style="position:absolute;left:9454;top:983946;height:931;width:2569;v-text-anchor:middle;" filled="f" stroked="t" coordsize="21600,21600" o:gfxdata="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iS93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69151EA9">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装卸降低高度落差，移动雾炮喷雾抑尘；及时覆盖、压实作业面</w:t>
                              </w:r>
                            </w:p>
                          </w:txbxContent>
                        </v:textbox>
                      </v:rect>
                      <v:rect id="_x0000_s1026" o:spid="_x0000_s1026" o:spt="1" style="position:absolute;left:7600;top:984042;height:382;width:1896;v-text-anchor:middle;" filled="f" stroked="f" coordsize="21600,21600" o:gfxdata="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b255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1C1ACBE0">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卸车、堆填废气</w:t>
                              </w:r>
                            </w:p>
                          </w:txbxContent>
                        </v:textbox>
                      </v:rect>
                      <v:rect id="_x0000_s1026" o:spid="_x0000_s1026" o:spt="1" style="position:absolute;left:9490;top:987907;height:527;width:2569;v-text-anchor:middle;" filled="f" stroked="t" coordsize="21600,21600" o:gfxdata="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zoJG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1F0B2A2C">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泼洒地面抑尘</w:t>
                              </w:r>
                            </w:p>
                          </w:txbxContent>
                        </v:textbox>
                      </v:rect>
                      <v:rect id="_x0000_s1026" o:spid="_x0000_s1026" o:spt="1" style="position:absolute;left:7794;top:987724;height:477;width:1570;v-text-anchor:middle;" filled="f" stroked="f" coordsize="21600,21600" o:gfxdata="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bsHn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22BB8ADE">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职工生活</w:t>
                              </w:r>
                              <w:r>
                                <w:rPr>
                                  <w:rFonts w:hint="eastAsia" w:cs="Times New Roman"/>
                                  <w:color w:val="000000" w:themeColor="text1"/>
                                  <w:sz w:val="21"/>
                                  <w:szCs w:val="21"/>
                                  <w:lang w:val="en-US" w:eastAsia="zh-CN"/>
                                  <w14:textFill>
                                    <w14:solidFill>
                                      <w14:schemeClr w14:val="tx1"/>
                                    </w14:solidFill>
                                  </w14:textFill>
                                </w:rPr>
                                <w:t>污</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w:t>
                              </w:r>
                            </w:p>
                          </w:txbxContent>
                        </v:textbox>
                      </v:rect>
                      <v:rect id="_x0000_s1026" o:spid="_x0000_s1026" o:spt="1" style="position:absolute;left:9454;top:987120;height:645;width:2569;v-text-anchor:middle;" filled="f" stroked="t" coordsize="21600,21600" o:gfxdata="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HBwx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37D8FA1B">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收集后引入沉淀池，沉淀后，回用作区域抑尘</w:t>
                              </w:r>
                            </w:p>
                          </w:txbxContent>
                        </v:textbox>
                      </v:rect>
                      <v:shape id="_x0000_s1026" o:spid="_x0000_s1026" o:spt="32" type="#_x0000_t32" style="position:absolute;left:7763;top:987513;height:1;width:1701;" filled="f" stroked="t" coordsize="21600,21600" o:gfxdata="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QnnMugAAANsA&#10;AAAPAAAAAAAAAAEAIAAAACIAAABkcnMvZG93bnJldi54bWxQSwECFAAUAAAACACHTuJAMy8FnjsA&#10;AAA5AAAAEAAAAAAAAAABACAAAAAJAQAAZHJzL3NoYXBleG1sLnhtbFBLBQYAAAAABgAGAFsBAACz&#10;AwAAAAA=&#10;">
                        <v:fill on="f" focussize="0,0"/>
                        <v:stroke weight="1pt" color="#000000 [3213]" miterlimit="8" joinstyle="miter" dashstyle="1 1" endarrow="open"/>
                        <v:imagedata o:title=""/>
                        <o:lock v:ext="edit" aspectratio="f"/>
                      </v:shape>
                      <v:rect id="_x0000_s1026" o:spid="_x0000_s1026" o:spt="1" style="position:absolute;left:9444;top:988833;height:861;width:2569;v-text-anchor:middle;" filled="f" stroked="t" coordsize="21600,21600" o:gfxdata="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uSHe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14:paraId="73038C08">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选用低噪声设备，定期维修保养；车辆减速慢行、禁止鸣笛</w:t>
                              </w:r>
                            </w:p>
                          </w:txbxContent>
                        </v:textbox>
                      </v:rect>
                      <v:rect id="_x0000_s1026" o:spid="_x0000_s1026" o:spt="1" style="position:absolute;left:7892;top:987033;height:607;width:1222;v-text-anchor:middle;" filled="f" stroked="f" coordsize="21600,21600" o:gfxdata="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V9g0LsAAADb&#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248D947A">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淋溶水</w:t>
                              </w:r>
                            </w:p>
                          </w:txbxContent>
                        </v:textbox>
                      </v:rect>
                      <v:rect id="_x0000_s1026" o:spid="_x0000_s1026" o:spt="1" style="position:absolute;left:7725;top:989950;height:418;width:1587;v-text-anchor:middle;" filled="f" stroked="f" coordsize="21600,21600" o:gfxdata="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l0/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4758FDF3">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洗车平台污泥</w:t>
                              </w:r>
                            </w:p>
                          </w:txbxContent>
                        </v:textbox>
                      </v:rect>
                      <v:rect id="_x0000_s1026" o:spid="_x0000_s1026" o:spt="1" style="position:absolute;left:9480;top:990000;height:707;width:2569;v-text-anchor:middle;" filled="f" stroked="t" coordsize="21600,21600" o:gfxdata="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9CvbugAAANs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textbox>
                          <w:txbxContent>
                            <w:p w14:paraId="7F6E2E58">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与建筑垃圾一起堆填处理</w:t>
                              </w:r>
                            </w:p>
                          </w:txbxContent>
                        </v:textbox>
                      </v:rect>
                      <v:shape id="_x0000_s1026" o:spid="_x0000_s1026" o:spt="32" type="#_x0000_t32" style="position:absolute;left:7773;top:990358;height:1;width:1701;" filled="f" stroked="t" coordsize="21600,21600" o:gfxdata="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dEI7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rect id="_x0000_s1026" o:spid="_x0000_s1026" o:spt="1" style="position:absolute;left:7796;top:990646;height:632;width:1587;v-text-anchor:middle;" filled="f" stroked="f" coordsize="21600,21600" o:gfxdata="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1c6vQAA&#10;ANsAAAAPAAAAAAAAAAEAIAAAACIAAABkcnMvZG93bnJldi54bWxQSwECFAAUAAAACACHTuJAMy8F&#10;njsAAAA5AAAAEAAAAAAAAAABACAAAAAMAQAAZHJzL3NoYXBleG1sLnhtbFBLBQYAAAAABgAGAFsB&#10;AAC2AwAAAAA=&#10;">
                        <v:fill on="f" focussize="0,0"/>
                        <v:stroke on="f" weight="1pt" miterlimit="8" joinstyle="miter"/>
                        <v:imagedata o:title=""/>
                        <o:lock v:ext="edit" aspectratio="f"/>
                        <v:textbox>
                          <w:txbxContent>
                            <w:p w14:paraId="4FE59AE8">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沉砂池和沉淀池沉渣</w:t>
                              </w:r>
                            </w:p>
                          </w:txbxContent>
                        </v:textbox>
                      </v:rect>
                      <v:rect id="_x0000_s1026" o:spid="_x0000_s1026" o:spt="1" style="position:absolute;left:9476;top:991661;height:719;width:2569;v-text-anchor:middle;" filled="f" stroked="t" coordsize="21600,21600" o:gfxdata="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3DWjL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textbox>
                          <w:txbxContent>
                            <w:p w14:paraId="5B5FC055">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袋装化收集，送至环卫部门指定地点统一处理</w:t>
                              </w:r>
                            </w:p>
                          </w:txbxContent>
                        </v:textbox>
                      </v:rect>
                      <v:shape id="_x0000_s1026" o:spid="_x0000_s1026" o:spt="32" type="#_x0000_t32" style="position:absolute;left:7773;top:992049;height:1;width:1701;" filled="f" stroked="t" coordsize="21600,21600" o:gfxdata="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KvhuL4A&#10;AADbAAAADwAAAAAAAAABACAAAAAiAAAAZHJzL2Rvd25yZXYueG1sUEsBAhQAFAAAAAgAh07iQDMv&#10;BZ47AAAAOQAAABAAAAAAAAAAAQAgAAAADQEAAGRycy9zaGFwZXhtbC54bWxQSwUGAAAAAAYABgBb&#10;AQAAtwMAAAAA&#10;">
                        <v:fill on="f" focussize="0,0"/>
                        <v:stroke weight="1pt" color="#000000 [3213]" miterlimit="8" joinstyle="miter" dashstyle="1 1" endarrow="open"/>
                        <v:imagedata o:title=""/>
                        <o:lock v:ext="edit" aspectratio="f"/>
                      </v:shape>
                      <v:rect id="_x0000_s1026" o:spid="_x0000_s1026" o:spt="1" style="position:absolute;left:9492;top:990881;height:707;width:2569;v-text-anchor:middle;" filled="f" stroked="t" coordsize="21600,21600" o:gfxdata="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O7tYL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textbox>
                          <w:txbxContent>
                            <w:p w14:paraId="3FD626F9">
                              <w:pPr>
                                <w:keepNext w:val="0"/>
                                <w:keepLines w:val="0"/>
                                <w:pageBreakBefore w:val="0"/>
                                <w:widowControl w:val="0"/>
                                <w:kinsoku/>
                                <w:wordWrap/>
                                <w:overflowPunct/>
                                <w:topLinePunct w:val="0"/>
                                <w:bidi w:val="0"/>
                                <w:adjustRightInd/>
                                <w:snapToGrid/>
                                <w:spacing w:line="240" w:lineRule="exact"/>
                                <w:ind w:left="0" w:leftChars="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与建筑垃圾一起堆填处理</w:t>
                              </w:r>
                            </w:p>
                          </w:txbxContent>
                        </v:textbox>
                      </v:rect>
                      <v:rect id="_x0000_s1026" o:spid="_x0000_s1026" o:spt="1" style="position:absolute;left:7785;top:991581;height:477;width:1634;v-text-anchor:middle;" filled="f" stroked="f" coordsize="21600,21600" o:gfxdata="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tkYG8AAAA&#10;2wAAAA8AAAAAAAAAAQAgAAAAIgAAAGRycy9kb3ducmV2LnhtbFBLAQIUABQAAAAIAIdO4kAzLwWe&#10;OwAAADkAAAAQAAAAAAAAAAEAIAAAAAsBAABkcnMvc2hhcGV4bWwueG1sUEsFBgAAAAAGAAYAWwEA&#10;ALUDAAAAAA==&#10;">
                        <v:fill on="f" focussize="0,0"/>
                        <v:stroke on="f" weight="1pt" miterlimit="8" joinstyle="miter"/>
                        <v:imagedata o:title=""/>
                        <o:lock v:ext="edit" aspectratio="f"/>
                        <v:textbox>
                          <w:txbxContent>
                            <w:p w14:paraId="2EDC5C84">
                              <w:pPr>
                                <w:keepNext w:val="0"/>
                                <w:keepLines w:val="0"/>
                                <w:pageBreakBefore w:val="0"/>
                                <w:widowControl w:val="0"/>
                                <w:kinsoku/>
                                <w:wordWrap/>
                                <w:overflowPunct/>
                                <w:topLinePunct w:val="0"/>
                                <w:bidi w:val="0"/>
                                <w:adjustRightInd/>
                                <w:snapToGrid/>
                                <w:spacing w:line="240" w:lineRule="exact"/>
                                <w:ind w:left="0" w:leftChars="0" w:firstLine="0" w:firstLineChars="0"/>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职工生活垃圾</w:t>
                              </w:r>
                            </w:p>
                          </w:txbxContent>
                        </v:textbox>
                      </v:rect>
                    </v:group>
                  </w:pict>
                </mc:Fallback>
              </mc:AlternateContent>
            </w:r>
          </w:p>
          <w:p w14:paraId="094AC5E9">
            <w:pPr>
              <w:bidi w:val="0"/>
              <w:rPr>
                <w:rFonts w:hint="eastAsia"/>
                <w:b/>
                <w:bCs/>
                <w:color w:val="auto"/>
                <w:highlight w:val="none"/>
                <w:lang w:val="en-US" w:eastAsia="zh-CN"/>
              </w:rPr>
            </w:pPr>
          </w:p>
          <w:p w14:paraId="78A39B6E">
            <w:pPr>
              <w:bidi w:val="0"/>
              <w:rPr>
                <w:rFonts w:hint="eastAsia"/>
                <w:b/>
                <w:bCs/>
                <w:color w:val="auto"/>
                <w:highlight w:val="none"/>
                <w:lang w:val="en-US" w:eastAsia="zh-CN"/>
              </w:rPr>
            </w:pPr>
          </w:p>
          <w:p w14:paraId="5630649D">
            <w:pPr>
              <w:bidi w:val="0"/>
              <w:rPr>
                <w:rFonts w:hint="eastAsia"/>
                <w:b/>
                <w:bCs/>
                <w:color w:val="auto"/>
                <w:highlight w:val="none"/>
                <w:lang w:val="en-US" w:eastAsia="zh-CN"/>
              </w:rPr>
            </w:pPr>
          </w:p>
          <w:p w14:paraId="4FF0E085">
            <w:pPr>
              <w:bidi w:val="0"/>
              <w:rPr>
                <w:rFonts w:hint="eastAsia"/>
                <w:b/>
                <w:bCs/>
                <w:color w:val="auto"/>
                <w:highlight w:val="none"/>
                <w:lang w:val="en-US" w:eastAsia="zh-CN"/>
              </w:rPr>
            </w:pPr>
          </w:p>
          <w:p w14:paraId="6CC557F6">
            <w:pPr>
              <w:bidi w:val="0"/>
              <w:rPr>
                <w:rFonts w:hint="eastAsia"/>
                <w:b/>
                <w:bCs/>
                <w:color w:val="auto"/>
                <w:highlight w:val="none"/>
                <w:lang w:val="en-US" w:eastAsia="zh-CN"/>
              </w:rPr>
            </w:pPr>
          </w:p>
          <w:p w14:paraId="0DBB87CE">
            <w:pPr>
              <w:bidi w:val="0"/>
              <w:rPr>
                <w:rFonts w:hint="eastAsia"/>
                <w:b/>
                <w:bCs/>
                <w:color w:val="auto"/>
                <w:highlight w:val="none"/>
                <w:lang w:val="en-US" w:eastAsia="zh-CN"/>
              </w:rPr>
            </w:pPr>
          </w:p>
          <w:p w14:paraId="39D3F55C">
            <w:pPr>
              <w:bidi w:val="0"/>
              <w:rPr>
                <w:rFonts w:hint="eastAsia"/>
                <w:b/>
                <w:bCs/>
                <w:color w:val="auto"/>
                <w:highlight w:val="none"/>
                <w:lang w:val="en-US" w:eastAsia="zh-CN"/>
              </w:rPr>
            </w:pPr>
          </w:p>
          <w:p w14:paraId="24304A41">
            <w:pPr>
              <w:bidi w:val="0"/>
              <w:rPr>
                <w:rFonts w:hint="eastAsia"/>
                <w:b/>
                <w:bCs/>
                <w:color w:val="auto"/>
                <w:highlight w:val="none"/>
                <w:lang w:val="en-US" w:eastAsia="zh-CN"/>
              </w:rPr>
            </w:pPr>
          </w:p>
          <w:p w14:paraId="6BAD48EE">
            <w:pPr>
              <w:bidi w:val="0"/>
              <w:rPr>
                <w:rFonts w:hint="eastAsia"/>
                <w:b/>
                <w:bCs/>
                <w:color w:val="auto"/>
                <w:highlight w:val="none"/>
                <w:lang w:val="en-US" w:eastAsia="zh-CN"/>
              </w:rPr>
            </w:pPr>
          </w:p>
          <w:p w14:paraId="249609C0">
            <w:pPr>
              <w:bidi w:val="0"/>
              <w:rPr>
                <w:rFonts w:hint="eastAsia"/>
                <w:b/>
                <w:bCs/>
                <w:color w:val="auto"/>
                <w:highlight w:val="none"/>
                <w:lang w:val="en-US" w:eastAsia="zh-CN"/>
              </w:rPr>
            </w:pPr>
          </w:p>
          <w:p w14:paraId="3DF53519">
            <w:pPr>
              <w:bidi w:val="0"/>
              <w:rPr>
                <w:rFonts w:hint="eastAsia"/>
                <w:b/>
                <w:bCs/>
                <w:color w:val="auto"/>
                <w:highlight w:val="none"/>
                <w:lang w:val="en-US" w:eastAsia="zh-CN"/>
              </w:rPr>
            </w:pPr>
          </w:p>
          <w:p w14:paraId="5D9D26C1">
            <w:pPr>
              <w:bidi w:val="0"/>
              <w:rPr>
                <w:rFonts w:hint="eastAsia"/>
                <w:b/>
                <w:bCs/>
                <w:color w:val="auto"/>
                <w:highlight w:val="none"/>
                <w:lang w:val="en-US" w:eastAsia="zh-CN"/>
              </w:rPr>
            </w:pPr>
          </w:p>
          <w:p w14:paraId="24E5B2BD">
            <w:pPr>
              <w:bidi w:val="0"/>
              <w:rPr>
                <w:rFonts w:hint="eastAsia"/>
                <w:b/>
                <w:bCs/>
                <w:color w:val="auto"/>
                <w:highlight w:val="none"/>
                <w:lang w:val="en-US" w:eastAsia="zh-CN"/>
              </w:rPr>
            </w:pPr>
          </w:p>
          <w:p w14:paraId="1B466771">
            <w:pPr>
              <w:bidi w:val="0"/>
              <w:rPr>
                <w:rFonts w:hint="eastAsia"/>
                <w:b/>
                <w:bCs/>
                <w:color w:val="auto"/>
                <w:highlight w:val="none"/>
                <w:lang w:val="en-US" w:eastAsia="zh-CN"/>
              </w:rPr>
            </w:pPr>
          </w:p>
          <w:p w14:paraId="4B8C46A9">
            <w:pPr>
              <w:bidi w:val="0"/>
              <w:rPr>
                <w:rFonts w:hint="eastAsia"/>
                <w:b/>
                <w:bCs/>
                <w:color w:val="auto"/>
                <w:highlight w:val="none"/>
                <w:lang w:val="en-US" w:eastAsia="zh-CN"/>
              </w:rPr>
            </w:pPr>
          </w:p>
          <w:p w14:paraId="6745D2DF">
            <w:pPr>
              <w:bidi w:val="0"/>
              <w:rPr>
                <w:rFonts w:hint="eastAsia"/>
                <w:b/>
                <w:bCs/>
                <w:color w:val="auto"/>
                <w:highlight w:val="none"/>
                <w:lang w:val="en-US" w:eastAsia="zh-CN"/>
              </w:rPr>
            </w:pPr>
          </w:p>
          <w:p w14:paraId="18258E9C">
            <w:pPr>
              <w:bidi w:val="0"/>
              <w:rPr>
                <w:rFonts w:hint="eastAsia"/>
                <w:b/>
                <w:bCs/>
                <w:color w:val="auto"/>
                <w:highlight w:val="none"/>
                <w:lang w:val="en-US" w:eastAsia="zh-CN"/>
              </w:rPr>
            </w:pPr>
          </w:p>
          <w:p w14:paraId="0C35285F">
            <w:pPr>
              <w:bidi w:val="0"/>
              <w:rPr>
                <w:rFonts w:hint="eastAsia"/>
                <w:b/>
                <w:bCs/>
                <w:color w:val="auto"/>
                <w:highlight w:val="none"/>
                <w:lang w:val="en-US" w:eastAsia="zh-CN"/>
              </w:rPr>
            </w:pPr>
          </w:p>
          <w:p w14:paraId="6DB36FB1">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堆填工艺流程及排污节点图</w:t>
            </w:r>
          </w:p>
          <w:p w14:paraId="4848DEE9">
            <w:pPr>
              <w:numPr>
                <w:ilvl w:val="0"/>
                <w:numId w:val="0"/>
              </w:numPr>
              <w:bidi w:val="0"/>
              <w:ind w:leftChars="0"/>
              <w:rPr>
                <w:rFonts w:hint="eastAsia"/>
                <w:b/>
                <w:bCs/>
                <w:color w:val="auto"/>
                <w:highlight w:val="none"/>
                <w:lang w:val="en-US" w:eastAsia="zh-CN"/>
              </w:rPr>
            </w:pPr>
            <w:r>
              <w:rPr>
                <w:rFonts w:hint="eastAsia"/>
                <w:b/>
                <w:bCs/>
                <w:color w:val="auto"/>
                <w:highlight w:val="none"/>
                <w:lang w:val="en-US" w:eastAsia="zh-CN"/>
              </w:rPr>
              <w:t>二、废气处理工艺</w:t>
            </w:r>
          </w:p>
          <w:p w14:paraId="07D3E3DB">
            <w:pPr>
              <w:bidi w:val="0"/>
              <w:rPr>
                <w:rFonts w:hint="eastAsia"/>
                <w:color w:val="auto"/>
                <w:highlight w:val="none"/>
                <w:lang w:val="en-US" w:eastAsia="zh-CN"/>
              </w:rPr>
            </w:pPr>
            <w:r>
              <w:rPr>
                <w:rFonts w:hint="eastAsia"/>
                <w:color w:val="auto"/>
                <w:highlight w:val="none"/>
                <w:lang w:val="en-US" w:eastAsia="zh-CN"/>
              </w:rPr>
              <w:t>1、卸车、堆填废气</w:t>
            </w:r>
          </w:p>
          <w:p w14:paraId="18D5F5F1">
            <w:pPr>
              <w:bidi w:val="0"/>
              <w:rPr>
                <w:rFonts w:hint="eastAsia"/>
                <w:color w:val="auto"/>
                <w:sz w:val="24"/>
                <w:szCs w:val="24"/>
                <w:highlight w:val="none"/>
                <w:lang w:val="en-US" w:eastAsia="zh-CN"/>
              </w:rPr>
            </w:pPr>
            <w:r>
              <w:rPr>
                <w:rFonts w:hint="eastAsia"/>
                <w:color w:val="auto"/>
                <w:sz w:val="24"/>
                <w:szCs w:val="24"/>
                <w:highlight w:val="none"/>
                <w:lang w:val="en-US" w:eastAsia="zh-CN"/>
              </w:rPr>
              <w:t>装卸降低高度落差，移动雾炮喷雾抑尘；及时覆盖、压实作业面。</w:t>
            </w:r>
          </w:p>
          <w:p w14:paraId="63744FEA">
            <w:pPr>
              <w:numPr>
                <w:ilvl w:val="0"/>
                <w:numId w:val="20"/>
              </w:numPr>
              <w:bidi w:val="0"/>
              <w:rPr>
                <w:rFonts w:hint="eastAsia"/>
                <w:color w:val="auto"/>
                <w:sz w:val="24"/>
                <w:szCs w:val="24"/>
                <w:highlight w:val="none"/>
                <w:lang w:val="en-US" w:eastAsia="zh-CN"/>
              </w:rPr>
            </w:pPr>
            <w:r>
              <w:rPr>
                <w:rFonts w:hint="eastAsia"/>
                <w:color w:val="auto"/>
                <w:sz w:val="24"/>
                <w:szCs w:val="24"/>
                <w:highlight w:val="none"/>
                <w:lang w:val="en-US" w:eastAsia="zh-CN"/>
              </w:rPr>
              <w:t>运输废气</w:t>
            </w:r>
          </w:p>
          <w:p w14:paraId="476EDA88">
            <w:pPr>
              <w:bidi w:val="0"/>
              <w:rPr>
                <w:rFonts w:hint="eastAsia"/>
                <w:color w:val="auto"/>
                <w:highlight w:val="none"/>
                <w:lang w:val="en-US" w:eastAsia="zh-CN"/>
              </w:rPr>
            </w:pPr>
            <w:r>
              <w:rPr>
                <w:rFonts w:hint="eastAsia"/>
                <w:color w:val="auto"/>
                <w:highlight w:val="none"/>
                <w:lang w:val="en-US" w:eastAsia="zh-CN"/>
              </w:rPr>
              <w:t>运输车辆加盖苫布，场区</w:t>
            </w:r>
            <w:r>
              <w:rPr>
                <w:rFonts w:hint="default"/>
                <w:color w:val="auto"/>
                <w:highlight w:val="none"/>
                <w:lang w:val="en-US" w:eastAsia="zh-CN"/>
              </w:rPr>
              <w:t>配备1台洒水车定期洒水降尘</w:t>
            </w:r>
            <w:r>
              <w:rPr>
                <w:rFonts w:hint="eastAsia"/>
                <w:color w:val="auto"/>
                <w:highlight w:val="none"/>
                <w:lang w:val="en-US" w:eastAsia="zh-CN"/>
              </w:rPr>
              <w:t>，场区出入口设置洗车平台，对进出场车辆进行清洗。</w:t>
            </w:r>
          </w:p>
          <w:p w14:paraId="276C7C6D">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三、雨水和淋溶水处理</w:t>
            </w:r>
          </w:p>
          <w:p w14:paraId="08A18F7E">
            <w:pPr>
              <w:pStyle w:val="28"/>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项目设置1座沉砂池，场区周边雨水经截洪沟收集引至沉砂池，消除水流能量和沉淀后排入周边雨水沟渠；设置1座沉淀池，</w:t>
            </w:r>
            <w:r>
              <w:rPr>
                <w:rFonts w:hint="eastAsia" w:cs="Times New Roman"/>
                <w:color w:val="auto"/>
                <w:kern w:val="2"/>
                <w:sz w:val="24"/>
                <w:szCs w:val="24"/>
                <w:highlight w:val="none"/>
                <w:lang w:val="en-US" w:eastAsia="zh-CN" w:bidi="ar-SA"/>
              </w:rPr>
              <w:t>堆填（砌）</w:t>
            </w:r>
            <w:r>
              <w:rPr>
                <w:rFonts w:hint="eastAsia" w:ascii="Times New Roman" w:hAnsi="Times New Roman" w:eastAsia="宋体" w:cs="Times New Roman"/>
                <w:color w:val="auto"/>
                <w:kern w:val="2"/>
                <w:sz w:val="24"/>
                <w:szCs w:val="24"/>
                <w:highlight w:val="none"/>
                <w:lang w:val="en-US" w:eastAsia="zh-CN" w:bidi="ar-SA"/>
              </w:rPr>
              <w:t>场底产生的淋溶液和地下水经收集后引入沉淀池，经沉淀后，分批次回用作区域抑尘用水。沉砂池和沉淀池产生沉渣，定期清理，与建筑垃圾一起堆填处理。</w:t>
            </w:r>
          </w:p>
          <w:p w14:paraId="0D4A2754">
            <w:pPr>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四、机械设备维修保养</w:t>
            </w:r>
          </w:p>
          <w:p w14:paraId="7DE46B54">
            <w:pPr>
              <w:bidi w:val="0"/>
              <w:rPr>
                <w:rFonts w:hint="eastAsia"/>
                <w:color w:val="auto"/>
                <w:highlight w:val="none"/>
                <w:lang w:val="en-US" w:eastAsia="zh-CN"/>
              </w:rPr>
            </w:pPr>
            <w:r>
              <w:rPr>
                <w:rFonts w:hint="eastAsia"/>
                <w:color w:val="auto"/>
                <w:highlight w:val="none"/>
                <w:lang w:val="en-US" w:eastAsia="zh-CN"/>
              </w:rPr>
              <w:t>本项目机械设备运至专门维修厂维修，不在场区内进行维修，场区内无机械设备维修保养固废产生。</w:t>
            </w:r>
          </w:p>
          <w:p w14:paraId="59E87BC0">
            <w:pPr>
              <w:bidi w:val="0"/>
              <w:ind w:left="0" w:leftChars="0" w:firstLine="0" w:firstLineChars="0"/>
              <w:rPr>
                <w:rFonts w:hint="default"/>
                <w:b/>
                <w:bCs/>
                <w:color w:val="auto"/>
                <w:highlight w:val="none"/>
                <w:lang w:val="en-US" w:eastAsia="zh-CN"/>
              </w:rPr>
            </w:pPr>
            <w:r>
              <w:rPr>
                <w:rFonts w:hint="eastAsia"/>
                <w:b/>
                <w:bCs/>
                <w:color w:val="auto"/>
                <w:highlight w:val="none"/>
                <w:lang w:val="en-US" w:eastAsia="zh-CN"/>
              </w:rPr>
              <w:t>五、职工生活</w:t>
            </w:r>
          </w:p>
          <w:p w14:paraId="279272FC">
            <w:pPr>
              <w:bidi w:val="0"/>
              <w:rPr>
                <w:rFonts w:hint="default"/>
                <w:color w:val="auto"/>
                <w:highlight w:val="none"/>
                <w:lang w:val="en-US" w:eastAsia="zh-CN"/>
              </w:rPr>
            </w:pPr>
            <w:r>
              <w:rPr>
                <w:rFonts w:hint="eastAsia"/>
                <w:color w:val="auto"/>
                <w:highlight w:val="none"/>
                <w:lang w:val="en-US" w:eastAsia="zh-CN"/>
              </w:rPr>
              <w:t>本项目职工生活会产生生活污水、生活垃圾。</w:t>
            </w:r>
          </w:p>
          <w:p w14:paraId="6E679443">
            <w:pPr>
              <w:bidi w:val="0"/>
              <w:ind w:left="0" w:leftChars="0" w:firstLine="0" w:firstLineChars="0"/>
              <w:rPr>
                <w:rFonts w:hint="default"/>
                <w:b/>
                <w:bCs/>
                <w:color w:val="auto"/>
                <w:sz w:val="24"/>
                <w:szCs w:val="24"/>
                <w:highlight w:val="none"/>
              </w:rPr>
            </w:pPr>
            <w:r>
              <w:rPr>
                <w:rFonts w:hint="default"/>
                <w:b/>
                <w:bCs/>
                <w:color w:val="auto"/>
                <w:sz w:val="24"/>
                <w:szCs w:val="24"/>
                <w:highlight w:val="none"/>
              </w:rPr>
              <w:t>主要污染工序：</w:t>
            </w:r>
          </w:p>
          <w:p w14:paraId="09176A29">
            <w:pPr>
              <w:bidi w:val="0"/>
              <w:rPr>
                <w:rFonts w:hint="default"/>
                <w:color w:val="auto"/>
                <w:sz w:val="24"/>
                <w:szCs w:val="24"/>
                <w:highlight w:val="none"/>
              </w:rPr>
            </w:pPr>
            <w:r>
              <w:rPr>
                <w:rFonts w:hint="default"/>
                <w:color w:val="auto"/>
                <w:sz w:val="24"/>
                <w:szCs w:val="24"/>
                <w:highlight w:val="none"/>
              </w:rPr>
              <w:t>（1）废气：</w:t>
            </w:r>
            <w:r>
              <w:rPr>
                <w:rFonts w:hint="eastAsia"/>
                <w:color w:val="auto"/>
                <w:sz w:val="24"/>
                <w:szCs w:val="24"/>
                <w:highlight w:val="none"/>
                <w:lang w:val="en-US" w:eastAsia="zh-CN"/>
              </w:rPr>
              <w:t>本项目废气污染源主要为卸车、堆填废气，运输废气。</w:t>
            </w:r>
          </w:p>
          <w:p w14:paraId="21666707">
            <w:pPr>
              <w:bidi w:val="0"/>
              <w:rPr>
                <w:rFonts w:hint="default"/>
                <w:color w:val="auto"/>
                <w:sz w:val="24"/>
                <w:szCs w:val="24"/>
                <w:highlight w:val="none"/>
              </w:rPr>
            </w:pPr>
            <w:r>
              <w:rPr>
                <w:rFonts w:hint="default"/>
                <w:color w:val="auto"/>
                <w:sz w:val="24"/>
                <w:szCs w:val="24"/>
                <w:highlight w:val="none"/>
              </w:rPr>
              <w:t>（2）废水：</w:t>
            </w:r>
            <w:r>
              <w:rPr>
                <w:rFonts w:hint="eastAsia"/>
                <w:color w:val="auto"/>
                <w:sz w:val="24"/>
                <w:szCs w:val="24"/>
                <w:highlight w:val="none"/>
                <w:lang w:val="en-US" w:eastAsia="zh-CN"/>
              </w:rPr>
              <w:t>本项目废水污染源主要为洗车废水，堆填场地淋溶水，职工生活污水</w:t>
            </w:r>
            <w:r>
              <w:rPr>
                <w:rFonts w:hint="default"/>
                <w:color w:val="auto"/>
                <w:sz w:val="24"/>
                <w:szCs w:val="24"/>
                <w:highlight w:val="none"/>
              </w:rPr>
              <w:t>。</w:t>
            </w:r>
          </w:p>
          <w:p w14:paraId="2B34DC58">
            <w:pPr>
              <w:bidi w:val="0"/>
              <w:rPr>
                <w:rFonts w:hint="default"/>
                <w:color w:val="auto"/>
                <w:sz w:val="24"/>
                <w:szCs w:val="24"/>
                <w:highlight w:val="none"/>
              </w:rPr>
            </w:pPr>
            <w:r>
              <w:rPr>
                <w:rFonts w:hint="default"/>
                <w:color w:val="auto"/>
                <w:sz w:val="24"/>
                <w:szCs w:val="24"/>
                <w:highlight w:val="none"/>
              </w:rPr>
              <w:t>（3）噪声：</w:t>
            </w:r>
            <w:r>
              <w:rPr>
                <w:rFonts w:hint="eastAsia"/>
                <w:color w:val="auto"/>
                <w:sz w:val="24"/>
                <w:szCs w:val="24"/>
                <w:highlight w:val="none"/>
                <w:lang w:val="en-US" w:eastAsia="zh-CN"/>
              </w:rPr>
              <w:t>本项目噪声污染源</w:t>
            </w:r>
            <w:r>
              <w:rPr>
                <w:rFonts w:hint="default"/>
                <w:color w:val="auto"/>
                <w:sz w:val="24"/>
                <w:szCs w:val="24"/>
                <w:highlight w:val="none"/>
              </w:rPr>
              <w:t>主要为</w:t>
            </w:r>
            <w:r>
              <w:rPr>
                <w:rFonts w:hint="eastAsia"/>
                <w:color w:val="auto"/>
                <w:sz w:val="24"/>
                <w:szCs w:val="24"/>
                <w:highlight w:val="none"/>
                <w:lang w:val="en-US" w:eastAsia="zh-CN"/>
              </w:rPr>
              <w:t>机械设备</w:t>
            </w:r>
            <w:r>
              <w:rPr>
                <w:rFonts w:hint="default"/>
                <w:color w:val="auto"/>
                <w:sz w:val="24"/>
                <w:szCs w:val="24"/>
                <w:highlight w:val="none"/>
              </w:rPr>
              <w:t>运行产生的噪声。</w:t>
            </w:r>
          </w:p>
          <w:p w14:paraId="510B7AF9">
            <w:pPr>
              <w:bidi w:val="0"/>
              <w:rPr>
                <w:rFonts w:hint="eastAsia"/>
                <w:color w:val="auto"/>
                <w:sz w:val="24"/>
                <w:szCs w:val="24"/>
                <w:highlight w:val="none"/>
                <w:lang w:val="en-US" w:eastAsia="zh-CN"/>
              </w:rPr>
            </w:pPr>
            <w:r>
              <w:rPr>
                <w:rFonts w:hint="default"/>
                <w:color w:val="auto"/>
                <w:sz w:val="24"/>
                <w:szCs w:val="24"/>
                <w:highlight w:val="none"/>
              </w:rPr>
              <w:t>（4）固体废物：</w:t>
            </w:r>
            <w:r>
              <w:rPr>
                <w:rFonts w:hint="eastAsia"/>
                <w:color w:val="auto"/>
                <w:sz w:val="24"/>
                <w:szCs w:val="24"/>
                <w:highlight w:val="none"/>
                <w:lang w:val="en-US" w:eastAsia="zh-CN"/>
              </w:rPr>
              <w:t>本项目产生的固体废物主要为洗车平台污泥，</w:t>
            </w:r>
            <w:r>
              <w:rPr>
                <w:rFonts w:hint="eastAsia" w:ascii="Times New Roman" w:hAnsi="Times New Roman" w:eastAsia="宋体" w:cs="Times New Roman"/>
                <w:color w:val="auto"/>
                <w:kern w:val="2"/>
                <w:sz w:val="24"/>
                <w:szCs w:val="24"/>
                <w:highlight w:val="none"/>
                <w:lang w:val="en-US" w:eastAsia="zh-CN" w:bidi="ar-SA"/>
              </w:rPr>
              <w:t>沉砂池和沉淀池沉渣</w:t>
            </w:r>
            <w:r>
              <w:rPr>
                <w:rFonts w:hint="eastAsia" w:cs="Times New Roman"/>
                <w:color w:val="auto"/>
                <w:kern w:val="2"/>
                <w:sz w:val="24"/>
                <w:szCs w:val="24"/>
                <w:highlight w:val="none"/>
                <w:lang w:val="en-US" w:eastAsia="zh-CN" w:bidi="ar-SA"/>
              </w:rPr>
              <w:t>，</w:t>
            </w:r>
            <w:r>
              <w:rPr>
                <w:rFonts w:hint="eastAsia"/>
                <w:color w:val="auto"/>
                <w:sz w:val="24"/>
                <w:szCs w:val="24"/>
                <w:highlight w:val="none"/>
                <w:lang w:val="en-US" w:eastAsia="zh-CN"/>
              </w:rPr>
              <w:t>职工生活产生的生活垃圾。</w:t>
            </w:r>
          </w:p>
          <w:p w14:paraId="1F634247">
            <w:pPr>
              <w:pStyle w:val="36"/>
              <w:numPr>
                <w:ilvl w:val="0"/>
                <w:numId w:val="12"/>
              </w:numPr>
              <w:bidi w:val="0"/>
              <w:ind w:left="0" w:leftChars="0" w:firstLine="0" w:firstLineChars="0"/>
              <w:rPr>
                <w:rFonts w:hint="eastAsia"/>
                <w:color w:val="auto"/>
                <w:highlight w:val="none"/>
                <w:lang w:val="en-US" w:eastAsia="zh-CN"/>
              </w:rPr>
            </w:pPr>
            <w:r>
              <w:rPr>
                <w:rFonts w:hint="eastAsia"/>
                <w:color w:val="auto"/>
                <w:highlight w:val="none"/>
                <w:lang w:val="en-US" w:eastAsia="zh-CN"/>
              </w:rPr>
              <w:t>本项目产排污节点一览表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108"/>
              <w:gridCol w:w="1596"/>
              <w:gridCol w:w="3679"/>
              <w:gridCol w:w="1047"/>
            </w:tblGrid>
            <w:tr w14:paraId="3858A7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7" w:hRule="atLeast"/>
                <w:tblHeader/>
                <w:jc w:val="center"/>
              </w:trPr>
              <w:tc>
                <w:tcPr>
                  <w:tcW w:w="677" w:type="dxa"/>
                  <w:tcBorders>
                    <w:tl2br w:val="nil"/>
                    <w:tr2bl w:val="nil"/>
                  </w:tcBorders>
                  <w:vAlign w:val="center"/>
                </w:tcPr>
                <w:p w14:paraId="5407C40C">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类型</w:t>
                  </w:r>
                </w:p>
              </w:tc>
              <w:tc>
                <w:tcPr>
                  <w:tcW w:w="1108" w:type="dxa"/>
                  <w:tcBorders>
                    <w:tl2br w:val="nil"/>
                    <w:tr2bl w:val="nil"/>
                  </w:tcBorders>
                  <w:vAlign w:val="center"/>
                </w:tcPr>
                <w:p w14:paraId="1AFD88EE">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污染源</w:t>
                  </w:r>
                </w:p>
              </w:tc>
              <w:tc>
                <w:tcPr>
                  <w:tcW w:w="1596" w:type="dxa"/>
                  <w:tcBorders>
                    <w:tl2br w:val="nil"/>
                    <w:tr2bl w:val="nil"/>
                  </w:tcBorders>
                  <w:vAlign w:val="center"/>
                </w:tcPr>
                <w:p w14:paraId="414FC84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污染物</w:t>
                  </w:r>
                </w:p>
              </w:tc>
              <w:tc>
                <w:tcPr>
                  <w:tcW w:w="3679" w:type="dxa"/>
                  <w:tcBorders>
                    <w:tl2br w:val="nil"/>
                    <w:tr2bl w:val="nil"/>
                  </w:tcBorders>
                  <w:vAlign w:val="center"/>
                </w:tcPr>
                <w:p w14:paraId="6AEEB852">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治理措施</w:t>
                  </w:r>
                </w:p>
              </w:tc>
              <w:tc>
                <w:tcPr>
                  <w:tcW w:w="1047" w:type="dxa"/>
                  <w:tcBorders>
                    <w:tl2br w:val="nil"/>
                    <w:tr2bl w:val="nil"/>
                  </w:tcBorders>
                  <w:vAlign w:val="center"/>
                </w:tcPr>
                <w:p w14:paraId="2D563DA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排放特征</w:t>
                  </w:r>
                </w:p>
              </w:tc>
            </w:tr>
            <w:tr w14:paraId="2E404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08" w:hRule="atLeast"/>
                <w:jc w:val="center"/>
              </w:trPr>
              <w:tc>
                <w:tcPr>
                  <w:tcW w:w="677" w:type="dxa"/>
                  <w:vMerge w:val="restart"/>
                  <w:tcBorders>
                    <w:tl2br w:val="nil"/>
                    <w:tr2bl w:val="nil"/>
                  </w:tcBorders>
                  <w:vAlign w:val="center"/>
                </w:tcPr>
                <w:p w14:paraId="6A20515D">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无组织废气</w:t>
                  </w:r>
                </w:p>
              </w:tc>
              <w:tc>
                <w:tcPr>
                  <w:tcW w:w="1108" w:type="dxa"/>
                  <w:tcBorders>
                    <w:tl2br w:val="nil"/>
                    <w:tr2bl w:val="nil"/>
                  </w:tcBorders>
                  <w:vAlign w:val="center"/>
                </w:tcPr>
                <w:p w14:paraId="6ABB8556">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卸车、堆填废气</w:t>
                  </w:r>
                </w:p>
              </w:tc>
              <w:tc>
                <w:tcPr>
                  <w:tcW w:w="1596" w:type="dxa"/>
                  <w:tcBorders>
                    <w:tl2br w:val="nil"/>
                    <w:tr2bl w:val="nil"/>
                  </w:tcBorders>
                  <w:vAlign w:val="center"/>
                </w:tcPr>
                <w:p w14:paraId="3E7B2FDE">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颗粒物</w:t>
                  </w:r>
                </w:p>
              </w:tc>
              <w:tc>
                <w:tcPr>
                  <w:tcW w:w="3679" w:type="dxa"/>
                  <w:tcBorders>
                    <w:tl2br w:val="nil"/>
                    <w:tr2bl w:val="nil"/>
                  </w:tcBorders>
                  <w:vAlign w:val="center"/>
                </w:tcPr>
                <w:p w14:paraId="04DA93B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default"/>
                      <w:color w:val="auto"/>
                      <w:sz w:val="21"/>
                      <w:szCs w:val="21"/>
                      <w:highlight w:val="none"/>
                      <w:lang w:val="en-US" w:eastAsia="zh-CN"/>
                    </w:rPr>
                    <w:t>装卸降低高度落差，移动雾炮喷雾抑尘；及时覆盖、压实作业面</w:t>
                  </w:r>
                  <w:r>
                    <w:rPr>
                      <w:rFonts w:hint="eastAsia"/>
                      <w:color w:val="auto"/>
                      <w:sz w:val="21"/>
                      <w:szCs w:val="21"/>
                      <w:highlight w:val="none"/>
                      <w:lang w:val="en-US" w:eastAsia="zh-CN"/>
                    </w:rPr>
                    <w:t>；</w:t>
                  </w:r>
                  <w:r>
                    <w:rPr>
                      <w:rFonts w:hint="eastAsia"/>
                      <w:color w:val="auto"/>
                      <w:highlight w:val="none"/>
                      <w:lang w:val="en-US" w:eastAsia="zh-CN"/>
                    </w:rPr>
                    <w:t>场区边界设置扬尘监测系统，对无组织颗粒物进行监测</w:t>
                  </w:r>
                </w:p>
              </w:tc>
              <w:tc>
                <w:tcPr>
                  <w:tcW w:w="1047" w:type="dxa"/>
                  <w:tcBorders>
                    <w:tl2br w:val="nil"/>
                    <w:tr2bl w:val="nil"/>
                  </w:tcBorders>
                  <w:vAlign w:val="center"/>
                </w:tcPr>
                <w:p w14:paraId="72CCD8BB">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连续，无组织</w:t>
                  </w:r>
                </w:p>
              </w:tc>
            </w:tr>
            <w:tr w14:paraId="675C3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677" w:type="dxa"/>
                  <w:vMerge w:val="continue"/>
                  <w:tcBorders>
                    <w:tl2br w:val="nil"/>
                    <w:tr2bl w:val="nil"/>
                  </w:tcBorders>
                  <w:vAlign w:val="center"/>
                </w:tcPr>
                <w:p w14:paraId="5A8D6321">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textAlignment w:val="auto"/>
                    <w:rPr>
                      <w:rFonts w:hint="eastAsia"/>
                      <w:color w:val="auto"/>
                      <w:sz w:val="21"/>
                      <w:szCs w:val="21"/>
                      <w:highlight w:val="none"/>
                      <w:lang w:val="en-US" w:eastAsia="zh-CN"/>
                    </w:rPr>
                  </w:pPr>
                </w:p>
              </w:tc>
              <w:tc>
                <w:tcPr>
                  <w:tcW w:w="1108" w:type="dxa"/>
                  <w:tcBorders>
                    <w:tl2br w:val="nil"/>
                    <w:tr2bl w:val="nil"/>
                  </w:tcBorders>
                  <w:vAlign w:val="center"/>
                </w:tcPr>
                <w:p w14:paraId="1C74E2F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运输废气</w:t>
                  </w:r>
                </w:p>
              </w:tc>
              <w:tc>
                <w:tcPr>
                  <w:tcW w:w="1596" w:type="dxa"/>
                  <w:tcBorders>
                    <w:tl2br w:val="nil"/>
                    <w:tr2bl w:val="nil"/>
                  </w:tcBorders>
                  <w:vAlign w:val="center"/>
                </w:tcPr>
                <w:p w14:paraId="3B45DE3D">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颗粒物</w:t>
                  </w:r>
                </w:p>
              </w:tc>
              <w:tc>
                <w:tcPr>
                  <w:tcW w:w="3679" w:type="dxa"/>
                  <w:tcBorders>
                    <w:tl2br w:val="nil"/>
                    <w:tr2bl w:val="nil"/>
                  </w:tcBorders>
                  <w:vAlign w:val="center"/>
                </w:tcPr>
                <w:p w14:paraId="14FAF211">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highlight w:val="none"/>
                      <w:lang w:val="en-US" w:eastAsia="zh-CN"/>
                    </w:rPr>
                    <w:t>运输车辆加盖苫布，场区</w:t>
                  </w:r>
                  <w:r>
                    <w:rPr>
                      <w:rFonts w:hint="default"/>
                      <w:color w:val="auto"/>
                      <w:highlight w:val="none"/>
                      <w:lang w:val="en-US" w:eastAsia="zh-CN"/>
                    </w:rPr>
                    <w:t>配备1台洒水车定期洒水降尘</w:t>
                  </w:r>
                  <w:r>
                    <w:rPr>
                      <w:rFonts w:hint="eastAsia"/>
                      <w:color w:val="auto"/>
                      <w:highlight w:val="none"/>
                      <w:lang w:val="en-US" w:eastAsia="zh-CN"/>
                    </w:rPr>
                    <w:t>，场区出入口设置洗车平台，对进出场车辆进行清洗；运输车辆定期、及时维修、保养，对非道路移动机械进行环保登记</w:t>
                  </w:r>
                </w:p>
              </w:tc>
              <w:tc>
                <w:tcPr>
                  <w:tcW w:w="1047" w:type="dxa"/>
                  <w:tcBorders>
                    <w:tl2br w:val="nil"/>
                    <w:tr2bl w:val="nil"/>
                  </w:tcBorders>
                  <w:vAlign w:val="center"/>
                </w:tcPr>
                <w:p w14:paraId="61B5D68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间断，无组织</w:t>
                  </w:r>
                </w:p>
              </w:tc>
            </w:tr>
            <w:tr w14:paraId="01713E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77" w:type="dxa"/>
                  <w:vMerge w:val="restart"/>
                  <w:tcBorders>
                    <w:tl2br w:val="nil"/>
                    <w:tr2bl w:val="nil"/>
                  </w:tcBorders>
                  <w:vAlign w:val="center"/>
                </w:tcPr>
                <w:p w14:paraId="52CAC79C">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eastAsia="宋体"/>
                      <w:color w:val="auto"/>
                      <w:highlight w:val="none"/>
                      <w:lang w:val="en-US" w:eastAsia="zh-CN"/>
                    </w:rPr>
                  </w:pPr>
                  <w:r>
                    <w:rPr>
                      <w:rFonts w:hint="eastAsia"/>
                      <w:color w:val="auto"/>
                      <w:highlight w:val="none"/>
                      <w:lang w:val="en-US" w:eastAsia="zh-CN"/>
                    </w:rPr>
                    <w:t>废水</w:t>
                  </w:r>
                </w:p>
              </w:tc>
              <w:tc>
                <w:tcPr>
                  <w:tcW w:w="1108" w:type="dxa"/>
                  <w:tcBorders>
                    <w:tl2br w:val="nil"/>
                    <w:tr2bl w:val="nil"/>
                  </w:tcBorders>
                  <w:vAlign w:val="center"/>
                </w:tcPr>
                <w:p w14:paraId="214477D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洗车废水</w:t>
                  </w:r>
                </w:p>
              </w:tc>
              <w:tc>
                <w:tcPr>
                  <w:tcW w:w="1596" w:type="dxa"/>
                  <w:tcBorders>
                    <w:tl2br w:val="nil"/>
                    <w:tr2bl w:val="nil"/>
                  </w:tcBorders>
                  <w:vAlign w:val="center"/>
                </w:tcPr>
                <w:p w14:paraId="32A3B886">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COD、SS</w:t>
                  </w:r>
                </w:p>
              </w:tc>
              <w:tc>
                <w:tcPr>
                  <w:tcW w:w="3679" w:type="dxa"/>
                  <w:tcBorders>
                    <w:tl2br w:val="nil"/>
                    <w:tr2bl w:val="nil"/>
                  </w:tcBorders>
                  <w:vAlign w:val="center"/>
                </w:tcPr>
                <w:p w14:paraId="7FED53CA">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highlight w:val="none"/>
                      <w:lang w:val="en-US" w:eastAsia="zh-CN"/>
                    </w:rPr>
                  </w:pPr>
                  <w:r>
                    <w:rPr>
                      <w:rFonts w:hint="eastAsia"/>
                      <w:color w:val="auto"/>
                      <w:highlight w:val="none"/>
                      <w:lang w:val="en-US" w:eastAsia="zh-CN"/>
                    </w:rPr>
                    <w:t>沉淀处理后循环使用</w:t>
                  </w:r>
                </w:p>
              </w:tc>
              <w:tc>
                <w:tcPr>
                  <w:tcW w:w="1047" w:type="dxa"/>
                  <w:tcBorders>
                    <w:tl2br w:val="nil"/>
                    <w:tr2bl w:val="nil"/>
                  </w:tcBorders>
                  <w:vAlign w:val="center"/>
                </w:tcPr>
                <w:p w14:paraId="028404CC">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不外排</w:t>
                  </w:r>
                </w:p>
              </w:tc>
            </w:tr>
            <w:tr w14:paraId="32BCC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677" w:type="dxa"/>
                  <w:vMerge w:val="continue"/>
                  <w:tcBorders>
                    <w:tl2br w:val="nil"/>
                    <w:tr2bl w:val="nil"/>
                  </w:tcBorders>
                  <w:vAlign w:val="center"/>
                </w:tcPr>
                <w:p w14:paraId="3910E0E1">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eastAsia="宋体"/>
                      <w:color w:val="auto"/>
                      <w:highlight w:val="none"/>
                      <w:lang w:val="en-US" w:eastAsia="zh-CN"/>
                    </w:rPr>
                  </w:pPr>
                </w:p>
              </w:tc>
              <w:tc>
                <w:tcPr>
                  <w:tcW w:w="1108" w:type="dxa"/>
                  <w:tcBorders>
                    <w:tl2br w:val="nil"/>
                    <w:tr2bl w:val="nil"/>
                  </w:tcBorders>
                  <w:vAlign w:val="center"/>
                </w:tcPr>
                <w:p w14:paraId="1DC7D94F">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职工生活</w:t>
                  </w:r>
                </w:p>
              </w:tc>
              <w:tc>
                <w:tcPr>
                  <w:tcW w:w="1596" w:type="dxa"/>
                  <w:tcBorders>
                    <w:tl2br w:val="nil"/>
                    <w:tr2bl w:val="nil"/>
                  </w:tcBorders>
                  <w:vAlign w:val="center"/>
                </w:tcPr>
                <w:p w14:paraId="1926A7A7">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pH、COD、BOD</w:t>
                  </w:r>
                  <w:r>
                    <w:rPr>
                      <w:rFonts w:hint="eastAsia" w:ascii="Times New Roman" w:hAnsi="Times New Roman" w:eastAsia="宋体" w:cs="Times New Roman"/>
                      <w:color w:val="auto"/>
                      <w:sz w:val="21"/>
                      <w:szCs w:val="21"/>
                      <w:highlight w:val="none"/>
                      <w:vertAlign w:val="subscript"/>
                      <w:lang w:val="en-US" w:eastAsia="zh-CN"/>
                    </w:rPr>
                    <w:t>5</w:t>
                  </w:r>
                  <w:r>
                    <w:rPr>
                      <w:rFonts w:hint="eastAsia" w:ascii="Times New Roman" w:hAnsi="Times New Roman" w:eastAsia="宋体" w:cs="Times New Roman"/>
                      <w:color w:val="auto"/>
                      <w:sz w:val="21"/>
                      <w:szCs w:val="21"/>
                      <w:highlight w:val="none"/>
                      <w:lang w:val="en-US" w:eastAsia="zh-CN"/>
                    </w:rPr>
                    <w:t>、SS、氨氮、总氮</w:t>
                  </w:r>
                  <w:r>
                    <w:rPr>
                      <w:rFonts w:hint="eastAsia" w:cs="Times New Roman"/>
                      <w:color w:val="auto"/>
                      <w:sz w:val="21"/>
                      <w:szCs w:val="21"/>
                      <w:highlight w:val="none"/>
                      <w:lang w:val="en-US" w:eastAsia="zh-CN"/>
                    </w:rPr>
                    <w:t>、总磷</w:t>
                  </w:r>
                </w:p>
              </w:tc>
              <w:tc>
                <w:tcPr>
                  <w:tcW w:w="3679" w:type="dxa"/>
                  <w:tcBorders>
                    <w:tl2br w:val="nil"/>
                    <w:tr2bl w:val="nil"/>
                  </w:tcBorders>
                  <w:vAlign w:val="center"/>
                </w:tcPr>
                <w:p w14:paraId="679CB6B2">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泼洒地面抑尘</w:t>
                  </w:r>
                </w:p>
              </w:tc>
              <w:tc>
                <w:tcPr>
                  <w:tcW w:w="1047" w:type="dxa"/>
                  <w:tcBorders>
                    <w:tl2br w:val="nil"/>
                    <w:tr2bl w:val="nil"/>
                  </w:tcBorders>
                  <w:vAlign w:val="center"/>
                </w:tcPr>
                <w:p w14:paraId="79303799">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不外排</w:t>
                  </w:r>
                </w:p>
              </w:tc>
            </w:tr>
            <w:tr w14:paraId="2D7BDB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677" w:type="dxa"/>
                  <w:vMerge w:val="continue"/>
                  <w:tcBorders>
                    <w:tl2br w:val="nil"/>
                    <w:tr2bl w:val="nil"/>
                  </w:tcBorders>
                  <w:vAlign w:val="center"/>
                </w:tcPr>
                <w:p w14:paraId="1D23A96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eastAsia="宋体"/>
                      <w:color w:val="auto"/>
                      <w:highlight w:val="none"/>
                      <w:lang w:val="en-US" w:eastAsia="zh-CN"/>
                    </w:rPr>
                  </w:pPr>
                </w:p>
              </w:tc>
              <w:tc>
                <w:tcPr>
                  <w:tcW w:w="1108" w:type="dxa"/>
                  <w:tcBorders>
                    <w:tl2br w:val="nil"/>
                    <w:tr2bl w:val="nil"/>
                  </w:tcBorders>
                  <w:shd w:val="clear" w:color="auto" w:fill="auto"/>
                  <w:vAlign w:val="center"/>
                </w:tcPr>
                <w:p w14:paraId="3ED7922F">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淋溶水</w:t>
                  </w:r>
                </w:p>
              </w:tc>
              <w:tc>
                <w:tcPr>
                  <w:tcW w:w="1596" w:type="dxa"/>
                  <w:tcBorders>
                    <w:tl2br w:val="nil"/>
                    <w:tr2bl w:val="nil"/>
                  </w:tcBorders>
                  <w:shd w:val="clear" w:color="auto" w:fill="auto"/>
                  <w:vAlign w:val="center"/>
                </w:tcPr>
                <w:p w14:paraId="18873BAB">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COD、SS</w:t>
                  </w:r>
                </w:p>
              </w:tc>
              <w:tc>
                <w:tcPr>
                  <w:tcW w:w="3679" w:type="dxa"/>
                  <w:tcBorders>
                    <w:tl2br w:val="nil"/>
                    <w:tr2bl w:val="nil"/>
                  </w:tcBorders>
                  <w:shd w:val="clear" w:color="auto" w:fill="auto"/>
                  <w:vAlign w:val="center"/>
                </w:tcPr>
                <w:p w14:paraId="644DEEFA">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收集后引入沉淀池，经沉淀后，分批次回用作区域抑尘用水</w:t>
                  </w:r>
                </w:p>
              </w:tc>
              <w:tc>
                <w:tcPr>
                  <w:tcW w:w="1047" w:type="dxa"/>
                  <w:tcBorders>
                    <w:tl2br w:val="nil"/>
                    <w:tr2bl w:val="nil"/>
                  </w:tcBorders>
                  <w:vAlign w:val="center"/>
                </w:tcPr>
                <w:p w14:paraId="7DEBE00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不外排</w:t>
                  </w:r>
                </w:p>
              </w:tc>
            </w:tr>
            <w:tr w14:paraId="2E98D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7" w:type="dxa"/>
                  <w:vMerge w:val="restart"/>
                  <w:tcBorders>
                    <w:tl2br w:val="nil"/>
                    <w:tr2bl w:val="nil"/>
                  </w:tcBorders>
                  <w:vAlign w:val="center"/>
                </w:tcPr>
                <w:p w14:paraId="09D26CAF">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eastAsia="宋体"/>
                      <w:color w:val="auto"/>
                      <w:highlight w:val="none"/>
                      <w:lang w:val="en-US" w:eastAsia="zh-CN"/>
                    </w:rPr>
                  </w:pPr>
                  <w:r>
                    <w:rPr>
                      <w:rFonts w:hint="eastAsia"/>
                      <w:color w:val="auto"/>
                      <w:highlight w:val="none"/>
                      <w:lang w:val="en-US" w:eastAsia="zh-CN"/>
                    </w:rPr>
                    <w:t>固废</w:t>
                  </w:r>
                </w:p>
              </w:tc>
              <w:tc>
                <w:tcPr>
                  <w:tcW w:w="1108" w:type="dxa"/>
                  <w:tcBorders>
                    <w:tl2br w:val="nil"/>
                    <w:tr2bl w:val="nil"/>
                  </w:tcBorders>
                  <w:vAlign w:val="center"/>
                </w:tcPr>
                <w:p w14:paraId="172F8750">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洗车平台</w:t>
                  </w:r>
                </w:p>
              </w:tc>
              <w:tc>
                <w:tcPr>
                  <w:tcW w:w="1596" w:type="dxa"/>
                  <w:tcBorders>
                    <w:tl2br w:val="nil"/>
                    <w:tr2bl w:val="nil"/>
                  </w:tcBorders>
                  <w:vAlign w:val="center"/>
                </w:tcPr>
                <w:p w14:paraId="69EB6EB2">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污泥</w:t>
                  </w:r>
                </w:p>
              </w:tc>
              <w:tc>
                <w:tcPr>
                  <w:tcW w:w="3679" w:type="dxa"/>
                  <w:tcBorders>
                    <w:tl2br w:val="nil"/>
                    <w:tr2bl w:val="nil"/>
                  </w:tcBorders>
                  <w:vAlign w:val="center"/>
                </w:tcPr>
                <w:p w14:paraId="61EF9EC3">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与建筑垃圾一起堆填处理</w:t>
                  </w:r>
                </w:p>
              </w:tc>
              <w:tc>
                <w:tcPr>
                  <w:tcW w:w="1047" w:type="dxa"/>
                  <w:vMerge w:val="restart"/>
                  <w:tcBorders>
                    <w:tl2br w:val="nil"/>
                    <w:tr2bl w:val="nil"/>
                  </w:tcBorders>
                  <w:vAlign w:val="center"/>
                </w:tcPr>
                <w:p w14:paraId="20F8AB8D">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合理处理处置</w:t>
                  </w:r>
                </w:p>
              </w:tc>
            </w:tr>
            <w:tr w14:paraId="2B1B12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7" w:type="dxa"/>
                  <w:vMerge w:val="continue"/>
                  <w:tcBorders>
                    <w:tl2br w:val="nil"/>
                    <w:tr2bl w:val="nil"/>
                  </w:tcBorders>
                  <w:vAlign w:val="center"/>
                </w:tcPr>
                <w:p w14:paraId="14D1663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highlight w:val="none"/>
                      <w:lang w:val="en-US" w:eastAsia="zh-CN"/>
                    </w:rPr>
                  </w:pPr>
                </w:p>
              </w:tc>
              <w:tc>
                <w:tcPr>
                  <w:tcW w:w="1108" w:type="dxa"/>
                  <w:tcBorders>
                    <w:tl2br w:val="nil"/>
                    <w:tr2bl w:val="nil"/>
                  </w:tcBorders>
                  <w:vAlign w:val="center"/>
                </w:tcPr>
                <w:p w14:paraId="4B54DCFA">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沉砂池和沉淀池</w:t>
                  </w:r>
                </w:p>
              </w:tc>
              <w:tc>
                <w:tcPr>
                  <w:tcW w:w="1596" w:type="dxa"/>
                  <w:tcBorders>
                    <w:tl2br w:val="nil"/>
                    <w:tr2bl w:val="nil"/>
                  </w:tcBorders>
                  <w:vAlign w:val="center"/>
                </w:tcPr>
                <w:p w14:paraId="66CC5DB4">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沉渣</w:t>
                  </w:r>
                </w:p>
              </w:tc>
              <w:tc>
                <w:tcPr>
                  <w:tcW w:w="3679" w:type="dxa"/>
                  <w:tcBorders>
                    <w:tl2br w:val="nil"/>
                    <w:tr2bl w:val="nil"/>
                  </w:tcBorders>
                  <w:vAlign w:val="center"/>
                </w:tcPr>
                <w:p w14:paraId="2A6732A5">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与建筑垃圾一起堆填处理</w:t>
                  </w:r>
                </w:p>
              </w:tc>
              <w:tc>
                <w:tcPr>
                  <w:tcW w:w="1047" w:type="dxa"/>
                  <w:vMerge w:val="continue"/>
                  <w:tcBorders>
                    <w:tl2br w:val="nil"/>
                    <w:tr2bl w:val="nil"/>
                  </w:tcBorders>
                  <w:vAlign w:val="center"/>
                </w:tcPr>
                <w:p w14:paraId="21DADF1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s="Times New Roman"/>
                      <w:color w:val="auto"/>
                      <w:kern w:val="1"/>
                      <w:sz w:val="21"/>
                      <w:szCs w:val="21"/>
                      <w:highlight w:val="none"/>
                      <w:lang w:val="en-US" w:eastAsia="zh-CN" w:bidi="ar-SA"/>
                    </w:rPr>
                  </w:pPr>
                </w:p>
              </w:tc>
            </w:tr>
            <w:tr w14:paraId="1B4A55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7" w:type="dxa"/>
                  <w:vMerge w:val="continue"/>
                  <w:tcBorders>
                    <w:tl2br w:val="nil"/>
                    <w:tr2bl w:val="nil"/>
                  </w:tcBorders>
                  <w:vAlign w:val="center"/>
                </w:tcPr>
                <w:p w14:paraId="794F8C2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olor w:val="auto"/>
                      <w:highlight w:val="none"/>
                      <w:lang w:val="en-US" w:eastAsia="zh-CN"/>
                    </w:rPr>
                  </w:pPr>
                </w:p>
              </w:tc>
              <w:tc>
                <w:tcPr>
                  <w:tcW w:w="1108" w:type="dxa"/>
                  <w:tcBorders>
                    <w:tl2br w:val="nil"/>
                    <w:tr2bl w:val="nil"/>
                  </w:tcBorders>
                  <w:vAlign w:val="center"/>
                </w:tcPr>
                <w:p w14:paraId="0E292C5B">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职工生活</w:t>
                  </w:r>
                </w:p>
              </w:tc>
              <w:tc>
                <w:tcPr>
                  <w:tcW w:w="1596" w:type="dxa"/>
                  <w:tcBorders>
                    <w:tl2br w:val="nil"/>
                    <w:tr2bl w:val="nil"/>
                  </w:tcBorders>
                  <w:vAlign w:val="center"/>
                </w:tcPr>
                <w:p w14:paraId="35F65738">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生活垃圾</w:t>
                  </w:r>
                </w:p>
              </w:tc>
              <w:tc>
                <w:tcPr>
                  <w:tcW w:w="3679" w:type="dxa"/>
                  <w:tcBorders>
                    <w:tl2br w:val="nil"/>
                    <w:tr2bl w:val="nil"/>
                  </w:tcBorders>
                  <w:vAlign w:val="center"/>
                </w:tcPr>
                <w:p w14:paraId="4F23B23F">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袋装化收集，送至环卫部门指定地点统一处理</w:t>
                  </w:r>
                </w:p>
              </w:tc>
              <w:tc>
                <w:tcPr>
                  <w:tcW w:w="1047" w:type="dxa"/>
                  <w:vMerge w:val="continue"/>
                  <w:tcBorders>
                    <w:tl2br w:val="nil"/>
                    <w:tr2bl w:val="nil"/>
                  </w:tcBorders>
                  <w:vAlign w:val="center"/>
                </w:tcPr>
                <w:p w14:paraId="52BA0733">
                  <w:pPr>
                    <w:pStyle w:val="35"/>
                    <w:keepNext w:val="0"/>
                    <w:keepLines w:val="0"/>
                    <w:pageBreakBefore w:val="0"/>
                    <w:widowControl w:val="0"/>
                    <w:kinsoku/>
                    <w:wordWrap/>
                    <w:overflowPunct/>
                    <w:topLinePunct w:val="0"/>
                    <w:autoSpaceDE/>
                    <w:autoSpaceDN/>
                    <w:bidi w:val="0"/>
                    <w:adjustRightInd/>
                    <w:snapToGrid/>
                    <w:spacing w:before="0" w:after="0"/>
                    <w:ind w:left="-48" w:leftChars="-20" w:right="-48" w:rightChars="-20" w:firstLine="0" w:firstLineChars="0"/>
                    <w:textAlignment w:val="auto"/>
                    <w:rPr>
                      <w:rFonts w:hint="eastAsia" w:cs="Times New Roman"/>
                      <w:color w:val="auto"/>
                      <w:kern w:val="1"/>
                      <w:sz w:val="21"/>
                      <w:szCs w:val="21"/>
                      <w:highlight w:val="none"/>
                      <w:lang w:val="en-US" w:eastAsia="zh-CN" w:bidi="ar-SA"/>
                    </w:rPr>
                  </w:pPr>
                </w:p>
              </w:tc>
            </w:tr>
            <w:tr w14:paraId="00E63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77" w:type="dxa"/>
                  <w:tcBorders>
                    <w:tl2br w:val="nil"/>
                    <w:tr2bl w:val="nil"/>
                  </w:tcBorders>
                  <w:vAlign w:val="center"/>
                </w:tcPr>
                <w:p w14:paraId="5AACA093">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textAlignment w:val="auto"/>
                    <w:rPr>
                      <w:rFonts w:hint="default"/>
                      <w:color w:val="auto"/>
                      <w:sz w:val="21"/>
                      <w:szCs w:val="21"/>
                      <w:highlight w:val="none"/>
                      <w:lang w:val="en-US" w:eastAsia="zh-CN"/>
                    </w:rPr>
                  </w:pPr>
                  <w:r>
                    <w:rPr>
                      <w:rFonts w:hint="eastAsia"/>
                      <w:color w:val="auto"/>
                      <w:sz w:val="21"/>
                      <w:szCs w:val="21"/>
                      <w:highlight w:val="none"/>
                      <w:lang w:val="en-US" w:eastAsia="zh-CN"/>
                    </w:rPr>
                    <w:t>噪声</w:t>
                  </w:r>
                </w:p>
              </w:tc>
              <w:tc>
                <w:tcPr>
                  <w:tcW w:w="1108" w:type="dxa"/>
                  <w:tcBorders>
                    <w:tl2br w:val="nil"/>
                    <w:tr2bl w:val="nil"/>
                  </w:tcBorders>
                  <w:vAlign w:val="center"/>
                </w:tcPr>
                <w:p w14:paraId="48355812">
                  <w:pPr>
                    <w:keepNext w:val="0"/>
                    <w:keepLines w:val="0"/>
                    <w:pageBreakBefore w:val="0"/>
                    <w:widowControl w:val="0"/>
                    <w:tabs>
                      <w:tab w:val="left" w:pos="6024"/>
                    </w:tabs>
                    <w:kinsoku/>
                    <w:wordWrap/>
                    <w:overflowPunct/>
                    <w:topLinePunct w:val="0"/>
                    <w:autoSpaceDE w:val="0"/>
                    <w:autoSpaceDN w:val="0"/>
                    <w:bidi w:val="0"/>
                    <w:adjustRightInd w:val="0"/>
                    <w:snapToGrid/>
                    <w:spacing w:line="240" w:lineRule="auto"/>
                    <w:ind w:left="-36" w:leftChars="-15" w:right="-36" w:rightChars="-15" w:firstLine="0" w:firstLineChars="0"/>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机械设备运行</w:t>
                  </w:r>
                </w:p>
              </w:tc>
              <w:tc>
                <w:tcPr>
                  <w:tcW w:w="1596" w:type="dxa"/>
                  <w:tcBorders>
                    <w:tl2br w:val="nil"/>
                    <w:tr2bl w:val="nil"/>
                  </w:tcBorders>
                  <w:vAlign w:val="center"/>
                </w:tcPr>
                <w:p w14:paraId="09D0A028">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firstLine="0" w:firstLineChars="0"/>
                    <w:textAlignment w:val="auto"/>
                    <w:rPr>
                      <w:rFonts w:hint="eastAsia" w:eastAsia="宋体"/>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Leq（A）</w:t>
                  </w:r>
                </w:p>
              </w:tc>
              <w:tc>
                <w:tcPr>
                  <w:tcW w:w="3679" w:type="dxa"/>
                  <w:tcBorders>
                    <w:tl2br w:val="nil"/>
                    <w:tr2bl w:val="nil"/>
                  </w:tcBorders>
                  <w:vAlign w:val="center"/>
                </w:tcPr>
                <w:p w14:paraId="67A8C477">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color w:val="auto"/>
                      <w:sz w:val="21"/>
                      <w:szCs w:val="21"/>
                      <w:highlight w:val="none"/>
                      <w:lang w:val="en-US" w:eastAsia="zh-CN"/>
                    </w:rPr>
                    <w:t>选用低噪声设备，定期维修保养；车辆减速慢行、禁止鸣笛</w:t>
                  </w:r>
                </w:p>
              </w:tc>
              <w:tc>
                <w:tcPr>
                  <w:tcW w:w="1047" w:type="dxa"/>
                  <w:tcBorders>
                    <w:tl2br w:val="nil"/>
                    <w:tr2bl w:val="nil"/>
                  </w:tcBorders>
                  <w:vAlign w:val="center"/>
                </w:tcPr>
                <w:p w14:paraId="50B9CFFF">
                  <w:pPr>
                    <w:pStyle w:val="35"/>
                    <w:keepNext w:val="0"/>
                    <w:keepLines w:val="0"/>
                    <w:pageBreakBefore w:val="0"/>
                    <w:widowControl w:val="0"/>
                    <w:kinsoku/>
                    <w:wordWrap/>
                    <w:overflowPunct/>
                    <w:topLinePunct w:val="0"/>
                    <w:autoSpaceDE/>
                    <w:autoSpaceDN/>
                    <w:bidi w:val="0"/>
                    <w:adjustRightInd/>
                    <w:snapToGrid/>
                    <w:spacing w:before="17" w:beforeLines="5" w:after="17" w:afterLines="5"/>
                    <w:ind w:left="-48" w:leftChars="-20" w:right="-48" w:rightChars="-2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连续</w:t>
                  </w:r>
                </w:p>
              </w:tc>
            </w:tr>
          </w:tbl>
          <w:p w14:paraId="4AF5E36C">
            <w:pPr>
              <w:ind w:left="0" w:leftChars="0" w:firstLine="0" w:firstLineChars="0"/>
              <w:rPr>
                <w:rFonts w:hint="default" w:ascii="Times New Roman" w:hAnsi="Times New Roman" w:eastAsia="宋体" w:cs="Times New Roman"/>
                <w:color w:val="auto"/>
                <w:kern w:val="2"/>
                <w:sz w:val="24"/>
                <w:szCs w:val="24"/>
                <w:highlight w:val="none"/>
                <w:lang w:val="en-US" w:eastAsia="zh-CN" w:bidi="ar-SA"/>
              </w:rPr>
            </w:pPr>
          </w:p>
        </w:tc>
      </w:tr>
      <w:tr w14:paraId="679421A6">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5" w:type="dxa"/>
            <w:tcBorders>
              <w:tl2br w:val="nil"/>
              <w:tr2bl w:val="nil"/>
            </w:tcBorders>
            <w:vAlign w:val="center"/>
          </w:tcPr>
          <w:p w14:paraId="40C0C8F8">
            <w:pPr>
              <w:pStyle w:val="2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宋体" w:hAnsi="宋体" w:eastAsia="宋体" w:cs="Times New Roman"/>
                <w:color w:val="auto"/>
                <w:kern w:val="0"/>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shd w:val="clear" w:color="auto" w:fill="auto"/>
              </w:rPr>
              <w:t>与项目有关的原有环境污染问题</w:t>
            </w:r>
          </w:p>
        </w:tc>
        <w:tc>
          <w:tcPr>
            <w:tcW w:w="8340" w:type="dxa"/>
            <w:tcBorders>
              <w:tl2br w:val="nil"/>
              <w:tr2bl w:val="nil"/>
            </w:tcBorders>
            <w:vAlign w:val="top"/>
          </w:tcPr>
          <w:p w14:paraId="65743471">
            <w:pPr>
              <w:bidi w:val="0"/>
              <w:ind w:firstLine="480" w:firstLineChars="200"/>
              <w:rPr>
                <w:rFonts w:hint="eastAsia"/>
                <w:color w:val="auto"/>
                <w:highlight w:val="none"/>
                <w:lang w:eastAsia="zh-CN"/>
              </w:rPr>
            </w:pPr>
            <w:r>
              <w:rPr>
                <w:rFonts w:hint="eastAsia" w:cs="Times New Roman"/>
                <w:color w:val="auto"/>
                <w:kern w:val="2"/>
                <w:sz w:val="24"/>
                <w:szCs w:val="24"/>
                <w:highlight w:val="none"/>
                <w:lang w:val="en-US" w:eastAsia="zh-CN" w:bidi="ar-SA"/>
              </w:rPr>
              <w:t>本项目为新建项目，利用现有</w:t>
            </w:r>
            <w:r>
              <w:rPr>
                <w:rFonts w:hint="eastAsia"/>
                <w:color w:val="auto"/>
                <w:sz w:val="24"/>
                <w:szCs w:val="24"/>
                <w:highlight w:val="none"/>
                <w:lang w:val="en-US" w:eastAsia="zh-CN"/>
              </w:rPr>
              <w:t>废弃低洼坑塘</w:t>
            </w:r>
            <w:r>
              <w:rPr>
                <w:rFonts w:hint="eastAsia" w:cs="Times New Roman"/>
                <w:color w:val="auto"/>
                <w:kern w:val="2"/>
                <w:sz w:val="24"/>
                <w:szCs w:val="24"/>
                <w:highlight w:val="none"/>
                <w:lang w:val="en-US" w:eastAsia="zh-CN" w:bidi="ar-SA"/>
              </w:rPr>
              <w:t>堆填建筑垃圾，封场覆盖</w:t>
            </w:r>
            <w:r>
              <w:rPr>
                <w:rFonts w:hint="eastAsia" w:cs="Times New Roman"/>
                <w:color w:val="auto"/>
                <w:sz w:val="24"/>
                <w:szCs w:val="24"/>
                <w:highlight w:val="none"/>
                <w:lang w:val="en-US" w:eastAsia="zh-CN" w:bidi="ar"/>
              </w:rPr>
              <w:t>满足相关要求后</w:t>
            </w:r>
            <w:r>
              <w:rPr>
                <w:rFonts w:hint="eastAsia" w:cs="Times New Roman"/>
                <w:color w:val="auto"/>
                <w:kern w:val="2"/>
                <w:sz w:val="24"/>
                <w:szCs w:val="24"/>
                <w:highlight w:val="none"/>
                <w:lang w:val="en-US" w:eastAsia="zh-CN" w:bidi="ar-SA"/>
              </w:rPr>
              <w:t>用于</w:t>
            </w:r>
            <w:r>
              <w:rPr>
                <w:rFonts w:hint="eastAsia" w:ascii="宋体" w:hAnsi="宋体" w:cs="宋体"/>
                <w:color w:val="auto"/>
                <w:sz w:val="24"/>
                <w:szCs w:val="24"/>
                <w:highlight w:val="none"/>
                <w:lang w:val="en-US" w:eastAsia="zh-CN"/>
              </w:rPr>
              <w:t>农业开发（养殖、种植、苗圃、园艺等）</w:t>
            </w:r>
            <w:r>
              <w:rPr>
                <w:rFonts w:hint="eastAsia" w:cs="Times New Roman"/>
                <w:color w:val="auto"/>
                <w:kern w:val="2"/>
                <w:sz w:val="24"/>
                <w:szCs w:val="24"/>
                <w:highlight w:val="none"/>
                <w:lang w:val="en-US" w:eastAsia="zh-CN" w:bidi="ar-SA"/>
              </w:rPr>
              <w:t>，</w:t>
            </w:r>
            <w:r>
              <w:rPr>
                <w:rFonts w:hint="eastAsia"/>
                <w:color w:val="auto"/>
                <w:highlight w:val="none"/>
                <w:lang w:val="en-US" w:eastAsia="zh-CN"/>
              </w:rPr>
              <w:t>不存在</w:t>
            </w:r>
            <w:r>
              <w:rPr>
                <w:rFonts w:hint="eastAsia"/>
                <w:color w:val="auto"/>
                <w:highlight w:val="none"/>
              </w:rPr>
              <w:t>与项目有关的原有环境污染问题</w:t>
            </w:r>
            <w:r>
              <w:rPr>
                <w:rFonts w:hint="eastAsia"/>
                <w:color w:val="auto"/>
                <w:highlight w:val="none"/>
                <w:lang w:eastAsia="zh-CN"/>
              </w:rPr>
              <w:t>。</w:t>
            </w:r>
          </w:p>
          <w:p w14:paraId="72F721BB">
            <w:pPr>
              <w:bidi w:val="0"/>
              <w:ind w:firstLine="480" w:firstLineChars="200"/>
              <w:rPr>
                <w:rFonts w:hint="eastAsia"/>
                <w:color w:val="auto"/>
                <w:highlight w:val="none"/>
                <w:lang w:eastAsia="zh-CN"/>
              </w:rPr>
            </w:pPr>
            <w:r>
              <w:rPr>
                <w:rFonts w:hint="default"/>
                <w:color w:val="auto"/>
                <w:highlight w:val="none"/>
                <w:lang w:val="en-US" w:eastAsia="zh-CN"/>
              </w:rPr>
              <w:drawing>
                <wp:anchor distT="0" distB="0" distL="114300" distR="114300" simplePos="0" relativeHeight="251662336" behindDoc="1" locked="0" layoutInCell="1" allowOverlap="1">
                  <wp:simplePos x="0" y="0"/>
                  <wp:positionH relativeFrom="column">
                    <wp:posOffset>360680</wp:posOffset>
                  </wp:positionH>
                  <wp:positionV relativeFrom="paragraph">
                    <wp:posOffset>109220</wp:posOffset>
                  </wp:positionV>
                  <wp:extent cx="4244340" cy="5328285"/>
                  <wp:effectExtent l="0" t="0" r="3810" b="5715"/>
                  <wp:wrapNone/>
                  <wp:docPr id="8" name="图片 8" descr="3fa171fa698796420c68f40f186744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fa171fa698796420c68f40f186744c8"/>
                          <pic:cNvPicPr>
                            <a:picLocks noChangeAspect="1"/>
                          </pic:cNvPicPr>
                        </pic:nvPicPr>
                        <pic:blipFill>
                          <a:blip r:embed="rId16"/>
                          <a:srcRect/>
                          <a:stretch>
                            <a:fillRect/>
                          </a:stretch>
                        </pic:blipFill>
                        <pic:spPr>
                          <a:xfrm>
                            <a:off x="0" y="0"/>
                            <a:ext cx="4244340" cy="5328285"/>
                          </a:xfrm>
                          <a:prstGeom prst="rect">
                            <a:avLst/>
                          </a:prstGeom>
                        </pic:spPr>
                      </pic:pic>
                    </a:graphicData>
                  </a:graphic>
                </wp:anchor>
              </w:drawing>
            </w:r>
          </w:p>
          <w:p w14:paraId="56448C5D">
            <w:pPr>
              <w:bidi w:val="0"/>
              <w:ind w:firstLine="480" w:firstLineChars="200"/>
              <w:rPr>
                <w:rFonts w:hint="eastAsia"/>
                <w:color w:val="auto"/>
                <w:highlight w:val="none"/>
                <w:lang w:eastAsia="zh-CN"/>
              </w:rPr>
            </w:pPr>
          </w:p>
          <w:p w14:paraId="765B236E">
            <w:pPr>
              <w:bidi w:val="0"/>
              <w:ind w:firstLine="480" w:firstLineChars="200"/>
              <w:rPr>
                <w:rFonts w:hint="eastAsia"/>
                <w:color w:val="auto"/>
                <w:highlight w:val="none"/>
                <w:lang w:eastAsia="zh-CN"/>
              </w:rPr>
            </w:pPr>
          </w:p>
          <w:p w14:paraId="24E3E9B0">
            <w:pPr>
              <w:bidi w:val="0"/>
              <w:ind w:firstLine="480" w:firstLineChars="200"/>
              <w:rPr>
                <w:rFonts w:hint="eastAsia"/>
                <w:color w:val="auto"/>
                <w:highlight w:val="none"/>
                <w:lang w:eastAsia="zh-CN"/>
              </w:rPr>
            </w:pPr>
          </w:p>
          <w:p w14:paraId="75260CF6">
            <w:pPr>
              <w:bidi w:val="0"/>
              <w:ind w:firstLine="480" w:firstLineChars="200"/>
              <w:rPr>
                <w:rFonts w:hint="eastAsia"/>
                <w:color w:val="auto"/>
                <w:highlight w:val="none"/>
                <w:lang w:eastAsia="zh-CN"/>
              </w:rPr>
            </w:pPr>
          </w:p>
          <w:p w14:paraId="2648295D">
            <w:pPr>
              <w:bidi w:val="0"/>
              <w:ind w:firstLine="480" w:firstLineChars="200"/>
              <w:rPr>
                <w:rFonts w:hint="eastAsia"/>
                <w:color w:val="auto"/>
                <w:highlight w:val="none"/>
                <w:lang w:eastAsia="zh-CN"/>
              </w:rPr>
            </w:pPr>
          </w:p>
          <w:p w14:paraId="7E148EAA">
            <w:pPr>
              <w:bidi w:val="0"/>
              <w:ind w:firstLine="480" w:firstLineChars="200"/>
              <w:rPr>
                <w:rFonts w:hint="eastAsia"/>
                <w:color w:val="auto"/>
                <w:highlight w:val="none"/>
                <w:lang w:eastAsia="zh-CN"/>
              </w:rPr>
            </w:pPr>
          </w:p>
          <w:p w14:paraId="1FA71D3E">
            <w:pPr>
              <w:bidi w:val="0"/>
              <w:ind w:firstLine="480" w:firstLineChars="200"/>
              <w:rPr>
                <w:rFonts w:hint="eastAsia"/>
                <w:color w:val="auto"/>
                <w:highlight w:val="none"/>
                <w:lang w:eastAsia="zh-CN"/>
              </w:rPr>
            </w:pPr>
          </w:p>
          <w:p w14:paraId="2AD01047">
            <w:pPr>
              <w:bidi w:val="0"/>
              <w:ind w:firstLine="480" w:firstLineChars="200"/>
              <w:rPr>
                <w:rFonts w:hint="eastAsia"/>
                <w:color w:val="auto"/>
                <w:highlight w:val="none"/>
                <w:lang w:eastAsia="zh-CN"/>
              </w:rPr>
            </w:pPr>
          </w:p>
          <w:p w14:paraId="698875B5">
            <w:pPr>
              <w:bidi w:val="0"/>
              <w:ind w:firstLine="480" w:firstLineChars="200"/>
              <w:rPr>
                <w:rFonts w:hint="eastAsia"/>
                <w:color w:val="auto"/>
                <w:highlight w:val="none"/>
                <w:lang w:eastAsia="zh-CN"/>
              </w:rPr>
            </w:pPr>
          </w:p>
          <w:p w14:paraId="7397F5FD">
            <w:pPr>
              <w:bidi w:val="0"/>
              <w:ind w:firstLine="480" w:firstLineChars="200"/>
              <w:rPr>
                <w:rFonts w:hint="eastAsia"/>
                <w:color w:val="auto"/>
                <w:highlight w:val="none"/>
                <w:lang w:eastAsia="zh-CN"/>
              </w:rPr>
            </w:pPr>
          </w:p>
          <w:p w14:paraId="73796B2D">
            <w:pPr>
              <w:bidi w:val="0"/>
              <w:ind w:firstLine="480" w:firstLineChars="200"/>
              <w:rPr>
                <w:rFonts w:hint="eastAsia"/>
                <w:color w:val="auto"/>
                <w:highlight w:val="none"/>
                <w:lang w:eastAsia="zh-CN"/>
              </w:rPr>
            </w:pPr>
          </w:p>
          <w:p w14:paraId="4138AC17">
            <w:pPr>
              <w:bidi w:val="0"/>
              <w:ind w:firstLine="480" w:firstLineChars="200"/>
              <w:rPr>
                <w:rFonts w:hint="eastAsia"/>
                <w:color w:val="auto"/>
                <w:highlight w:val="none"/>
                <w:lang w:eastAsia="zh-CN"/>
              </w:rPr>
            </w:pPr>
          </w:p>
          <w:p w14:paraId="5C77BEBD">
            <w:pPr>
              <w:bidi w:val="0"/>
              <w:ind w:firstLine="480" w:firstLineChars="200"/>
              <w:rPr>
                <w:rFonts w:hint="eastAsia"/>
                <w:color w:val="auto"/>
                <w:highlight w:val="none"/>
                <w:lang w:eastAsia="zh-CN"/>
              </w:rPr>
            </w:pPr>
          </w:p>
          <w:p w14:paraId="2ED16C8E">
            <w:pPr>
              <w:bidi w:val="0"/>
              <w:ind w:firstLine="480" w:firstLineChars="200"/>
              <w:rPr>
                <w:rFonts w:hint="eastAsia"/>
                <w:color w:val="auto"/>
                <w:highlight w:val="none"/>
                <w:lang w:eastAsia="zh-CN"/>
              </w:rPr>
            </w:pPr>
          </w:p>
          <w:p w14:paraId="24F8F4B1">
            <w:pPr>
              <w:bidi w:val="0"/>
              <w:ind w:firstLine="480" w:firstLineChars="200"/>
              <w:rPr>
                <w:rFonts w:hint="eastAsia"/>
                <w:color w:val="auto"/>
                <w:highlight w:val="none"/>
                <w:lang w:eastAsia="zh-CN"/>
              </w:rPr>
            </w:pPr>
          </w:p>
          <w:p w14:paraId="571FFEBE">
            <w:pPr>
              <w:bidi w:val="0"/>
              <w:ind w:firstLine="480" w:firstLineChars="200"/>
              <w:rPr>
                <w:rFonts w:hint="eastAsia"/>
                <w:color w:val="auto"/>
                <w:highlight w:val="none"/>
                <w:lang w:eastAsia="zh-CN"/>
              </w:rPr>
            </w:pPr>
          </w:p>
          <w:p w14:paraId="6488B6D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color w:val="auto"/>
                <w:highlight w:val="none"/>
                <w:lang w:val="en-US" w:eastAsia="zh-CN"/>
              </w:rPr>
            </w:pPr>
          </w:p>
          <w:p w14:paraId="2169D6C9">
            <w:pPr>
              <w:pStyle w:val="14"/>
              <w:keepNext w:val="0"/>
              <w:keepLines w:val="0"/>
              <w:pageBreakBefore w:val="0"/>
              <w:widowControl w:val="0"/>
              <w:numPr>
                <w:ilvl w:val="0"/>
                <w:numId w:val="17"/>
              </w:numPr>
              <w:kinsoku/>
              <w:wordWrap/>
              <w:overflowPunct/>
              <w:topLinePunct w:val="0"/>
              <w:autoSpaceDE/>
              <w:autoSpaceDN/>
              <w:bidi w:val="0"/>
              <w:adjustRightInd/>
              <w:snapToGrid/>
              <w:spacing w:after="0"/>
              <w:ind w:left="0" w:leftChars="0" w:right="0" w:rightChars="0" w:firstLine="0" w:firstLineChars="0"/>
              <w:jc w:val="center"/>
              <w:textAlignment w:val="auto"/>
              <w:rPr>
                <w:rFonts w:hint="eastAsia"/>
                <w:color w:val="auto"/>
                <w:highlight w:val="none"/>
                <w:lang w:val="en-US" w:eastAsia="zh-CN"/>
              </w:rPr>
            </w:pPr>
            <w:r>
              <w:rPr>
                <w:rFonts w:hint="eastAsia"/>
                <w:b/>
                <w:bCs/>
                <w:color w:val="auto"/>
                <w:sz w:val="21"/>
                <w:szCs w:val="21"/>
                <w:highlight w:val="none"/>
                <w:lang w:val="en-US" w:eastAsia="zh-CN"/>
              </w:rPr>
              <w:t>场地现状照片</w:t>
            </w:r>
          </w:p>
          <w:p w14:paraId="1C7905F8">
            <w:pPr>
              <w:rPr>
                <w:rFonts w:hint="eastAsia"/>
                <w:b/>
                <w:bCs/>
                <w:color w:val="auto"/>
                <w:sz w:val="21"/>
                <w:szCs w:val="21"/>
                <w:highlight w:val="none"/>
                <w:lang w:val="en-US" w:eastAsia="zh-CN"/>
              </w:rPr>
            </w:pPr>
          </w:p>
          <w:p w14:paraId="5DB05EC1">
            <w:pPr>
              <w:ind w:left="0" w:leftChars="0" w:firstLine="0" w:firstLineChars="0"/>
              <w:rPr>
                <w:rFonts w:hint="eastAsia"/>
                <w:b/>
                <w:bCs/>
                <w:color w:val="auto"/>
                <w:sz w:val="21"/>
                <w:szCs w:val="21"/>
                <w:highlight w:val="none"/>
                <w:lang w:val="en-US" w:eastAsia="zh-CN"/>
              </w:rPr>
            </w:pPr>
          </w:p>
          <w:p w14:paraId="6FE3398E">
            <w:pPr>
              <w:ind w:left="0" w:leftChars="0" w:firstLine="0" w:firstLineChars="0"/>
              <w:rPr>
                <w:rFonts w:hint="eastAsia"/>
                <w:b/>
                <w:bCs/>
                <w:color w:val="auto"/>
                <w:sz w:val="21"/>
                <w:szCs w:val="21"/>
                <w:highlight w:val="none"/>
                <w:lang w:val="en-US" w:eastAsia="zh-CN"/>
              </w:rPr>
            </w:pPr>
          </w:p>
          <w:p w14:paraId="190B21A4">
            <w:pPr>
              <w:ind w:left="0" w:leftChars="0" w:firstLine="0" w:firstLineChars="0"/>
              <w:rPr>
                <w:rFonts w:hint="eastAsia"/>
                <w:b/>
                <w:bCs/>
                <w:color w:val="auto"/>
                <w:sz w:val="21"/>
                <w:szCs w:val="21"/>
                <w:highlight w:val="none"/>
                <w:lang w:val="en-US" w:eastAsia="zh-CN"/>
              </w:rPr>
            </w:pPr>
          </w:p>
        </w:tc>
      </w:tr>
    </w:tbl>
    <w:p w14:paraId="623C0950">
      <w:pPr>
        <w:rPr>
          <w:color w:val="auto"/>
          <w:highlight w:val="none"/>
        </w:rPr>
        <w:sectPr>
          <w:pgSz w:w="11906" w:h="16838"/>
          <w:pgMar w:top="1440" w:right="1247" w:bottom="1440" w:left="1417" w:header="851" w:footer="850" w:gutter="0"/>
          <w:pgBorders>
            <w:top w:val="none" w:sz="0" w:space="0"/>
            <w:left w:val="none" w:sz="0" w:space="0"/>
            <w:bottom w:val="none" w:sz="0" w:space="0"/>
            <w:right w:val="none" w:sz="0" w:space="0"/>
          </w:pgBorders>
          <w:pgNumType w:fmt="decimal"/>
          <w:cols w:space="425" w:num="1"/>
          <w:docGrid w:type="lines" w:linePitch="312" w:charSpace="0"/>
        </w:sectPr>
      </w:pPr>
    </w:p>
    <w:p w14:paraId="742CAB76">
      <w:pPr>
        <w:pStyle w:val="2"/>
        <w:bidi w:val="0"/>
        <w:rPr>
          <w:rFonts w:hint="eastAsia" w:ascii="黑体" w:hAnsi="黑体" w:eastAsia="黑体" w:cs="Times New Roman"/>
          <w:snapToGrid w:val="0"/>
          <w:color w:val="auto"/>
          <w:szCs w:val="30"/>
          <w:highlight w:val="none"/>
        </w:rPr>
      </w:pPr>
      <w:bookmarkStart w:id="4" w:name="_Toc21414"/>
      <w:r>
        <w:rPr>
          <w:rFonts w:hint="eastAsia"/>
          <w:color w:val="auto"/>
          <w:highlight w:val="none"/>
        </w:rPr>
        <w:t>三、区域环境质量现状、环境保护目标及评价标准</w:t>
      </w:r>
      <w:bookmarkEnd w:id="4"/>
    </w:p>
    <w:tbl>
      <w:tblPr>
        <w:tblStyle w:val="29"/>
        <w:tblW w:w="908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31"/>
        <w:gridCol w:w="8350"/>
      </w:tblGrid>
      <w:tr w14:paraId="1EB96E3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731" w:type="dxa"/>
            <w:tcBorders>
              <w:tl2br w:val="nil"/>
              <w:tr2bl w:val="nil"/>
            </w:tcBorders>
            <w:noWrap w:val="0"/>
            <w:vAlign w:val="center"/>
          </w:tcPr>
          <w:p w14:paraId="0F204D1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区域</w:t>
            </w:r>
          </w:p>
          <w:p w14:paraId="29B62E2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环境</w:t>
            </w:r>
          </w:p>
          <w:p w14:paraId="21B6021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质量</w:t>
            </w:r>
          </w:p>
          <w:p w14:paraId="27EA2D2F">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r>
              <w:rPr>
                <w:rFonts w:hint="eastAsia"/>
                <w:color w:val="auto"/>
                <w:sz w:val="24"/>
                <w:szCs w:val="24"/>
                <w:highlight w:val="none"/>
              </w:rPr>
              <w:t>现状</w:t>
            </w:r>
          </w:p>
        </w:tc>
        <w:tc>
          <w:tcPr>
            <w:tcW w:w="8350" w:type="dxa"/>
            <w:tcBorders>
              <w:tl2br w:val="nil"/>
              <w:tr2bl w:val="nil"/>
            </w:tcBorders>
            <w:noWrap w:val="0"/>
            <w:vAlign w:val="center"/>
          </w:tcPr>
          <w:p w14:paraId="585A7CE6">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default"/>
                <w:b/>
                <w:bCs/>
                <w:color w:val="auto"/>
                <w:highlight w:val="none"/>
              </w:rPr>
            </w:pPr>
            <w:r>
              <w:rPr>
                <w:rFonts w:hint="default"/>
                <w:b/>
                <w:bCs/>
                <w:color w:val="auto"/>
                <w:highlight w:val="none"/>
              </w:rPr>
              <w:t>1</w:t>
            </w:r>
            <w:r>
              <w:rPr>
                <w:rFonts w:hint="eastAsia"/>
                <w:b/>
                <w:bCs/>
                <w:color w:val="auto"/>
                <w:highlight w:val="none"/>
                <w:lang w:eastAsia="zh-CN"/>
              </w:rPr>
              <w:t>.</w:t>
            </w:r>
            <w:r>
              <w:rPr>
                <w:rFonts w:hint="default"/>
                <w:b/>
                <w:bCs/>
                <w:color w:val="auto"/>
                <w:highlight w:val="none"/>
              </w:rPr>
              <w:t>环境空气</w:t>
            </w:r>
          </w:p>
          <w:p w14:paraId="38466495">
            <w:pPr>
              <w:bidi w:val="0"/>
              <w:rPr>
                <w:rFonts w:hint="default"/>
                <w:color w:val="auto"/>
                <w:highlight w:val="none"/>
              </w:rPr>
            </w:pPr>
            <w:r>
              <w:rPr>
                <w:rFonts w:hint="eastAsia"/>
                <w:color w:val="auto"/>
                <w:highlight w:val="none"/>
              </w:rPr>
              <w:t>（1）</w:t>
            </w:r>
            <w:r>
              <w:rPr>
                <w:rFonts w:hint="default"/>
                <w:color w:val="auto"/>
                <w:highlight w:val="none"/>
              </w:rPr>
              <w:t>项目所在区域环境质量达标情况</w:t>
            </w:r>
          </w:p>
          <w:p w14:paraId="4F1CE5EC">
            <w:pPr>
              <w:ind w:firstLine="480"/>
              <w:rPr>
                <w:color w:val="auto"/>
                <w:highlight w:val="none"/>
              </w:rPr>
            </w:pPr>
            <w:r>
              <w:rPr>
                <w:color w:val="auto"/>
                <w:highlight w:val="none"/>
              </w:rPr>
              <w:t>项目所在区域环境空气质量现状数据采用唐山市生态环境局发布的</w:t>
            </w:r>
            <w:r>
              <w:rPr>
                <w:color w:val="auto"/>
                <w:highlight w:val="none"/>
                <w:lang w:val="zh-CN"/>
              </w:rPr>
              <w:t>《</w:t>
            </w:r>
            <w:r>
              <w:rPr>
                <w:rFonts w:hint="eastAsia"/>
                <w:color w:val="auto"/>
                <w:highlight w:val="none"/>
                <w:lang w:val="zh-CN"/>
              </w:rPr>
              <w:t>2025年唐山市生态环境质量报告</w:t>
            </w:r>
            <w:r>
              <w:rPr>
                <w:color w:val="auto"/>
                <w:highlight w:val="none"/>
                <w:lang w:val="zh-CN"/>
              </w:rPr>
              <w:t>》中唐山市空气质量数据，</w:t>
            </w:r>
            <w:r>
              <w:rPr>
                <w:color w:val="auto"/>
                <w:highlight w:val="none"/>
              </w:rPr>
              <w:t>具体情况见下表。</w:t>
            </w:r>
          </w:p>
          <w:p w14:paraId="5067E5AF">
            <w:pPr>
              <w:pStyle w:val="36"/>
              <w:numPr>
                <w:ilvl w:val="0"/>
                <w:numId w:val="21"/>
              </w:numPr>
              <w:ind w:left="0" w:leftChars="0" w:firstLine="0" w:firstLineChars="0"/>
              <w:rPr>
                <w:color w:val="auto"/>
                <w:highlight w:val="none"/>
              </w:rPr>
            </w:pPr>
            <w:r>
              <w:rPr>
                <w:color w:val="auto"/>
                <w:szCs w:val="21"/>
                <w:highlight w:val="none"/>
              </w:rPr>
              <w:t>20</w:t>
            </w:r>
            <w:r>
              <w:rPr>
                <w:rFonts w:hint="eastAsia"/>
                <w:color w:val="auto"/>
                <w:szCs w:val="21"/>
                <w:highlight w:val="none"/>
              </w:rPr>
              <w:t>2</w:t>
            </w:r>
            <w:r>
              <w:rPr>
                <w:rFonts w:hint="eastAsia"/>
                <w:color w:val="auto"/>
                <w:szCs w:val="21"/>
                <w:highlight w:val="none"/>
                <w:lang w:val="en-US" w:eastAsia="zh-CN"/>
              </w:rPr>
              <w:t>5</w:t>
            </w:r>
            <w:r>
              <w:rPr>
                <w:color w:val="auto"/>
                <w:szCs w:val="21"/>
                <w:highlight w:val="none"/>
              </w:rPr>
              <w:t>年区域环境质量现状评价表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806"/>
              <w:gridCol w:w="1588"/>
              <w:gridCol w:w="928"/>
              <w:gridCol w:w="928"/>
              <w:gridCol w:w="769"/>
              <w:gridCol w:w="609"/>
              <w:gridCol w:w="985"/>
              <w:gridCol w:w="855"/>
              <w:gridCol w:w="639"/>
            </w:tblGrid>
            <w:tr w14:paraId="543B8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59" w:hRule="atLeast"/>
                <w:jc w:val="center"/>
              </w:trPr>
              <w:tc>
                <w:tcPr>
                  <w:tcW w:w="806" w:type="dxa"/>
                  <w:vMerge w:val="restart"/>
                  <w:tcBorders>
                    <w:tl2br w:val="nil"/>
                    <w:tr2bl w:val="nil"/>
                  </w:tcBorders>
                  <w:noWrap w:val="0"/>
                  <w:vAlign w:val="center"/>
                </w:tcPr>
                <w:p w14:paraId="635ED93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污染物</w:t>
                  </w:r>
                </w:p>
              </w:tc>
              <w:tc>
                <w:tcPr>
                  <w:tcW w:w="1588" w:type="dxa"/>
                  <w:vMerge w:val="restart"/>
                  <w:tcBorders>
                    <w:tl2br w:val="nil"/>
                    <w:tr2bl w:val="nil"/>
                  </w:tcBorders>
                  <w:noWrap w:val="0"/>
                  <w:vAlign w:val="center"/>
                </w:tcPr>
                <w:p w14:paraId="3FCA305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年评价指标</w:t>
                  </w:r>
                </w:p>
              </w:tc>
              <w:tc>
                <w:tcPr>
                  <w:tcW w:w="928" w:type="dxa"/>
                  <w:vMerge w:val="restart"/>
                  <w:tcBorders>
                    <w:tl2br w:val="nil"/>
                    <w:tr2bl w:val="nil"/>
                  </w:tcBorders>
                  <w:noWrap w:val="0"/>
                  <w:vAlign w:val="center"/>
                </w:tcPr>
                <w:p w14:paraId="46EECF5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现状浓度</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2306" w:type="dxa"/>
                  <w:gridSpan w:val="3"/>
                  <w:tcBorders>
                    <w:tl2br w:val="nil"/>
                    <w:tr2bl w:val="nil"/>
                  </w:tcBorders>
                  <w:noWrap w:val="0"/>
                  <w:vAlign w:val="center"/>
                </w:tcPr>
                <w:p w14:paraId="6E93AB9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rPr>
                  </w:pPr>
                  <w:r>
                    <w:rPr>
                      <w:rFonts w:hint="eastAsia"/>
                      <w:color w:val="auto"/>
                      <w:highlight w:val="none"/>
                      <w:lang w:eastAsia="zh-CN"/>
                    </w:rPr>
                    <w:t>GB3095-2012</w:t>
                  </w:r>
                  <w:r>
                    <w:rPr>
                      <w:rFonts w:hint="eastAsia"/>
                      <w:color w:val="auto"/>
                      <w:highlight w:val="none"/>
                      <w:lang w:val="en-US" w:eastAsia="zh-CN"/>
                    </w:rPr>
                    <w:t>及其修改单二级标准限值</w:t>
                  </w:r>
                </w:p>
              </w:tc>
              <w:tc>
                <w:tcPr>
                  <w:tcW w:w="2479" w:type="dxa"/>
                  <w:gridSpan w:val="3"/>
                  <w:tcBorders>
                    <w:tl2br w:val="nil"/>
                    <w:tr2bl w:val="nil"/>
                  </w:tcBorders>
                  <w:noWrap w:val="0"/>
                  <w:vAlign w:val="center"/>
                </w:tcPr>
                <w:p w14:paraId="50D603F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rPr>
                  </w:pPr>
                  <w:r>
                    <w:rPr>
                      <w:rFonts w:hint="eastAsia"/>
                      <w:color w:val="auto"/>
                      <w:highlight w:val="none"/>
                      <w:lang w:eastAsia="zh-CN"/>
                    </w:rPr>
                    <w:t>GB3095-20</w:t>
                  </w:r>
                  <w:r>
                    <w:rPr>
                      <w:rFonts w:hint="eastAsia"/>
                      <w:color w:val="auto"/>
                      <w:highlight w:val="none"/>
                      <w:lang w:val="en-US" w:eastAsia="zh-CN"/>
                    </w:rPr>
                    <w:t>26过渡阶段二级标准限值</w:t>
                  </w:r>
                </w:p>
              </w:tc>
            </w:tr>
            <w:tr w14:paraId="39CABD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07" w:hRule="atLeast"/>
                <w:jc w:val="center"/>
              </w:trPr>
              <w:tc>
                <w:tcPr>
                  <w:tcW w:w="806" w:type="dxa"/>
                  <w:vMerge w:val="continue"/>
                  <w:tcBorders>
                    <w:tl2br w:val="nil"/>
                    <w:tr2bl w:val="nil"/>
                  </w:tcBorders>
                  <w:noWrap w:val="0"/>
                  <w:vAlign w:val="center"/>
                </w:tcPr>
                <w:p w14:paraId="5651EA2E">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1588" w:type="dxa"/>
                  <w:vMerge w:val="continue"/>
                  <w:tcBorders>
                    <w:tl2br w:val="nil"/>
                    <w:tr2bl w:val="nil"/>
                  </w:tcBorders>
                  <w:noWrap w:val="0"/>
                  <w:vAlign w:val="center"/>
                </w:tcPr>
                <w:p w14:paraId="26BE7DB7">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928" w:type="dxa"/>
                  <w:vMerge w:val="continue"/>
                  <w:tcBorders>
                    <w:tl2br w:val="nil"/>
                    <w:tr2bl w:val="nil"/>
                  </w:tcBorders>
                  <w:noWrap w:val="0"/>
                  <w:vAlign w:val="center"/>
                </w:tcPr>
                <w:p w14:paraId="4A514A3D">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928" w:type="dxa"/>
                  <w:tcBorders>
                    <w:tl2br w:val="nil"/>
                    <w:tr2bl w:val="nil"/>
                  </w:tcBorders>
                  <w:noWrap w:val="0"/>
                  <w:vAlign w:val="center"/>
                </w:tcPr>
                <w:p w14:paraId="0AD080C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标准值</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769" w:type="dxa"/>
                  <w:tcBorders>
                    <w:tl2br w:val="nil"/>
                    <w:tr2bl w:val="nil"/>
                  </w:tcBorders>
                  <w:noWrap w:val="0"/>
                  <w:vAlign w:val="center"/>
                </w:tcPr>
                <w:p w14:paraId="2080AD5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占标率</w:t>
                  </w:r>
                  <w:r>
                    <w:rPr>
                      <w:rFonts w:hint="eastAsia"/>
                      <w:color w:val="auto"/>
                      <w:sz w:val="21"/>
                      <w:szCs w:val="21"/>
                      <w:highlight w:val="none"/>
                      <w:lang w:eastAsia="zh-CN"/>
                    </w:rPr>
                    <w:t>（</w:t>
                  </w:r>
                  <w:r>
                    <w:rPr>
                      <w:rFonts w:hint="default"/>
                      <w:color w:val="auto"/>
                      <w:sz w:val="21"/>
                      <w:szCs w:val="21"/>
                      <w:highlight w:val="none"/>
                    </w:rPr>
                    <w:t>%</w:t>
                  </w:r>
                  <w:r>
                    <w:rPr>
                      <w:rFonts w:hint="eastAsia"/>
                      <w:color w:val="auto"/>
                      <w:sz w:val="21"/>
                      <w:szCs w:val="21"/>
                      <w:highlight w:val="none"/>
                      <w:lang w:eastAsia="zh-CN"/>
                    </w:rPr>
                    <w:t>）</w:t>
                  </w:r>
                </w:p>
              </w:tc>
              <w:tc>
                <w:tcPr>
                  <w:tcW w:w="609" w:type="dxa"/>
                  <w:tcBorders>
                    <w:tl2br w:val="nil"/>
                    <w:tr2bl w:val="nil"/>
                  </w:tcBorders>
                  <w:noWrap w:val="0"/>
                  <w:vAlign w:val="center"/>
                </w:tcPr>
                <w:p w14:paraId="2EF8688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达标情况</w:t>
                  </w:r>
                </w:p>
              </w:tc>
              <w:tc>
                <w:tcPr>
                  <w:tcW w:w="985" w:type="dxa"/>
                  <w:tcBorders>
                    <w:tl2br w:val="nil"/>
                    <w:tr2bl w:val="nil"/>
                  </w:tcBorders>
                  <w:noWrap w:val="0"/>
                  <w:vAlign w:val="center"/>
                </w:tcPr>
                <w:p w14:paraId="050D78B0">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标准值</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855" w:type="dxa"/>
                  <w:tcBorders>
                    <w:tl2br w:val="nil"/>
                    <w:tr2bl w:val="nil"/>
                  </w:tcBorders>
                  <w:noWrap w:val="0"/>
                  <w:vAlign w:val="center"/>
                </w:tcPr>
                <w:p w14:paraId="42167DD6">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占标率</w:t>
                  </w:r>
                  <w:r>
                    <w:rPr>
                      <w:rFonts w:hint="eastAsia"/>
                      <w:color w:val="auto"/>
                      <w:sz w:val="21"/>
                      <w:szCs w:val="21"/>
                      <w:highlight w:val="none"/>
                      <w:lang w:eastAsia="zh-CN"/>
                    </w:rPr>
                    <w:t>（</w:t>
                  </w:r>
                  <w:r>
                    <w:rPr>
                      <w:rFonts w:hint="default"/>
                      <w:color w:val="auto"/>
                      <w:sz w:val="21"/>
                      <w:szCs w:val="21"/>
                      <w:highlight w:val="none"/>
                    </w:rPr>
                    <w:t>%</w:t>
                  </w:r>
                  <w:r>
                    <w:rPr>
                      <w:rFonts w:hint="eastAsia"/>
                      <w:color w:val="auto"/>
                      <w:sz w:val="21"/>
                      <w:szCs w:val="21"/>
                      <w:highlight w:val="none"/>
                      <w:lang w:eastAsia="zh-CN"/>
                    </w:rPr>
                    <w:t>）</w:t>
                  </w:r>
                </w:p>
              </w:tc>
              <w:tc>
                <w:tcPr>
                  <w:tcW w:w="639" w:type="dxa"/>
                  <w:tcBorders>
                    <w:tl2br w:val="nil"/>
                    <w:tr2bl w:val="nil"/>
                  </w:tcBorders>
                  <w:noWrap w:val="0"/>
                  <w:vAlign w:val="center"/>
                </w:tcPr>
                <w:p w14:paraId="658723AF">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达标情况</w:t>
                  </w:r>
                </w:p>
              </w:tc>
            </w:tr>
            <w:tr w14:paraId="70DB3E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806" w:type="dxa"/>
                  <w:tcBorders>
                    <w:tl2br w:val="nil"/>
                    <w:tr2bl w:val="nil"/>
                  </w:tcBorders>
                  <w:noWrap w:val="0"/>
                  <w:vAlign w:val="center"/>
                </w:tcPr>
                <w:p w14:paraId="3322AC65">
                  <w:pPr>
                    <w:pStyle w:val="35"/>
                    <w:spacing w:before="0" w:after="0"/>
                    <w:ind w:firstLine="0" w:firstLineChars="0"/>
                    <w:rPr>
                      <w:rFonts w:hint="default"/>
                      <w:color w:val="auto"/>
                      <w:sz w:val="21"/>
                      <w:szCs w:val="21"/>
                      <w:highlight w:val="none"/>
                    </w:rPr>
                  </w:pPr>
                  <w:r>
                    <w:rPr>
                      <w:color w:val="auto"/>
                      <w:sz w:val="21"/>
                      <w:highlight w:val="none"/>
                    </w:rPr>
                    <w:t>SO</w:t>
                  </w:r>
                  <w:r>
                    <w:rPr>
                      <w:color w:val="auto"/>
                      <w:sz w:val="21"/>
                      <w:highlight w:val="none"/>
                      <w:vertAlign w:val="subscript"/>
                    </w:rPr>
                    <w:t>2</w:t>
                  </w:r>
                </w:p>
              </w:tc>
              <w:tc>
                <w:tcPr>
                  <w:tcW w:w="1588" w:type="dxa"/>
                  <w:tcBorders>
                    <w:tl2br w:val="nil"/>
                    <w:tr2bl w:val="nil"/>
                  </w:tcBorders>
                  <w:noWrap w:val="0"/>
                  <w:vAlign w:val="center"/>
                </w:tcPr>
                <w:p w14:paraId="49D34E15">
                  <w:pPr>
                    <w:pStyle w:val="35"/>
                    <w:spacing w:before="0" w:after="0"/>
                    <w:ind w:firstLine="0" w:firstLineChars="0"/>
                    <w:rPr>
                      <w:rFonts w:hint="default"/>
                      <w:color w:val="auto"/>
                      <w:sz w:val="21"/>
                      <w:szCs w:val="21"/>
                      <w:highlight w:val="none"/>
                    </w:rPr>
                  </w:pPr>
                  <w:r>
                    <w:rPr>
                      <w:color w:val="auto"/>
                      <w:sz w:val="21"/>
                      <w:highlight w:val="none"/>
                    </w:rPr>
                    <w:t>年平均质量浓度</w:t>
                  </w:r>
                </w:p>
              </w:tc>
              <w:tc>
                <w:tcPr>
                  <w:tcW w:w="928" w:type="dxa"/>
                  <w:tcBorders>
                    <w:tl2br w:val="nil"/>
                    <w:tr2bl w:val="nil"/>
                  </w:tcBorders>
                  <w:noWrap w:val="0"/>
                  <w:vAlign w:val="center"/>
                </w:tcPr>
                <w:p w14:paraId="32919B96">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7.5</w:t>
                  </w:r>
                </w:p>
              </w:tc>
              <w:tc>
                <w:tcPr>
                  <w:tcW w:w="928" w:type="dxa"/>
                  <w:tcBorders>
                    <w:tl2br w:val="nil"/>
                    <w:tr2bl w:val="nil"/>
                  </w:tcBorders>
                  <w:noWrap w:val="0"/>
                  <w:vAlign w:val="center"/>
                </w:tcPr>
                <w:p w14:paraId="6F29E169">
                  <w:pPr>
                    <w:pStyle w:val="35"/>
                    <w:spacing w:before="0" w:after="0"/>
                    <w:ind w:firstLine="0" w:firstLineChars="0"/>
                    <w:rPr>
                      <w:rFonts w:hint="default"/>
                      <w:color w:val="auto"/>
                      <w:sz w:val="21"/>
                      <w:szCs w:val="21"/>
                      <w:highlight w:val="none"/>
                    </w:rPr>
                  </w:pPr>
                  <w:r>
                    <w:rPr>
                      <w:color w:val="auto"/>
                      <w:sz w:val="21"/>
                      <w:highlight w:val="none"/>
                    </w:rPr>
                    <w:t>60</w:t>
                  </w:r>
                </w:p>
              </w:tc>
              <w:tc>
                <w:tcPr>
                  <w:tcW w:w="769" w:type="dxa"/>
                  <w:tcBorders>
                    <w:tl2br w:val="nil"/>
                    <w:tr2bl w:val="nil"/>
                  </w:tcBorders>
                  <w:noWrap w:val="0"/>
                  <w:vAlign w:val="center"/>
                </w:tcPr>
                <w:p w14:paraId="1FDE313D">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12.5 </w:t>
                  </w:r>
                </w:p>
              </w:tc>
              <w:tc>
                <w:tcPr>
                  <w:tcW w:w="609" w:type="dxa"/>
                  <w:tcBorders>
                    <w:tl2br w:val="nil"/>
                    <w:tr2bl w:val="nil"/>
                  </w:tcBorders>
                  <w:shd w:val="clear" w:color="auto" w:fill="auto"/>
                  <w:noWrap w:val="0"/>
                  <w:vAlign w:val="center"/>
                </w:tcPr>
                <w:p w14:paraId="739EECD9">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color w:val="auto"/>
                      <w:sz w:val="21"/>
                      <w:highlight w:val="none"/>
                    </w:rPr>
                    <w:t>达标</w:t>
                  </w:r>
                </w:p>
              </w:tc>
              <w:tc>
                <w:tcPr>
                  <w:tcW w:w="985" w:type="dxa"/>
                  <w:tcBorders>
                    <w:tl2br w:val="nil"/>
                    <w:tr2bl w:val="nil"/>
                  </w:tcBorders>
                  <w:noWrap w:val="0"/>
                  <w:vAlign w:val="center"/>
                </w:tcPr>
                <w:p w14:paraId="7243E344">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60</w:t>
                  </w:r>
                </w:p>
              </w:tc>
              <w:tc>
                <w:tcPr>
                  <w:tcW w:w="855" w:type="dxa"/>
                  <w:tcBorders>
                    <w:tl2br w:val="nil"/>
                    <w:tr2bl w:val="nil"/>
                  </w:tcBorders>
                  <w:noWrap w:val="0"/>
                  <w:vAlign w:val="center"/>
                </w:tcPr>
                <w:p w14:paraId="4E7E7C9F">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12.5 </w:t>
                  </w:r>
                </w:p>
              </w:tc>
              <w:tc>
                <w:tcPr>
                  <w:tcW w:w="639" w:type="dxa"/>
                  <w:tcBorders>
                    <w:tl2br w:val="nil"/>
                    <w:tr2bl w:val="nil"/>
                  </w:tcBorders>
                  <w:noWrap w:val="0"/>
                  <w:vAlign w:val="center"/>
                </w:tcPr>
                <w:p w14:paraId="59935609">
                  <w:pPr>
                    <w:pStyle w:val="35"/>
                    <w:spacing w:before="0" w:after="0"/>
                    <w:ind w:firstLine="0" w:firstLineChars="0"/>
                    <w:rPr>
                      <w:rFonts w:hint="default"/>
                      <w:color w:val="auto"/>
                      <w:sz w:val="21"/>
                      <w:szCs w:val="21"/>
                      <w:highlight w:val="none"/>
                    </w:rPr>
                  </w:pPr>
                  <w:r>
                    <w:rPr>
                      <w:color w:val="auto"/>
                      <w:sz w:val="21"/>
                      <w:highlight w:val="none"/>
                    </w:rPr>
                    <w:t>达标</w:t>
                  </w:r>
                </w:p>
              </w:tc>
            </w:tr>
            <w:tr w14:paraId="028AF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806" w:type="dxa"/>
                  <w:tcBorders>
                    <w:tl2br w:val="nil"/>
                    <w:tr2bl w:val="nil"/>
                  </w:tcBorders>
                  <w:noWrap w:val="0"/>
                  <w:vAlign w:val="center"/>
                </w:tcPr>
                <w:p w14:paraId="0F3E6F18">
                  <w:pPr>
                    <w:pStyle w:val="35"/>
                    <w:spacing w:before="0" w:after="0"/>
                    <w:ind w:firstLine="0" w:firstLineChars="0"/>
                    <w:rPr>
                      <w:rFonts w:hint="default"/>
                      <w:color w:val="auto"/>
                      <w:sz w:val="21"/>
                      <w:szCs w:val="21"/>
                      <w:highlight w:val="none"/>
                    </w:rPr>
                  </w:pPr>
                  <w:r>
                    <w:rPr>
                      <w:color w:val="auto"/>
                      <w:sz w:val="21"/>
                      <w:highlight w:val="none"/>
                    </w:rPr>
                    <w:t>NO</w:t>
                  </w:r>
                  <w:r>
                    <w:rPr>
                      <w:color w:val="auto"/>
                      <w:sz w:val="21"/>
                      <w:highlight w:val="none"/>
                      <w:vertAlign w:val="subscript"/>
                    </w:rPr>
                    <w:t>2</w:t>
                  </w:r>
                </w:p>
              </w:tc>
              <w:tc>
                <w:tcPr>
                  <w:tcW w:w="1588" w:type="dxa"/>
                  <w:tcBorders>
                    <w:tl2br w:val="nil"/>
                    <w:tr2bl w:val="nil"/>
                  </w:tcBorders>
                  <w:noWrap w:val="0"/>
                  <w:vAlign w:val="center"/>
                </w:tcPr>
                <w:p w14:paraId="39D688BE">
                  <w:pPr>
                    <w:pStyle w:val="35"/>
                    <w:spacing w:before="0" w:after="0"/>
                    <w:ind w:firstLine="0" w:firstLineChars="0"/>
                    <w:rPr>
                      <w:rFonts w:hint="default"/>
                      <w:color w:val="auto"/>
                      <w:sz w:val="21"/>
                      <w:szCs w:val="21"/>
                      <w:highlight w:val="none"/>
                    </w:rPr>
                  </w:pPr>
                  <w:r>
                    <w:rPr>
                      <w:color w:val="auto"/>
                      <w:sz w:val="21"/>
                      <w:highlight w:val="none"/>
                    </w:rPr>
                    <w:t>年平均质量浓度</w:t>
                  </w:r>
                </w:p>
              </w:tc>
              <w:tc>
                <w:tcPr>
                  <w:tcW w:w="928" w:type="dxa"/>
                  <w:tcBorders>
                    <w:tl2br w:val="nil"/>
                    <w:tr2bl w:val="nil"/>
                  </w:tcBorders>
                  <w:noWrap w:val="0"/>
                  <w:vAlign w:val="center"/>
                </w:tcPr>
                <w:p w14:paraId="46568F04">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26.2</w:t>
                  </w:r>
                </w:p>
              </w:tc>
              <w:tc>
                <w:tcPr>
                  <w:tcW w:w="928" w:type="dxa"/>
                  <w:tcBorders>
                    <w:tl2br w:val="nil"/>
                    <w:tr2bl w:val="nil"/>
                  </w:tcBorders>
                  <w:noWrap w:val="0"/>
                  <w:vAlign w:val="center"/>
                </w:tcPr>
                <w:p w14:paraId="45B051F1">
                  <w:pPr>
                    <w:pStyle w:val="35"/>
                    <w:spacing w:before="0" w:after="0"/>
                    <w:ind w:firstLine="0" w:firstLineChars="0"/>
                    <w:rPr>
                      <w:rFonts w:hint="default"/>
                      <w:color w:val="auto"/>
                      <w:sz w:val="21"/>
                      <w:szCs w:val="21"/>
                      <w:highlight w:val="none"/>
                    </w:rPr>
                  </w:pPr>
                  <w:r>
                    <w:rPr>
                      <w:color w:val="auto"/>
                      <w:sz w:val="21"/>
                      <w:highlight w:val="none"/>
                    </w:rPr>
                    <w:t>40</w:t>
                  </w:r>
                </w:p>
              </w:tc>
              <w:tc>
                <w:tcPr>
                  <w:tcW w:w="769" w:type="dxa"/>
                  <w:tcBorders>
                    <w:tl2br w:val="nil"/>
                    <w:tr2bl w:val="nil"/>
                  </w:tcBorders>
                  <w:noWrap w:val="0"/>
                  <w:vAlign w:val="center"/>
                </w:tcPr>
                <w:p w14:paraId="2619055C">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65.5 </w:t>
                  </w:r>
                </w:p>
              </w:tc>
              <w:tc>
                <w:tcPr>
                  <w:tcW w:w="609" w:type="dxa"/>
                  <w:tcBorders>
                    <w:tl2br w:val="nil"/>
                    <w:tr2bl w:val="nil"/>
                  </w:tcBorders>
                  <w:shd w:val="clear" w:color="auto" w:fill="auto"/>
                  <w:noWrap w:val="0"/>
                  <w:vAlign w:val="center"/>
                </w:tcPr>
                <w:p w14:paraId="11FED430">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color w:val="auto"/>
                      <w:sz w:val="21"/>
                      <w:highlight w:val="none"/>
                    </w:rPr>
                    <w:t>达标</w:t>
                  </w:r>
                </w:p>
              </w:tc>
              <w:tc>
                <w:tcPr>
                  <w:tcW w:w="985" w:type="dxa"/>
                  <w:tcBorders>
                    <w:tl2br w:val="nil"/>
                    <w:tr2bl w:val="nil"/>
                  </w:tcBorders>
                  <w:noWrap w:val="0"/>
                  <w:vAlign w:val="center"/>
                </w:tcPr>
                <w:p w14:paraId="72BF1362">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40</w:t>
                  </w:r>
                </w:p>
              </w:tc>
              <w:tc>
                <w:tcPr>
                  <w:tcW w:w="855" w:type="dxa"/>
                  <w:tcBorders>
                    <w:tl2br w:val="nil"/>
                    <w:tr2bl w:val="nil"/>
                  </w:tcBorders>
                  <w:noWrap w:val="0"/>
                  <w:vAlign w:val="center"/>
                </w:tcPr>
                <w:p w14:paraId="7B0BA411">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65.5 </w:t>
                  </w:r>
                </w:p>
              </w:tc>
              <w:tc>
                <w:tcPr>
                  <w:tcW w:w="639" w:type="dxa"/>
                  <w:tcBorders>
                    <w:tl2br w:val="nil"/>
                    <w:tr2bl w:val="nil"/>
                  </w:tcBorders>
                  <w:noWrap w:val="0"/>
                  <w:vAlign w:val="center"/>
                </w:tcPr>
                <w:p w14:paraId="6637BC5C">
                  <w:pPr>
                    <w:pStyle w:val="35"/>
                    <w:spacing w:before="0" w:after="0"/>
                    <w:ind w:firstLine="0" w:firstLineChars="0"/>
                    <w:rPr>
                      <w:rFonts w:hint="default"/>
                      <w:color w:val="auto"/>
                      <w:sz w:val="21"/>
                      <w:szCs w:val="21"/>
                      <w:highlight w:val="none"/>
                    </w:rPr>
                  </w:pPr>
                  <w:r>
                    <w:rPr>
                      <w:color w:val="auto"/>
                      <w:sz w:val="21"/>
                      <w:highlight w:val="none"/>
                    </w:rPr>
                    <w:t>达标</w:t>
                  </w:r>
                </w:p>
              </w:tc>
            </w:tr>
            <w:tr w14:paraId="5805A8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806" w:type="dxa"/>
                  <w:tcBorders>
                    <w:tl2br w:val="nil"/>
                    <w:tr2bl w:val="nil"/>
                  </w:tcBorders>
                  <w:noWrap w:val="0"/>
                  <w:vAlign w:val="center"/>
                </w:tcPr>
                <w:p w14:paraId="30D6CDEB">
                  <w:pPr>
                    <w:pStyle w:val="35"/>
                    <w:spacing w:before="0" w:after="0"/>
                    <w:ind w:firstLine="0" w:firstLineChars="0"/>
                    <w:rPr>
                      <w:rFonts w:hint="default"/>
                      <w:color w:val="auto"/>
                      <w:sz w:val="21"/>
                      <w:szCs w:val="21"/>
                      <w:highlight w:val="none"/>
                    </w:rPr>
                  </w:pPr>
                  <w:r>
                    <w:rPr>
                      <w:color w:val="auto"/>
                      <w:sz w:val="21"/>
                      <w:highlight w:val="none"/>
                    </w:rPr>
                    <w:t>PM</w:t>
                  </w:r>
                  <w:r>
                    <w:rPr>
                      <w:color w:val="auto"/>
                      <w:sz w:val="21"/>
                      <w:highlight w:val="none"/>
                      <w:vertAlign w:val="subscript"/>
                    </w:rPr>
                    <w:t>10</w:t>
                  </w:r>
                </w:p>
              </w:tc>
              <w:tc>
                <w:tcPr>
                  <w:tcW w:w="1588" w:type="dxa"/>
                  <w:tcBorders>
                    <w:tl2br w:val="nil"/>
                    <w:tr2bl w:val="nil"/>
                  </w:tcBorders>
                  <w:noWrap w:val="0"/>
                  <w:vAlign w:val="center"/>
                </w:tcPr>
                <w:p w14:paraId="4E577377">
                  <w:pPr>
                    <w:pStyle w:val="35"/>
                    <w:spacing w:before="0" w:after="0"/>
                    <w:ind w:firstLine="0" w:firstLineChars="0"/>
                    <w:rPr>
                      <w:rFonts w:hint="default"/>
                      <w:color w:val="auto"/>
                      <w:sz w:val="21"/>
                      <w:szCs w:val="21"/>
                      <w:highlight w:val="none"/>
                    </w:rPr>
                  </w:pPr>
                  <w:r>
                    <w:rPr>
                      <w:color w:val="auto"/>
                      <w:sz w:val="21"/>
                      <w:highlight w:val="none"/>
                    </w:rPr>
                    <w:t>年平均质量浓度</w:t>
                  </w:r>
                </w:p>
              </w:tc>
              <w:tc>
                <w:tcPr>
                  <w:tcW w:w="928" w:type="dxa"/>
                  <w:tcBorders>
                    <w:tl2br w:val="nil"/>
                    <w:tr2bl w:val="nil"/>
                  </w:tcBorders>
                  <w:noWrap w:val="0"/>
                  <w:vAlign w:val="center"/>
                </w:tcPr>
                <w:p w14:paraId="73C53871">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61.0</w:t>
                  </w:r>
                </w:p>
              </w:tc>
              <w:tc>
                <w:tcPr>
                  <w:tcW w:w="928" w:type="dxa"/>
                  <w:tcBorders>
                    <w:tl2br w:val="nil"/>
                    <w:tr2bl w:val="nil"/>
                  </w:tcBorders>
                  <w:noWrap w:val="0"/>
                  <w:vAlign w:val="center"/>
                </w:tcPr>
                <w:p w14:paraId="3C7108B6">
                  <w:pPr>
                    <w:pStyle w:val="35"/>
                    <w:spacing w:before="0" w:after="0"/>
                    <w:ind w:firstLine="0" w:firstLineChars="0"/>
                    <w:rPr>
                      <w:rFonts w:hint="default"/>
                      <w:color w:val="auto"/>
                      <w:sz w:val="21"/>
                      <w:szCs w:val="21"/>
                      <w:highlight w:val="none"/>
                    </w:rPr>
                  </w:pPr>
                  <w:r>
                    <w:rPr>
                      <w:color w:val="auto"/>
                      <w:sz w:val="21"/>
                      <w:highlight w:val="none"/>
                    </w:rPr>
                    <w:t>70</w:t>
                  </w:r>
                </w:p>
              </w:tc>
              <w:tc>
                <w:tcPr>
                  <w:tcW w:w="769" w:type="dxa"/>
                  <w:tcBorders>
                    <w:tl2br w:val="nil"/>
                    <w:tr2bl w:val="nil"/>
                  </w:tcBorders>
                  <w:noWrap w:val="0"/>
                  <w:vAlign w:val="center"/>
                </w:tcPr>
                <w:p w14:paraId="22E5AA19">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87.1 </w:t>
                  </w:r>
                </w:p>
              </w:tc>
              <w:tc>
                <w:tcPr>
                  <w:tcW w:w="609" w:type="dxa"/>
                  <w:tcBorders>
                    <w:tl2br w:val="nil"/>
                    <w:tr2bl w:val="nil"/>
                  </w:tcBorders>
                  <w:shd w:val="clear" w:color="auto" w:fill="auto"/>
                  <w:noWrap w:val="0"/>
                  <w:vAlign w:val="center"/>
                </w:tcPr>
                <w:p w14:paraId="4A3DD43A">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达标</w:t>
                  </w:r>
                </w:p>
              </w:tc>
              <w:tc>
                <w:tcPr>
                  <w:tcW w:w="985" w:type="dxa"/>
                  <w:tcBorders>
                    <w:tl2br w:val="nil"/>
                    <w:tr2bl w:val="nil"/>
                  </w:tcBorders>
                  <w:noWrap w:val="0"/>
                  <w:vAlign w:val="center"/>
                </w:tcPr>
                <w:p w14:paraId="0F5C0C52">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60</w:t>
                  </w:r>
                </w:p>
              </w:tc>
              <w:tc>
                <w:tcPr>
                  <w:tcW w:w="855" w:type="dxa"/>
                  <w:tcBorders>
                    <w:tl2br w:val="nil"/>
                    <w:tr2bl w:val="nil"/>
                  </w:tcBorders>
                  <w:noWrap w:val="0"/>
                  <w:vAlign w:val="center"/>
                </w:tcPr>
                <w:p w14:paraId="5B0FEFEB">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101.7 </w:t>
                  </w:r>
                </w:p>
              </w:tc>
              <w:tc>
                <w:tcPr>
                  <w:tcW w:w="639" w:type="dxa"/>
                  <w:tcBorders>
                    <w:tl2br w:val="nil"/>
                    <w:tr2bl w:val="nil"/>
                  </w:tcBorders>
                  <w:noWrap w:val="0"/>
                  <w:vAlign w:val="center"/>
                </w:tcPr>
                <w:p w14:paraId="1FE91CA5">
                  <w:pPr>
                    <w:pStyle w:val="35"/>
                    <w:spacing w:before="0" w:after="0"/>
                    <w:ind w:firstLine="0" w:firstLineChars="0"/>
                    <w:rPr>
                      <w:rFonts w:hint="default" w:eastAsia="宋体"/>
                      <w:color w:val="auto"/>
                      <w:sz w:val="21"/>
                      <w:szCs w:val="21"/>
                      <w:highlight w:val="none"/>
                      <w:lang w:val="en-US" w:eastAsia="zh-CN"/>
                    </w:rPr>
                  </w:pPr>
                  <w:r>
                    <w:rPr>
                      <w:color w:val="auto"/>
                      <w:sz w:val="21"/>
                      <w:highlight w:val="none"/>
                    </w:rPr>
                    <w:t>超标</w:t>
                  </w:r>
                </w:p>
              </w:tc>
            </w:tr>
            <w:tr w14:paraId="45D4F7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806" w:type="dxa"/>
                  <w:tcBorders>
                    <w:tl2br w:val="nil"/>
                    <w:tr2bl w:val="nil"/>
                  </w:tcBorders>
                  <w:noWrap w:val="0"/>
                  <w:vAlign w:val="center"/>
                </w:tcPr>
                <w:p w14:paraId="0FD68C2F">
                  <w:pPr>
                    <w:pStyle w:val="35"/>
                    <w:spacing w:before="0" w:after="0"/>
                    <w:ind w:firstLine="0" w:firstLineChars="0"/>
                    <w:rPr>
                      <w:rFonts w:hint="default"/>
                      <w:color w:val="auto"/>
                      <w:sz w:val="21"/>
                      <w:szCs w:val="21"/>
                      <w:highlight w:val="none"/>
                    </w:rPr>
                  </w:pPr>
                  <w:r>
                    <w:rPr>
                      <w:color w:val="auto"/>
                      <w:sz w:val="21"/>
                      <w:highlight w:val="none"/>
                    </w:rPr>
                    <w:t>PM</w:t>
                  </w:r>
                  <w:r>
                    <w:rPr>
                      <w:color w:val="auto"/>
                      <w:sz w:val="21"/>
                      <w:highlight w:val="none"/>
                      <w:vertAlign w:val="subscript"/>
                    </w:rPr>
                    <w:t>2.5</w:t>
                  </w:r>
                </w:p>
              </w:tc>
              <w:tc>
                <w:tcPr>
                  <w:tcW w:w="1588" w:type="dxa"/>
                  <w:tcBorders>
                    <w:tl2br w:val="nil"/>
                    <w:tr2bl w:val="nil"/>
                  </w:tcBorders>
                  <w:noWrap w:val="0"/>
                  <w:vAlign w:val="center"/>
                </w:tcPr>
                <w:p w14:paraId="1DC6F37B">
                  <w:pPr>
                    <w:pStyle w:val="35"/>
                    <w:spacing w:before="0" w:after="0"/>
                    <w:ind w:firstLine="0" w:firstLineChars="0"/>
                    <w:rPr>
                      <w:rFonts w:hint="default"/>
                      <w:color w:val="auto"/>
                      <w:sz w:val="21"/>
                      <w:szCs w:val="21"/>
                      <w:highlight w:val="none"/>
                    </w:rPr>
                  </w:pPr>
                  <w:r>
                    <w:rPr>
                      <w:color w:val="auto"/>
                      <w:sz w:val="21"/>
                      <w:highlight w:val="none"/>
                    </w:rPr>
                    <w:t>年平均质量浓度</w:t>
                  </w:r>
                </w:p>
              </w:tc>
              <w:tc>
                <w:tcPr>
                  <w:tcW w:w="928" w:type="dxa"/>
                  <w:tcBorders>
                    <w:tl2br w:val="nil"/>
                    <w:tr2bl w:val="nil"/>
                  </w:tcBorders>
                  <w:noWrap w:val="0"/>
                  <w:vAlign w:val="center"/>
                </w:tcPr>
                <w:p w14:paraId="1E9D9A72">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34.1</w:t>
                  </w:r>
                </w:p>
              </w:tc>
              <w:tc>
                <w:tcPr>
                  <w:tcW w:w="928" w:type="dxa"/>
                  <w:tcBorders>
                    <w:tl2br w:val="nil"/>
                    <w:tr2bl w:val="nil"/>
                  </w:tcBorders>
                  <w:noWrap w:val="0"/>
                  <w:vAlign w:val="center"/>
                </w:tcPr>
                <w:p w14:paraId="4FB3504B">
                  <w:pPr>
                    <w:pStyle w:val="35"/>
                    <w:spacing w:before="0" w:after="0"/>
                    <w:ind w:firstLine="0" w:firstLineChars="0"/>
                    <w:rPr>
                      <w:rFonts w:hint="default"/>
                      <w:color w:val="auto"/>
                      <w:sz w:val="21"/>
                      <w:szCs w:val="21"/>
                      <w:highlight w:val="none"/>
                    </w:rPr>
                  </w:pPr>
                  <w:r>
                    <w:rPr>
                      <w:color w:val="auto"/>
                      <w:sz w:val="21"/>
                      <w:highlight w:val="none"/>
                    </w:rPr>
                    <w:t>35</w:t>
                  </w:r>
                </w:p>
              </w:tc>
              <w:tc>
                <w:tcPr>
                  <w:tcW w:w="769" w:type="dxa"/>
                  <w:tcBorders>
                    <w:tl2br w:val="nil"/>
                    <w:tr2bl w:val="nil"/>
                  </w:tcBorders>
                  <w:noWrap w:val="0"/>
                  <w:vAlign w:val="center"/>
                </w:tcPr>
                <w:p w14:paraId="72D079C0">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97.4 </w:t>
                  </w:r>
                </w:p>
              </w:tc>
              <w:tc>
                <w:tcPr>
                  <w:tcW w:w="609" w:type="dxa"/>
                  <w:tcBorders>
                    <w:tl2br w:val="nil"/>
                    <w:tr2bl w:val="nil"/>
                  </w:tcBorders>
                  <w:shd w:val="clear" w:color="auto" w:fill="auto"/>
                  <w:noWrap w:val="0"/>
                  <w:vAlign w:val="center"/>
                </w:tcPr>
                <w:p w14:paraId="2421BDBE">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达</w:t>
                  </w:r>
                  <w:r>
                    <w:rPr>
                      <w:color w:val="auto"/>
                      <w:sz w:val="21"/>
                      <w:highlight w:val="none"/>
                    </w:rPr>
                    <w:t>标</w:t>
                  </w:r>
                </w:p>
              </w:tc>
              <w:tc>
                <w:tcPr>
                  <w:tcW w:w="985" w:type="dxa"/>
                  <w:tcBorders>
                    <w:tl2br w:val="nil"/>
                    <w:tr2bl w:val="nil"/>
                  </w:tcBorders>
                  <w:noWrap w:val="0"/>
                  <w:vAlign w:val="center"/>
                </w:tcPr>
                <w:p w14:paraId="24D3F176">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30</w:t>
                  </w:r>
                </w:p>
              </w:tc>
              <w:tc>
                <w:tcPr>
                  <w:tcW w:w="855" w:type="dxa"/>
                  <w:tcBorders>
                    <w:tl2br w:val="nil"/>
                    <w:tr2bl w:val="nil"/>
                  </w:tcBorders>
                  <w:noWrap w:val="0"/>
                  <w:vAlign w:val="center"/>
                </w:tcPr>
                <w:p w14:paraId="0AD573ED">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113.7 </w:t>
                  </w:r>
                </w:p>
              </w:tc>
              <w:tc>
                <w:tcPr>
                  <w:tcW w:w="639" w:type="dxa"/>
                  <w:tcBorders>
                    <w:tl2br w:val="nil"/>
                    <w:tr2bl w:val="nil"/>
                  </w:tcBorders>
                  <w:noWrap w:val="0"/>
                  <w:vAlign w:val="center"/>
                </w:tcPr>
                <w:p w14:paraId="761CD4ED">
                  <w:pPr>
                    <w:pStyle w:val="35"/>
                    <w:spacing w:before="0" w:after="0"/>
                    <w:ind w:firstLine="0" w:firstLineChars="0"/>
                    <w:rPr>
                      <w:rFonts w:hint="default"/>
                      <w:color w:val="auto"/>
                      <w:sz w:val="21"/>
                      <w:szCs w:val="21"/>
                      <w:highlight w:val="none"/>
                    </w:rPr>
                  </w:pPr>
                  <w:r>
                    <w:rPr>
                      <w:color w:val="auto"/>
                      <w:sz w:val="21"/>
                      <w:highlight w:val="none"/>
                    </w:rPr>
                    <w:t>超标</w:t>
                  </w:r>
                </w:p>
              </w:tc>
            </w:tr>
            <w:tr w14:paraId="62B49B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806" w:type="dxa"/>
                  <w:tcBorders>
                    <w:tl2br w:val="nil"/>
                    <w:tr2bl w:val="nil"/>
                  </w:tcBorders>
                  <w:noWrap w:val="0"/>
                  <w:vAlign w:val="center"/>
                </w:tcPr>
                <w:p w14:paraId="6E2C0E89">
                  <w:pPr>
                    <w:pStyle w:val="35"/>
                    <w:spacing w:before="0" w:after="0"/>
                    <w:ind w:firstLine="0" w:firstLineChars="0"/>
                    <w:rPr>
                      <w:rFonts w:hint="default"/>
                      <w:color w:val="auto"/>
                      <w:sz w:val="21"/>
                      <w:szCs w:val="21"/>
                      <w:highlight w:val="none"/>
                    </w:rPr>
                  </w:pPr>
                  <w:r>
                    <w:rPr>
                      <w:color w:val="auto"/>
                      <w:sz w:val="21"/>
                      <w:highlight w:val="none"/>
                    </w:rPr>
                    <w:t>CO</w:t>
                  </w:r>
                </w:p>
              </w:tc>
              <w:tc>
                <w:tcPr>
                  <w:tcW w:w="1588" w:type="dxa"/>
                  <w:tcBorders>
                    <w:tl2br w:val="nil"/>
                    <w:tr2bl w:val="nil"/>
                  </w:tcBorders>
                  <w:noWrap w:val="0"/>
                  <w:vAlign w:val="center"/>
                </w:tcPr>
                <w:p w14:paraId="53DA76CE">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rPr>
                    <w:t>日均值第95百分位浓度</w:t>
                  </w:r>
                </w:p>
              </w:tc>
              <w:tc>
                <w:tcPr>
                  <w:tcW w:w="928" w:type="dxa"/>
                  <w:tcBorders>
                    <w:tl2br w:val="nil"/>
                    <w:tr2bl w:val="nil"/>
                  </w:tcBorders>
                  <w:noWrap w:val="0"/>
                  <w:vAlign w:val="center"/>
                </w:tcPr>
                <w:p w14:paraId="69E6B89D">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1200</w:t>
                  </w:r>
                </w:p>
              </w:tc>
              <w:tc>
                <w:tcPr>
                  <w:tcW w:w="928" w:type="dxa"/>
                  <w:tcBorders>
                    <w:tl2br w:val="nil"/>
                    <w:tr2bl w:val="nil"/>
                  </w:tcBorders>
                  <w:noWrap w:val="0"/>
                  <w:vAlign w:val="center"/>
                </w:tcPr>
                <w:p w14:paraId="2B59089B">
                  <w:pPr>
                    <w:pStyle w:val="35"/>
                    <w:spacing w:before="0" w:after="0"/>
                    <w:ind w:firstLine="0" w:firstLineChars="0"/>
                    <w:rPr>
                      <w:rFonts w:hint="default"/>
                      <w:color w:val="auto"/>
                      <w:sz w:val="21"/>
                      <w:szCs w:val="21"/>
                      <w:highlight w:val="none"/>
                    </w:rPr>
                  </w:pPr>
                  <w:r>
                    <w:rPr>
                      <w:color w:val="auto"/>
                      <w:sz w:val="21"/>
                      <w:highlight w:val="none"/>
                    </w:rPr>
                    <w:t>4000</w:t>
                  </w:r>
                </w:p>
              </w:tc>
              <w:tc>
                <w:tcPr>
                  <w:tcW w:w="769" w:type="dxa"/>
                  <w:tcBorders>
                    <w:tl2br w:val="nil"/>
                    <w:tr2bl w:val="nil"/>
                  </w:tcBorders>
                  <w:noWrap w:val="0"/>
                  <w:vAlign w:val="center"/>
                </w:tcPr>
                <w:p w14:paraId="3BB0BE4B">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30.0 </w:t>
                  </w:r>
                </w:p>
              </w:tc>
              <w:tc>
                <w:tcPr>
                  <w:tcW w:w="609" w:type="dxa"/>
                  <w:tcBorders>
                    <w:tl2br w:val="nil"/>
                    <w:tr2bl w:val="nil"/>
                  </w:tcBorders>
                  <w:shd w:val="clear" w:color="auto" w:fill="auto"/>
                  <w:noWrap w:val="0"/>
                  <w:vAlign w:val="center"/>
                </w:tcPr>
                <w:p w14:paraId="5BA5DEE5">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color w:val="auto"/>
                      <w:sz w:val="21"/>
                      <w:highlight w:val="none"/>
                    </w:rPr>
                    <w:t>达标</w:t>
                  </w:r>
                </w:p>
              </w:tc>
              <w:tc>
                <w:tcPr>
                  <w:tcW w:w="985" w:type="dxa"/>
                  <w:tcBorders>
                    <w:tl2br w:val="nil"/>
                    <w:tr2bl w:val="nil"/>
                  </w:tcBorders>
                  <w:noWrap w:val="0"/>
                  <w:vAlign w:val="center"/>
                </w:tcPr>
                <w:p w14:paraId="710BE179">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4000</w:t>
                  </w:r>
                </w:p>
              </w:tc>
              <w:tc>
                <w:tcPr>
                  <w:tcW w:w="855" w:type="dxa"/>
                  <w:tcBorders>
                    <w:tl2br w:val="nil"/>
                    <w:tr2bl w:val="nil"/>
                  </w:tcBorders>
                  <w:noWrap w:val="0"/>
                  <w:vAlign w:val="center"/>
                </w:tcPr>
                <w:p w14:paraId="2677193E">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30.0 </w:t>
                  </w:r>
                </w:p>
              </w:tc>
              <w:tc>
                <w:tcPr>
                  <w:tcW w:w="639" w:type="dxa"/>
                  <w:tcBorders>
                    <w:tl2br w:val="nil"/>
                    <w:tr2bl w:val="nil"/>
                  </w:tcBorders>
                  <w:noWrap w:val="0"/>
                  <w:vAlign w:val="center"/>
                </w:tcPr>
                <w:p w14:paraId="56387C35">
                  <w:pPr>
                    <w:pStyle w:val="35"/>
                    <w:spacing w:before="0" w:after="0"/>
                    <w:ind w:firstLine="0" w:firstLineChars="0"/>
                    <w:rPr>
                      <w:rFonts w:hint="default"/>
                      <w:color w:val="auto"/>
                      <w:sz w:val="21"/>
                      <w:szCs w:val="21"/>
                      <w:highlight w:val="none"/>
                    </w:rPr>
                  </w:pPr>
                  <w:r>
                    <w:rPr>
                      <w:color w:val="auto"/>
                      <w:sz w:val="21"/>
                      <w:highlight w:val="none"/>
                    </w:rPr>
                    <w:t>达标</w:t>
                  </w:r>
                </w:p>
              </w:tc>
            </w:tr>
            <w:tr w14:paraId="5BEF61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806" w:type="dxa"/>
                  <w:tcBorders>
                    <w:tl2br w:val="nil"/>
                    <w:tr2bl w:val="nil"/>
                  </w:tcBorders>
                  <w:noWrap w:val="0"/>
                  <w:vAlign w:val="center"/>
                </w:tcPr>
                <w:p w14:paraId="2AFA1B9E">
                  <w:pPr>
                    <w:pStyle w:val="35"/>
                    <w:spacing w:before="0" w:after="0"/>
                    <w:ind w:firstLine="0" w:firstLineChars="0"/>
                    <w:rPr>
                      <w:rFonts w:hint="default"/>
                      <w:color w:val="auto"/>
                      <w:sz w:val="21"/>
                      <w:szCs w:val="21"/>
                      <w:highlight w:val="none"/>
                    </w:rPr>
                  </w:pPr>
                  <w:r>
                    <w:rPr>
                      <w:color w:val="auto"/>
                      <w:sz w:val="21"/>
                      <w:highlight w:val="none"/>
                    </w:rPr>
                    <w:t>O</w:t>
                  </w:r>
                  <w:r>
                    <w:rPr>
                      <w:color w:val="auto"/>
                      <w:sz w:val="21"/>
                      <w:highlight w:val="none"/>
                      <w:vertAlign w:val="subscript"/>
                    </w:rPr>
                    <w:t>3</w:t>
                  </w:r>
                </w:p>
              </w:tc>
              <w:tc>
                <w:tcPr>
                  <w:tcW w:w="1588" w:type="dxa"/>
                  <w:tcBorders>
                    <w:tl2br w:val="nil"/>
                    <w:tr2bl w:val="nil"/>
                  </w:tcBorders>
                  <w:noWrap w:val="0"/>
                  <w:vAlign w:val="center"/>
                </w:tcPr>
                <w:p w14:paraId="5B48B55D">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rPr>
                    <w:t>日最大8h平均第90百分位浓度</w:t>
                  </w:r>
                </w:p>
              </w:tc>
              <w:tc>
                <w:tcPr>
                  <w:tcW w:w="928" w:type="dxa"/>
                  <w:tcBorders>
                    <w:tl2br w:val="nil"/>
                    <w:tr2bl w:val="nil"/>
                  </w:tcBorders>
                  <w:noWrap w:val="0"/>
                  <w:vAlign w:val="center"/>
                </w:tcPr>
                <w:p w14:paraId="4C3EA462">
                  <w:pPr>
                    <w:pStyle w:val="35"/>
                    <w:spacing w:before="0" w:after="0"/>
                    <w:ind w:firstLine="0" w:firstLineChars="0"/>
                    <w:rPr>
                      <w:rFonts w:hint="default" w:eastAsia="宋体"/>
                      <w:color w:val="auto"/>
                      <w:sz w:val="21"/>
                      <w:szCs w:val="21"/>
                      <w:highlight w:val="none"/>
                      <w:lang w:val="en-US" w:eastAsia="zh-CN"/>
                    </w:rPr>
                  </w:pPr>
                  <w:r>
                    <w:rPr>
                      <w:rFonts w:hint="eastAsia"/>
                      <w:color w:val="auto"/>
                      <w:sz w:val="21"/>
                      <w:highlight w:val="none"/>
                      <w:lang w:val="en-US" w:eastAsia="zh-CN"/>
                    </w:rPr>
                    <w:t>168</w:t>
                  </w:r>
                </w:p>
              </w:tc>
              <w:tc>
                <w:tcPr>
                  <w:tcW w:w="928" w:type="dxa"/>
                  <w:tcBorders>
                    <w:tl2br w:val="nil"/>
                    <w:tr2bl w:val="nil"/>
                  </w:tcBorders>
                  <w:noWrap w:val="0"/>
                  <w:vAlign w:val="center"/>
                </w:tcPr>
                <w:p w14:paraId="64BEB7FA">
                  <w:pPr>
                    <w:pStyle w:val="35"/>
                    <w:spacing w:before="0" w:after="0"/>
                    <w:ind w:firstLine="0" w:firstLineChars="0"/>
                    <w:rPr>
                      <w:rFonts w:hint="default"/>
                      <w:color w:val="auto"/>
                      <w:sz w:val="21"/>
                      <w:szCs w:val="21"/>
                      <w:highlight w:val="none"/>
                    </w:rPr>
                  </w:pPr>
                  <w:r>
                    <w:rPr>
                      <w:color w:val="auto"/>
                      <w:sz w:val="21"/>
                      <w:highlight w:val="none"/>
                    </w:rPr>
                    <w:t>160</w:t>
                  </w:r>
                </w:p>
              </w:tc>
              <w:tc>
                <w:tcPr>
                  <w:tcW w:w="769" w:type="dxa"/>
                  <w:tcBorders>
                    <w:tl2br w:val="nil"/>
                    <w:tr2bl w:val="nil"/>
                  </w:tcBorders>
                  <w:noWrap w:val="0"/>
                  <w:vAlign w:val="center"/>
                </w:tcPr>
                <w:p w14:paraId="3FBD8622">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105.0 </w:t>
                  </w:r>
                </w:p>
              </w:tc>
              <w:tc>
                <w:tcPr>
                  <w:tcW w:w="609" w:type="dxa"/>
                  <w:tcBorders>
                    <w:tl2br w:val="nil"/>
                    <w:tr2bl w:val="nil"/>
                  </w:tcBorders>
                  <w:shd w:val="clear" w:color="auto" w:fill="auto"/>
                  <w:noWrap w:val="0"/>
                  <w:vAlign w:val="center"/>
                </w:tcPr>
                <w:p w14:paraId="6A378324">
                  <w:pPr>
                    <w:pStyle w:val="35"/>
                    <w:spacing w:before="0" w:after="0"/>
                    <w:ind w:firstLine="0" w:firstLineChars="0"/>
                    <w:rPr>
                      <w:rFonts w:hint="default" w:ascii="Times New Roman" w:hAnsi="Times New Roman" w:eastAsia="宋体" w:cs="Times New Roman"/>
                      <w:color w:val="auto"/>
                      <w:kern w:val="1"/>
                      <w:sz w:val="21"/>
                      <w:szCs w:val="21"/>
                      <w:highlight w:val="none"/>
                      <w:lang w:val="en-US" w:eastAsia="zh-CN" w:bidi="ar-SA"/>
                    </w:rPr>
                  </w:pPr>
                  <w:r>
                    <w:rPr>
                      <w:color w:val="auto"/>
                      <w:sz w:val="21"/>
                      <w:highlight w:val="none"/>
                    </w:rPr>
                    <w:t>超标</w:t>
                  </w:r>
                </w:p>
              </w:tc>
              <w:tc>
                <w:tcPr>
                  <w:tcW w:w="985" w:type="dxa"/>
                  <w:tcBorders>
                    <w:tl2br w:val="nil"/>
                    <w:tr2bl w:val="nil"/>
                  </w:tcBorders>
                  <w:noWrap w:val="0"/>
                  <w:vAlign w:val="center"/>
                </w:tcPr>
                <w:p w14:paraId="57B7364F">
                  <w:pPr>
                    <w:pStyle w:val="35"/>
                    <w:spacing w:before="0" w:after="0"/>
                    <w:ind w:firstLine="0" w:firstLineChars="0"/>
                    <w:rPr>
                      <w:rFonts w:hint="default"/>
                      <w:color w:val="auto"/>
                      <w:sz w:val="21"/>
                      <w:highlight w:val="none"/>
                      <w:lang w:val="en-US" w:eastAsia="zh-CN"/>
                    </w:rPr>
                  </w:pPr>
                  <w:r>
                    <w:rPr>
                      <w:rFonts w:hint="eastAsia"/>
                      <w:color w:val="auto"/>
                      <w:sz w:val="21"/>
                      <w:highlight w:val="none"/>
                      <w:lang w:val="en-US" w:eastAsia="zh-CN"/>
                    </w:rPr>
                    <w:t>160</w:t>
                  </w:r>
                </w:p>
              </w:tc>
              <w:tc>
                <w:tcPr>
                  <w:tcW w:w="855" w:type="dxa"/>
                  <w:tcBorders>
                    <w:tl2br w:val="nil"/>
                    <w:tr2bl w:val="nil"/>
                  </w:tcBorders>
                  <w:noWrap w:val="0"/>
                  <w:vAlign w:val="center"/>
                </w:tcPr>
                <w:p w14:paraId="7015DDC0">
                  <w:pPr>
                    <w:pStyle w:val="35"/>
                    <w:spacing w:before="0" w:after="0"/>
                    <w:ind w:firstLine="0" w:firstLineChars="0"/>
                    <w:rPr>
                      <w:rFonts w:hint="eastAsia"/>
                      <w:color w:val="auto"/>
                      <w:sz w:val="21"/>
                      <w:highlight w:val="none"/>
                      <w:lang w:val="en-US" w:eastAsia="zh-CN"/>
                    </w:rPr>
                  </w:pPr>
                  <w:r>
                    <w:rPr>
                      <w:rFonts w:hint="eastAsia"/>
                      <w:color w:val="auto"/>
                      <w:sz w:val="21"/>
                      <w:highlight w:val="none"/>
                      <w:lang w:val="en-US" w:eastAsia="zh-CN"/>
                    </w:rPr>
                    <w:t xml:space="preserve">105.0 </w:t>
                  </w:r>
                </w:p>
              </w:tc>
              <w:tc>
                <w:tcPr>
                  <w:tcW w:w="639" w:type="dxa"/>
                  <w:tcBorders>
                    <w:tl2br w:val="nil"/>
                    <w:tr2bl w:val="nil"/>
                  </w:tcBorders>
                  <w:noWrap w:val="0"/>
                  <w:vAlign w:val="center"/>
                </w:tcPr>
                <w:p w14:paraId="73CD3BC5">
                  <w:pPr>
                    <w:pStyle w:val="35"/>
                    <w:spacing w:before="0" w:after="0"/>
                    <w:ind w:firstLine="0" w:firstLineChars="0"/>
                    <w:rPr>
                      <w:rFonts w:hint="default"/>
                      <w:color w:val="auto"/>
                      <w:sz w:val="21"/>
                      <w:szCs w:val="21"/>
                      <w:highlight w:val="none"/>
                    </w:rPr>
                  </w:pPr>
                  <w:r>
                    <w:rPr>
                      <w:color w:val="auto"/>
                      <w:sz w:val="21"/>
                      <w:highlight w:val="none"/>
                    </w:rPr>
                    <w:t>超标</w:t>
                  </w:r>
                </w:p>
              </w:tc>
            </w:tr>
          </w:tbl>
          <w:p w14:paraId="47769DD3">
            <w:pPr>
              <w:bidi w:val="0"/>
              <w:rPr>
                <w:color w:val="auto"/>
                <w:szCs w:val="21"/>
                <w:highlight w:val="none"/>
                <w:lang w:bidi="ar"/>
              </w:rPr>
            </w:pPr>
            <w:r>
              <w:rPr>
                <w:color w:val="auto"/>
                <w:szCs w:val="21"/>
                <w:highlight w:val="none"/>
                <w:lang w:bidi="ar"/>
              </w:rPr>
              <w:t>由上表可知，</w:t>
            </w:r>
            <w:r>
              <w:rPr>
                <w:rFonts w:hint="eastAsia"/>
                <w:color w:val="auto"/>
                <w:szCs w:val="21"/>
                <w:highlight w:val="none"/>
                <w:lang w:val="en-US" w:eastAsia="zh-CN" w:bidi="ar"/>
              </w:rPr>
              <w:t>2025年唐山市</w:t>
            </w:r>
            <w:r>
              <w:rPr>
                <w:color w:val="auto"/>
                <w:szCs w:val="21"/>
                <w:highlight w:val="none"/>
                <w:lang w:bidi="ar"/>
              </w:rPr>
              <w:t>SO</w:t>
            </w:r>
            <w:r>
              <w:rPr>
                <w:color w:val="auto"/>
                <w:szCs w:val="21"/>
                <w:highlight w:val="none"/>
                <w:vertAlign w:val="subscript"/>
                <w:lang w:bidi="ar"/>
              </w:rPr>
              <w:t>2</w:t>
            </w:r>
            <w:r>
              <w:rPr>
                <w:rFonts w:hint="eastAsia"/>
                <w:color w:val="auto"/>
                <w:szCs w:val="21"/>
                <w:highlight w:val="none"/>
                <w:lang w:bidi="ar"/>
              </w:rPr>
              <w:t>、</w:t>
            </w:r>
            <w:r>
              <w:rPr>
                <w:color w:val="auto"/>
                <w:highlight w:val="none"/>
              </w:rPr>
              <w:t>NO</w:t>
            </w:r>
            <w:r>
              <w:rPr>
                <w:color w:val="auto"/>
                <w:highlight w:val="none"/>
                <w:vertAlign w:val="subscript"/>
              </w:rPr>
              <w:t>2</w:t>
            </w:r>
            <w:r>
              <w:rPr>
                <w:color w:val="auto"/>
                <w:szCs w:val="21"/>
                <w:highlight w:val="none"/>
                <w:lang w:bidi="ar"/>
              </w:rPr>
              <w:t>的年平均质量浓度达标，CO</w:t>
            </w:r>
            <w:r>
              <w:rPr>
                <w:rFonts w:hint="eastAsia"/>
                <w:color w:val="auto"/>
                <w:szCs w:val="21"/>
                <w:highlight w:val="none"/>
                <w:lang w:bidi="ar"/>
              </w:rPr>
              <w:t>的日均值第95百分位浓度</w:t>
            </w:r>
            <w:r>
              <w:rPr>
                <w:color w:val="auto"/>
                <w:szCs w:val="21"/>
                <w:highlight w:val="none"/>
                <w:lang w:bidi="ar"/>
              </w:rPr>
              <w:t>达标，PM</w:t>
            </w:r>
            <w:r>
              <w:rPr>
                <w:rFonts w:hint="eastAsia"/>
                <w:color w:val="auto"/>
                <w:szCs w:val="21"/>
                <w:highlight w:val="none"/>
                <w:vertAlign w:val="subscript"/>
                <w:lang w:val="en-US" w:eastAsia="zh-CN" w:bidi="ar"/>
              </w:rPr>
              <w:t>10</w:t>
            </w:r>
            <w:r>
              <w:rPr>
                <w:rFonts w:hint="eastAsia"/>
                <w:color w:val="auto"/>
                <w:szCs w:val="21"/>
                <w:highlight w:val="none"/>
                <w:vertAlign w:val="baseline"/>
                <w:lang w:val="en-US" w:eastAsia="zh-CN" w:bidi="ar"/>
              </w:rPr>
              <w:t>、</w:t>
            </w:r>
            <w:r>
              <w:rPr>
                <w:rFonts w:hint="eastAsia"/>
                <w:color w:val="auto"/>
                <w:szCs w:val="21"/>
                <w:highlight w:val="none"/>
                <w:lang w:val="en-US" w:eastAsia="zh-CN" w:bidi="ar"/>
              </w:rPr>
              <w:t>PM</w:t>
            </w:r>
            <w:r>
              <w:rPr>
                <w:rFonts w:hint="eastAsia"/>
                <w:color w:val="auto"/>
                <w:szCs w:val="21"/>
                <w:highlight w:val="none"/>
                <w:vertAlign w:val="subscript"/>
                <w:lang w:val="en-US" w:eastAsia="zh-CN" w:bidi="ar"/>
              </w:rPr>
              <w:t>2.5</w:t>
            </w:r>
            <w:r>
              <w:rPr>
                <w:color w:val="auto"/>
                <w:szCs w:val="21"/>
                <w:highlight w:val="none"/>
                <w:lang w:bidi="ar"/>
              </w:rPr>
              <w:t>的年平均质量浓度</w:t>
            </w:r>
            <w:r>
              <w:rPr>
                <w:rFonts w:hint="eastAsia"/>
                <w:color w:val="auto"/>
                <w:szCs w:val="21"/>
                <w:highlight w:val="none"/>
                <w:lang w:val="en-US" w:eastAsia="zh-CN" w:bidi="ar"/>
              </w:rPr>
              <w:t>满足监测期间执行标准</w:t>
            </w:r>
            <w:r>
              <w:rPr>
                <w:rFonts w:hint="eastAsia"/>
                <w:color w:val="auto"/>
                <w:highlight w:val="none"/>
                <w:lang w:eastAsia="zh-CN"/>
              </w:rPr>
              <w:t>《环境空气质量标准》（GB3095-2012）及其修改单中二级标准</w:t>
            </w:r>
            <w:r>
              <w:rPr>
                <w:rFonts w:hint="eastAsia"/>
                <w:color w:val="auto"/>
                <w:highlight w:val="none"/>
                <w:lang w:val="en-US" w:eastAsia="zh-CN"/>
              </w:rPr>
              <w:t>限值要求，不满足现行标准</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w:t>
            </w:r>
            <w:r>
              <w:rPr>
                <w:rFonts w:hint="eastAsia"/>
                <w:color w:val="auto"/>
                <w:highlight w:val="none"/>
                <w:lang w:val="en-US" w:eastAsia="zh-CN"/>
              </w:rPr>
              <w:t>中过渡阶段二级标准限值要求，</w:t>
            </w:r>
            <w:r>
              <w:rPr>
                <w:color w:val="auto"/>
                <w:szCs w:val="21"/>
                <w:highlight w:val="none"/>
                <w:lang w:bidi="ar"/>
              </w:rPr>
              <w:t>O</w:t>
            </w:r>
            <w:r>
              <w:rPr>
                <w:color w:val="auto"/>
                <w:szCs w:val="21"/>
                <w:highlight w:val="none"/>
                <w:vertAlign w:val="subscript"/>
                <w:lang w:bidi="ar"/>
              </w:rPr>
              <w:t>3</w:t>
            </w:r>
            <w:r>
              <w:rPr>
                <w:color w:val="auto"/>
                <w:szCs w:val="21"/>
                <w:highlight w:val="none"/>
                <w:lang w:bidi="ar"/>
              </w:rPr>
              <w:t>的日最大8h平均第90百分位浓度不达标，故项目所在区域环境空气质量不达标，属于不达标区。</w:t>
            </w:r>
          </w:p>
          <w:p w14:paraId="2233C4C1">
            <w:pPr>
              <w:bidi w:val="0"/>
              <w:rPr>
                <w:rFonts w:hint="default"/>
                <w:color w:val="auto"/>
                <w:highlight w:val="none"/>
              </w:rPr>
            </w:pPr>
            <w:r>
              <w:rPr>
                <w:rFonts w:hint="default"/>
                <w:color w:val="auto"/>
                <w:highlight w:val="none"/>
              </w:rPr>
              <w:t>唐山市属于大气污染重点区域，监测数据</w:t>
            </w:r>
            <w:r>
              <w:rPr>
                <w:rFonts w:hint="eastAsia"/>
                <w:color w:val="auto"/>
                <w:highlight w:val="none"/>
                <w:lang w:eastAsia="zh-CN"/>
              </w:rPr>
              <w:t>客观地反映</w:t>
            </w:r>
            <w:r>
              <w:rPr>
                <w:rFonts w:hint="default"/>
                <w:color w:val="auto"/>
                <w:highlight w:val="none"/>
              </w:rPr>
              <w:t>了唐山市环境空气质量的现状。分析超标原因为：随着唐山市工业的快速发展、能源消耗和机动车保有量的快速增长，排放的大量二氧化硫、氮氧化物与挥发性有机物导致细颗粒物等二次污染呈加剧态势。</w:t>
            </w:r>
            <w:r>
              <w:rPr>
                <w:rFonts w:hint="eastAsia" w:ascii="Times New Roman" w:hAnsi="Times New Roman" w:eastAsia="宋体" w:cs="Times New Roman"/>
                <w:color w:val="auto"/>
                <w:sz w:val="24"/>
                <w:szCs w:val="24"/>
                <w:highlight w:val="none"/>
              </w:rPr>
              <w:t>根据</w:t>
            </w:r>
            <w:r>
              <w:rPr>
                <w:rFonts w:hint="eastAsia" w:cs="Times New Roman"/>
                <w:color w:val="auto"/>
                <w:sz w:val="24"/>
                <w:szCs w:val="24"/>
                <w:highlight w:val="none"/>
                <w:lang w:val="en-US" w:eastAsia="zh-CN"/>
              </w:rPr>
              <w:t>唐山市人民政府</w:t>
            </w:r>
            <w:r>
              <w:rPr>
                <w:rFonts w:hint="eastAsia" w:ascii="Times New Roman" w:hAnsi="Times New Roman" w:eastAsia="宋体" w:cs="Times New Roman"/>
                <w:color w:val="auto"/>
                <w:sz w:val="24"/>
                <w:szCs w:val="24"/>
                <w:highlight w:val="none"/>
              </w:rPr>
              <w:t>关于印发《唐山市大气环境质量达标规划》的通知（</w:t>
            </w:r>
            <w:r>
              <w:rPr>
                <w:rFonts w:hint="eastAsia" w:cs="Times New Roman"/>
                <w:color w:val="auto"/>
                <w:sz w:val="24"/>
                <w:szCs w:val="24"/>
                <w:highlight w:val="none"/>
                <w:lang w:val="en-US" w:eastAsia="zh-CN"/>
              </w:rPr>
              <w:t>唐政字</w:t>
            </w:r>
            <w:r>
              <w:rPr>
                <w:rFonts w:hint="eastAsia" w:ascii="Times New Roman" w:hAnsi="Times New Roman" w:eastAsia="宋体" w:cs="Times New Roman"/>
                <w:color w:val="auto"/>
                <w:sz w:val="24"/>
                <w:szCs w:val="24"/>
                <w:highlight w:val="none"/>
              </w:rPr>
              <w:t>[202</w:t>
            </w:r>
            <w:r>
              <w:rPr>
                <w:rFonts w:hint="eastAsia"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81</w:t>
            </w:r>
            <w:r>
              <w:rPr>
                <w:rFonts w:hint="eastAsia" w:ascii="Times New Roman" w:hAnsi="Times New Roman" w:eastAsia="宋体" w:cs="Times New Roman"/>
                <w:color w:val="auto"/>
                <w:sz w:val="24"/>
                <w:szCs w:val="24"/>
                <w:highlight w:val="none"/>
              </w:rPr>
              <w:t>号）</w:t>
            </w:r>
            <w:r>
              <w:rPr>
                <w:rFonts w:hint="eastAsia" w:ascii="Times New Roman" w:hAnsi="Times New Roman" w:eastAsia="宋体" w:cs="Times New Roman"/>
                <w:color w:val="auto"/>
                <w:sz w:val="24"/>
                <w:szCs w:val="24"/>
                <w:highlight w:val="none"/>
                <w:lang w:eastAsia="zh-CN"/>
              </w:rPr>
              <w:t>可知，</w:t>
            </w:r>
            <w:r>
              <w:rPr>
                <w:rFonts w:hint="eastAsia" w:cs="Times New Roman"/>
                <w:color w:val="auto"/>
                <w:sz w:val="24"/>
                <w:szCs w:val="24"/>
                <w:highlight w:val="none"/>
                <w:lang w:val="en-US" w:eastAsia="zh-CN"/>
              </w:rPr>
              <w:t>采取</w:t>
            </w:r>
            <w:r>
              <w:rPr>
                <w:rFonts w:hint="eastAsia" w:ascii="Times New Roman" w:hAnsi="Times New Roman" w:eastAsia="宋体" w:cs="Times New Roman"/>
                <w:color w:val="auto"/>
                <w:sz w:val="24"/>
                <w:szCs w:val="24"/>
                <w:highlight w:val="none"/>
                <w:lang w:eastAsia="zh-CN"/>
              </w:rPr>
              <w:t>推动产业结构、能源结构、交通运输结构优化调整，深化重点行业深度治理，精细化管控面源污染，深入开展多污染物减排，全面系统实施污染过程应急减排，加强支撑能力建设</w:t>
            </w:r>
            <w:r>
              <w:rPr>
                <w:rFonts w:hint="eastAsia" w:cs="Times New Roman"/>
                <w:color w:val="auto"/>
                <w:sz w:val="24"/>
                <w:szCs w:val="24"/>
                <w:highlight w:val="none"/>
                <w:lang w:val="en-US" w:eastAsia="zh-CN"/>
              </w:rPr>
              <w:t>等措施</w:t>
            </w:r>
            <w:r>
              <w:rPr>
                <w:rFonts w:hint="eastAsia" w:cs="Times New Roman"/>
                <w:color w:val="auto"/>
                <w:sz w:val="24"/>
                <w:szCs w:val="24"/>
                <w:highlight w:val="none"/>
                <w:lang w:eastAsia="zh-CN"/>
              </w:rPr>
              <w:t>，推动大气环境质量持续有效改善，项目所在区域空气质量将会逐步得到改善</w:t>
            </w:r>
            <w:r>
              <w:rPr>
                <w:rFonts w:hint="default" w:ascii="Times New Roman" w:hAnsi="Times New Roman" w:eastAsia="宋体" w:cs="Times New Roman"/>
                <w:color w:val="auto"/>
                <w:sz w:val="24"/>
                <w:szCs w:val="24"/>
                <w:highlight w:val="none"/>
                <w:lang w:val="en-US" w:eastAsia="zh-CN"/>
              </w:rPr>
              <w:t>。</w:t>
            </w:r>
          </w:p>
          <w:p w14:paraId="761763E6">
            <w:pPr>
              <w:bidi w:val="0"/>
              <w:rPr>
                <w:rFonts w:hint="default"/>
                <w:color w:val="auto"/>
                <w:highlight w:val="none"/>
              </w:rPr>
            </w:pPr>
            <w:r>
              <w:rPr>
                <w:rFonts w:hint="eastAsia"/>
                <w:color w:val="auto"/>
                <w:highlight w:val="none"/>
              </w:rPr>
              <w:t>（2）</w:t>
            </w:r>
            <w:r>
              <w:rPr>
                <w:rFonts w:hint="default"/>
                <w:color w:val="auto"/>
                <w:highlight w:val="none"/>
              </w:rPr>
              <w:t>项目所在区域污染物环境质量现状</w:t>
            </w:r>
          </w:p>
          <w:p w14:paraId="55E4CB3E">
            <w:pPr>
              <w:bidi w:val="0"/>
              <w:rPr>
                <w:rFonts w:hint="default"/>
                <w:color w:val="auto"/>
                <w:highlight w:val="none"/>
              </w:rPr>
            </w:pPr>
            <w:r>
              <w:rPr>
                <w:rFonts w:hint="eastAsia"/>
                <w:color w:val="auto"/>
                <w:highlight w:val="none"/>
              </w:rPr>
              <w:t>①</w:t>
            </w:r>
            <w:r>
              <w:rPr>
                <w:rFonts w:hint="default"/>
                <w:color w:val="auto"/>
                <w:highlight w:val="none"/>
              </w:rPr>
              <w:t>基本污染物环境质量现状评价</w:t>
            </w:r>
          </w:p>
          <w:p w14:paraId="152989D5">
            <w:pPr>
              <w:bidi w:val="0"/>
              <w:rPr>
                <w:rFonts w:hint="eastAsia"/>
                <w:color w:val="auto"/>
                <w:szCs w:val="24"/>
                <w:highlight w:val="none"/>
                <w:lang w:val="en-US" w:eastAsia="zh-CN"/>
              </w:rPr>
            </w:pPr>
            <w:r>
              <w:rPr>
                <w:rFonts w:hint="eastAsia" w:ascii="Times New Roman" w:hAnsi="Times New Roman" w:eastAsia="宋体" w:cs="Times New Roman"/>
                <w:color w:val="auto"/>
                <w:sz w:val="24"/>
                <w:szCs w:val="21"/>
                <w:highlight w:val="none"/>
                <w:shd w:val="clear" w:color="auto" w:fill="auto"/>
                <w:lang w:val="en-US" w:eastAsia="zh-CN"/>
              </w:rPr>
              <w:t>根据《建设项目环境影响报告表编制技术指南（污染影响类）（试行）》“常规污染物引用与建设项目距离近的有效数据，包括近3年的规划环境影响评价的监测数据，国家、地方环境空气质量监测网数据或生态环境主管部门公开发布的质量数据等”。因此，本评价在分析区域大气环境质量现状时，对于常规因子</w:t>
            </w:r>
            <w:r>
              <w:rPr>
                <w:rFonts w:hint="eastAsia" w:ascii="Times New Roman" w:hAnsi="Times New Roman" w:cs="Times New Roman"/>
                <w:color w:val="auto"/>
                <w:sz w:val="24"/>
                <w:szCs w:val="21"/>
                <w:highlight w:val="none"/>
                <w:shd w:val="clear" w:color="auto" w:fill="auto"/>
                <w:lang w:val="en-US" w:eastAsia="zh-CN"/>
              </w:rPr>
              <w:t>，引用</w:t>
            </w:r>
            <w:r>
              <w:rPr>
                <w:rFonts w:ascii="Times New Roman" w:hAnsi="Times New Roman"/>
                <w:color w:val="auto"/>
                <w:szCs w:val="24"/>
                <w:highlight w:val="none"/>
                <w:lang w:val="en-US" w:eastAsia="zh-CN"/>
              </w:rPr>
              <w:t>《</w:t>
            </w:r>
            <w:r>
              <w:rPr>
                <w:rFonts w:hint="eastAsia"/>
                <w:color w:val="auto"/>
                <w:szCs w:val="24"/>
                <w:highlight w:val="none"/>
                <w:lang w:val="en-US" w:eastAsia="zh-CN"/>
              </w:rPr>
              <w:t>2025年唐山市生态环境质量报告</w:t>
            </w:r>
            <w:r>
              <w:rPr>
                <w:rFonts w:ascii="Times New Roman" w:hAnsi="Times New Roman"/>
                <w:color w:val="auto"/>
                <w:szCs w:val="24"/>
                <w:highlight w:val="none"/>
                <w:lang w:val="en-US" w:eastAsia="zh-CN"/>
              </w:rPr>
              <w:t>》</w:t>
            </w:r>
            <w:r>
              <w:rPr>
                <w:rFonts w:hint="eastAsia" w:ascii="Times New Roman" w:hAnsi="Times New Roman"/>
                <w:color w:val="auto"/>
                <w:szCs w:val="24"/>
                <w:highlight w:val="none"/>
                <w:lang w:val="en-US" w:eastAsia="zh-CN"/>
              </w:rPr>
              <w:t>中</w:t>
            </w:r>
            <w:r>
              <w:rPr>
                <w:rFonts w:hint="eastAsia"/>
                <w:color w:val="auto"/>
                <w:szCs w:val="24"/>
                <w:highlight w:val="none"/>
                <w:lang w:val="en-US" w:eastAsia="zh-CN"/>
              </w:rPr>
              <w:t>迁安市</w:t>
            </w:r>
            <w:r>
              <w:rPr>
                <w:rFonts w:hint="eastAsia" w:ascii="Times New Roman" w:hAnsi="Times New Roman"/>
                <w:color w:val="auto"/>
                <w:szCs w:val="24"/>
                <w:highlight w:val="none"/>
                <w:lang w:val="en-US" w:eastAsia="zh-CN"/>
              </w:rPr>
              <w:t>环境空气质量数据，环境空气质量数据</w:t>
            </w:r>
            <w:r>
              <w:rPr>
                <w:rFonts w:hint="eastAsia"/>
                <w:color w:val="auto"/>
                <w:szCs w:val="24"/>
                <w:highlight w:val="none"/>
                <w:lang w:val="en-US" w:eastAsia="zh-CN"/>
              </w:rPr>
              <w:t>见下表。</w:t>
            </w:r>
          </w:p>
          <w:p w14:paraId="5E3B5322">
            <w:pPr>
              <w:keepNext w:val="0"/>
              <w:keepLines w:val="0"/>
              <w:pageBreakBefore w:val="0"/>
              <w:widowControl w:val="0"/>
              <w:numPr>
                <w:ilvl w:val="0"/>
                <w:numId w:val="21"/>
              </w:numPr>
              <w:kinsoku/>
              <w:wordWrap/>
              <w:overflowPunct/>
              <w:topLinePunct w:val="0"/>
              <w:autoSpaceDE w:val="0"/>
              <w:autoSpaceDN w:val="0"/>
              <w:bidi w:val="0"/>
              <w:adjustRightInd w:val="0"/>
              <w:snapToGrid/>
              <w:spacing w:line="480" w:lineRule="exact"/>
              <w:ind w:left="0" w:leftChars="0"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20</w:t>
            </w:r>
            <w:r>
              <w:rPr>
                <w:rFonts w:hint="eastAsia" w:cs="Times New Roman"/>
                <w:b/>
                <w:bCs/>
                <w:color w:val="auto"/>
                <w:sz w:val="21"/>
                <w:szCs w:val="21"/>
                <w:highlight w:val="none"/>
                <w:lang w:val="en-US" w:eastAsia="zh-CN"/>
              </w:rPr>
              <w:t>25</w:t>
            </w:r>
            <w:r>
              <w:rPr>
                <w:rFonts w:hint="default" w:ascii="Times New Roman" w:hAnsi="Times New Roman" w:eastAsia="宋体" w:cs="Times New Roman"/>
                <w:b/>
                <w:bCs/>
                <w:color w:val="auto"/>
                <w:sz w:val="21"/>
                <w:szCs w:val="21"/>
                <w:highlight w:val="none"/>
              </w:rPr>
              <w:t>年</w:t>
            </w:r>
            <w:r>
              <w:rPr>
                <w:rFonts w:hint="eastAsia" w:cs="Times New Roman"/>
                <w:b/>
                <w:bCs/>
                <w:color w:val="auto"/>
                <w:sz w:val="21"/>
                <w:szCs w:val="21"/>
                <w:highlight w:val="none"/>
                <w:lang w:val="en-US" w:eastAsia="zh-CN"/>
              </w:rPr>
              <w:t>迁安市</w:t>
            </w:r>
            <w:r>
              <w:rPr>
                <w:rFonts w:hint="default" w:ascii="Times New Roman" w:hAnsi="Times New Roman" w:eastAsia="宋体" w:cs="Times New Roman"/>
                <w:b/>
                <w:bCs/>
                <w:color w:val="auto"/>
                <w:sz w:val="21"/>
                <w:szCs w:val="21"/>
                <w:highlight w:val="none"/>
              </w:rPr>
              <w:t>环境空气质量浓度值情况</w:t>
            </w:r>
            <w:r>
              <w:rPr>
                <w:rFonts w:hint="eastAsia" w:ascii="Times New Roman" w:hAnsi="Times New Roman" w:eastAsia="宋体" w:cs="Times New Roman"/>
                <w:b/>
                <w:bCs/>
                <w:color w:val="auto"/>
                <w:sz w:val="21"/>
                <w:szCs w:val="21"/>
                <w:highlight w:val="none"/>
                <w:lang w:val="en-US" w:eastAsia="zh-CN"/>
              </w:rPr>
              <w:t>一览</w:t>
            </w:r>
            <w:r>
              <w:rPr>
                <w:rFonts w:hint="default" w:ascii="Times New Roman" w:hAnsi="Times New Roman" w:eastAsia="宋体" w:cs="Times New Roman"/>
                <w:b/>
                <w:bCs/>
                <w:color w:val="auto"/>
                <w:sz w:val="21"/>
                <w:szCs w:val="21"/>
                <w:highlight w:val="none"/>
              </w:rPr>
              <w:t>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05"/>
              <w:gridCol w:w="1571"/>
              <w:gridCol w:w="844"/>
              <w:gridCol w:w="996"/>
              <w:gridCol w:w="756"/>
              <w:gridCol w:w="752"/>
              <w:gridCol w:w="913"/>
              <w:gridCol w:w="816"/>
              <w:gridCol w:w="654"/>
            </w:tblGrid>
            <w:tr w14:paraId="344509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805" w:type="dxa"/>
                  <w:vMerge w:val="restart"/>
                  <w:tcBorders>
                    <w:tl2br w:val="nil"/>
                    <w:tr2bl w:val="nil"/>
                  </w:tcBorders>
                  <w:noWrap w:val="0"/>
                  <w:vAlign w:val="center"/>
                </w:tcPr>
                <w:p w14:paraId="4BF28F3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污染物</w:t>
                  </w:r>
                </w:p>
              </w:tc>
              <w:tc>
                <w:tcPr>
                  <w:tcW w:w="1571" w:type="dxa"/>
                  <w:vMerge w:val="restart"/>
                  <w:tcBorders>
                    <w:tl2br w:val="nil"/>
                    <w:tr2bl w:val="nil"/>
                  </w:tcBorders>
                  <w:noWrap w:val="0"/>
                  <w:vAlign w:val="center"/>
                </w:tcPr>
                <w:p w14:paraId="4A49DE2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年评价指标</w:t>
                  </w:r>
                </w:p>
              </w:tc>
              <w:tc>
                <w:tcPr>
                  <w:tcW w:w="844" w:type="dxa"/>
                  <w:vMerge w:val="restart"/>
                  <w:tcBorders>
                    <w:tl2br w:val="nil"/>
                    <w:tr2bl w:val="nil"/>
                  </w:tcBorders>
                  <w:noWrap w:val="0"/>
                  <w:vAlign w:val="center"/>
                </w:tcPr>
                <w:p w14:paraId="32DE380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现状浓度</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2504" w:type="dxa"/>
                  <w:gridSpan w:val="3"/>
                  <w:tcBorders>
                    <w:tl2br w:val="nil"/>
                    <w:tr2bl w:val="nil"/>
                  </w:tcBorders>
                  <w:noWrap w:val="0"/>
                  <w:vAlign w:val="center"/>
                </w:tcPr>
                <w:p w14:paraId="2E1FFF0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rPr>
                  </w:pPr>
                  <w:r>
                    <w:rPr>
                      <w:rFonts w:hint="eastAsia"/>
                      <w:color w:val="auto"/>
                      <w:highlight w:val="none"/>
                      <w:lang w:eastAsia="zh-CN"/>
                    </w:rPr>
                    <w:t>GB3095-2012</w:t>
                  </w:r>
                  <w:r>
                    <w:rPr>
                      <w:rFonts w:hint="eastAsia"/>
                      <w:color w:val="auto"/>
                      <w:highlight w:val="none"/>
                      <w:lang w:val="en-US" w:eastAsia="zh-CN"/>
                    </w:rPr>
                    <w:t>及其修改单二级标准限值</w:t>
                  </w:r>
                </w:p>
              </w:tc>
              <w:tc>
                <w:tcPr>
                  <w:tcW w:w="2383" w:type="dxa"/>
                  <w:gridSpan w:val="3"/>
                  <w:tcBorders>
                    <w:tl2br w:val="nil"/>
                    <w:tr2bl w:val="nil"/>
                  </w:tcBorders>
                  <w:noWrap w:val="0"/>
                  <w:vAlign w:val="center"/>
                </w:tcPr>
                <w:p w14:paraId="6DE2B966">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eastAsia"/>
                      <w:color w:val="auto"/>
                      <w:highlight w:val="none"/>
                      <w:lang w:eastAsia="zh-CN"/>
                    </w:rPr>
                    <w:t>GB3095-20</w:t>
                  </w:r>
                  <w:r>
                    <w:rPr>
                      <w:rFonts w:hint="eastAsia"/>
                      <w:color w:val="auto"/>
                      <w:highlight w:val="none"/>
                      <w:lang w:val="en-US" w:eastAsia="zh-CN"/>
                    </w:rPr>
                    <w:t>26过渡阶段二级标准限值</w:t>
                  </w:r>
                </w:p>
              </w:tc>
            </w:tr>
            <w:tr w14:paraId="733784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07" w:hRule="atLeast"/>
                <w:jc w:val="center"/>
              </w:trPr>
              <w:tc>
                <w:tcPr>
                  <w:tcW w:w="805" w:type="dxa"/>
                  <w:vMerge w:val="continue"/>
                  <w:tcBorders>
                    <w:tl2br w:val="nil"/>
                    <w:tr2bl w:val="nil"/>
                  </w:tcBorders>
                  <w:noWrap w:val="0"/>
                  <w:vAlign w:val="center"/>
                </w:tcPr>
                <w:p w14:paraId="7B427BA3">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1571" w:type="dxa"/>
                  <w:vMerge w:val="continue"/>
                  <w:tcBorders>
                    <w:tl2br w:val="nil"/>
                    <w:tr2bl w:val="nil"/>
                  </w:tcBorders>
                  <w:noWrap w:val="0"/>
                  <w:vAlign w:val="center"/>
                </w:tcPr>
                <w:p w14:paraId="61F64F05">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844" w:type="dxa"/>
                  <w:vMerge w:val="continue"/>
                  <w:tcBorders>
                    <w:tl2br w:val="nil"/>
                    <w:tr2bl w:val="nil"/>
                  </w:tcBorders>
                  <w:noWrap w:val="0"/>
                  <w:vAlign w:val="center"/>
                </w:tcPr>
                <w:p w14:paraId="037D441D">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highlight w:val="none"/>
                    </w:rPr>
                  </w:pPr>
                </w:p>
              </w:tc>
              <w:tc>
                <w:tcPr>
                  <w:tcW w:w="996" w:type="dxa"/>
                  <w:tcBorders>
                    <w:tl2br w:val="nil"/>
                    <w:tr2bl w:val="nil"/>
                  </w:tcBorders>
                  <w:noWrap w:val="0"/>
                  <w:vAlign w:val="center"/>
                </w:tcPr>
                <w:p w14:paraId="776A94B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标准值</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756" w:type="dxa"/>
                  <w:tcBorders>
                    <w:tl2br w:val="nil"/>
                    <w:tr2bl w:val="nil"/>
                  </w:tcBorders>
                  <w:noWrap w:val="0"/>
                  <w:vAlign w:val="center"/>
                </w:tcPr>
                <w:p w14:paraId="4F83DAE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占标率</w:t>
                  </w:r>
                  <w:r>
                    <w:rPr>
                      <w:rFonts w:hint="eastAsia"/>
                      <w:color w:val="auto"/>
                      <w:sz w:val="21"/>
                      <w:szCs w:val="21"/>
                      <w:highlight w:val="none"/>
                      <w:lang w:eastAsia="zh-CN"/>
                    </w:rPr>
                    <w:t>（</w:t>
                  </w:r>
                  <w:r>
                    <w:rPr>
                      <w:rFonts w:hint="default"/>
                      <w:color w:val="auto"/>
                      <w:sz w:val="21"/>
                      <w:szCs w:val="21"/>
                      <w:highlight w:val="none"/>
                    </w:rPr>
                    <w:t>%</w:t>
                  </w:r>
                  <w:r>
                    <w:rPr>
                      <w:rFonts w:hint="eastAsia"/>
                      <w:color w:val="auto"/>
                      <w:sz w:val="21"/>
                      <w:szCs w:val="21"/>
                      <w:highlight w:val="none"/>
                      <w:lang w:eastAsia="zh-CN"/>
                    </w:rPr>
                    <w:t>）</w:t>
                  </w:r>
                </w:p>
              </w:tc>
              <w:tc>
                <w:tcPr>
                  <w:tcW w:w="752" w:type="dxa"/>
                  <w:tcBorders>
                    <w:tl2br w:val="nil"/>
                    <w:tr2bl w:val="nil"/>
                  </w:tcBorders>
                  <w:noWrap w:val="0"/>
                  <w:vAlign w:val="center"/>
                </w:tcPr>
                <w:p w14:paraId="7F1EFBB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达标情况</w:t>
                  </w:r>
                </w:p>
              </w:tc>
              <w:tc>
                <w:tcPr>
                  <w:tcW w:w="913" w:type="dxa"/>
                  <w:tcBorders>
                    <w:tl2br w:val="nil"/>
                    <w:tr2bl w:val="nil"/>
                  </w:tcBorders>
                  <w:shd w:val="clear" w:color="auto" w:fill="auto"/>
                  <w:noWrap w:val="0"/>
                  <w:vAlign w:val="center"/>
                </w:tcPr>
                <w:p w14:paraId="24A2A29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标准值</w:t>
                  </w:r>
                  <w:r>
                    <w:rPr>
                      <w:rFonts w:hint="eastAsia"/>
                      <w:color w:val="auto"/>
                      <w:sz w:val="21"/>
                      <w:szCs w:val="21"/>
                      <w:highlight w:val="none"/>
                      <w:lang w:eastAsia="zh-CN"/>
                    </w:rPr>
                    <w:t>（</w:t>
                  </w:r>
                  <w:r>
                    <w:rPr>
                      <w:rFonts w:hint="default"/>
                      <w:color w:val="auto"/>
                      <w:sz w:val="21"/>
                      <w:szCs w:val="21"/>
                      <w:highlight w:val="none"/>
                    </w:rPr>
                    <w:t>μg/m</w:t>
                  </w:r>
                  <w:r>
                    <w:rPr>
                      <w:rFonts w:hint="default"/>
                      <w:color w:val="auto"/>
                      <w:sz w:val="21"/>
                      <w:szCs w:val="21"/>
                      <w:highlight w:val="none"/>
                      <w:vertAlign w:val="superscript"/>
                    </w:rPr>
                    <w:t>3</w:t>
                  </w:r>
                  <w:r>
                    <w:rPr>
                      <w:rFonts w:hint="eastAsia"/>
                      <w:color w:val="auto"/>
                      <w:sz w:val="21"/>
                      <w:szCs w:val="21"/>
                      <w:highlight w:val="none"/>
                      <w:lang w:eastAsia="zh-CN"/>
                    </w:rPr>
                    <w:t>）</w:t>
                  </w:r>
                </w:p>
              </w:tc>
              <w:tc>
                <w:tcPr>
                  <w:tcW w:w="816" w:type="dxa"/>
                  <w:tcBorders>
                    <w:tl2br w:val="nil"/>
                    <w:tr2bl w:val="nil"/>
                  </w:tcBorders>
                  <w:noWrap w:val="0"/>
                  <w:vAlign w:val="center"/>
                </w:tcPr>
                <w:p w14:paraId="017FA6F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占标率</w:t>
                  </w:r>
                  <w:r>
                    <w:rPr>
                      <w:rFonts w:hint="eastAsia"/>
                      <w:color w:val="auto"/>
                      <w:sz w:val="21"/>
                      <w:szCs w:val="21"/>
                      <w:highlight w:val="none"/>
                      <w:lang w:eastAsia="zh-CN"/>
                    </w:rPr>
                    <w:t>（</w:t>
                  </w:r>
                  <w:r>
                    <w:rPr>
                      <w:rFonts w:hint="default"/>
                      <w:color w:val="auto"/>
                      <w:sz w:val="21"/>
                      <w:szCs w:val="21"/>
                      <w:highlight w:val="none"/>
                    </w:rPr>
                    <w:t>%</w:t>
                  </w:r>
                  <w:r>
                    <w:rPr>
                      <w:rFonts w:hint="eastAsia"/>
                      <w:color w:val="auto"/>
                      <w:sz w:val="21"/>
                      <w:szCs w:val="21"/>
                      <w:highlight w:val="none"/>
                      <w:lang w:eastAsia="zh-CN"/>
                    </w:rPr>
                    <w:t>）</w:t>
                  </w:r>
                </w:p>
              </w:tc>
              <w:tc>
                <w:tcPr>
                  <w:tcW w:w="654" w:type="dxa"/>
                  <w:tcBorders>
                    <w:tl2br w:val="nil"/>
                    <w:tr2bl w:val="nil"/>
                  </w:tcBorders>
                  <w:noWrap w:val="0"/>
                  <w:vAlign w:val="center"/>
                </w:tcPr>
                <w:p w14:paraId="18AD536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达标情况</w:t>
                  </w:r>
                </w:p>
              </w:tc>
            </w:tr>
            <w:tr w14:paraId="12BA6E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805" w:type="dxa"/>
                  <w:tcBorders>
                    <w:tl2br w:val="nil"/>
                    <w:tr2bl w:val="nil"/>
                  </w:tcBorders>
                  <w:noWrap w:val="0"/>
                  <w:vAlign w:val="center"/>
                </w:tcPr>
                <w:p w14:paraId="1A631791">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SO</w:t>
                  </w:r>
                  <w:r>
                    <w:rPr>
                      <w:rFonts w:hint="default"/>
                      <w:color w:val="auto"/>
                      <w:sz w:val="21"/>
                      <w:szCs w:val="21"/>
                      <w:highlight w:val="none"/>
                      <w:vertAlign w:val="subscript"/>
                    </w:rPr>
                    <w:t>2</w:t>
                  </w:r>
                </w:p>
              </w:tc>
              <w:tc>
                <w:tcPr>
                  <w:tcW w:w="1571" w:type="dxa"/>
                  <w:tcBorders>
                    <w:tl2br w:val="nil"/>
                    <w:tr2bl w:val="nil"/>
                  </w:tcBorders>
                  <w:noWrap w:val="0"/>
                  <w:vAlign w:val="center"/>
                </w:tcPr>
                <w:p w14:paraId="30B5C11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年平均质量浓度</w:t>
                  </w:r>
                </w:p>
              </w:tc>
              <w:tc>
                <w:tcPr>
                  <w:tcW w:w="844" w:type="dxa"/>
                  <w:tcBorders>
                    <w:tl2br w:val="nil"/>
                    <w:tr2bl w:val="nil"/>
                  </w:tcBorders>
                  <w:noWrap w:val="0"/>
                  <w:vAlign w:val="center"/>
                </w:tcPr>
                <w:p w14:paraId="1D52C9E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c>
                <w:tcPr>
                  <w:tcW w:w="996" w:type="dxa"/>
                  <w:tcBorders>
                    <w:tl2br w:val="nil"/>
                    <w:tr2bl w:val="nil"/>
                  </w:tcBorders>
                  <w:noWrap w:val="0"/>
                  <w:vAlign w:val="center"/>
                </w:tcPr>
                <w:p w14:paraId="74F8FD4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60</w:t>
                  </w:r>
                </w:p>
              </w:tc>
              <w:tc>
                <w:tcPr>
                  <w:tcW w:w="756" w:type="dxa"/>
                  <w:tcBorders>
                    <w:tl2br w:val="nil"/>
                    <w:tr2bl w:val="nil"/>
                  </w:tcBorders>
                  <w:noWrap w:val="0"/>
                  <w:vAlign w:val="center"/>
                </w:tcPr>
                <w:p w14:paraId="73765B2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16.7 </w:t>
                  </w:r>
                </w:p>
              </w:tc>
              <w:tc>
                <w:tcPr>
                  <w:tcW w:w="752" w:type="dxa"/>
                  <w:tcBorders>
                    <w:tl2br w:val="nil"/>
                    <w:tr2bl w:val="nil"/>
                  </w:tcBorders>
                  <w:shd w:val="clear" w:color="auto" w:fill="auto"/>
                  <w:noWrap w:val="0"/>
                  <w:vAlign w:val="center"/>
                </w:tcPr>
                <w:p w14:paraId="282D79D0">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23959459">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60</w:t>
                  </w:r>
                </w:p>
              </w:tc>
              <w:tc>
                <w:tcPr>
                  <w:tcW w:w="816" w:type="dxa"/>
                  <w:tcBorders>
                    <w:tl2br w:val="nil"/>
                    <w:tr2bl w:val="nil"/>
                  </w:tcBorders>
                  <w:noWrap w:val="0"/>
                  <w:vAlign w:val="center"/>
                </w:tcPr>
                <w:p w14:paraId="4E33452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16.7 </w:t>
                  </w:r>
                </w:p>
              </w:tc>
              <w:tc>
                <w:tcPr>
                  <w:tcW w:w="654" w:type="dxa"/>
                  <w:tcBorders>
                    <w:tl2br w:val="nil"/>
                    <w:tr2bl w:val="nil"/>
                  </w:tcBorders>
                  <w:noWrap w:val="0"/>
                  <w:vAlign w:val="center"/>
                </w:tcPr>
                <w:p w14:paraId="5FBADE4E">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w:t>
                  </w:r>
                </w:p>
              </w:tc>
            </w:tr>
            <w:tr w14:paraId="0320C8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805" w:type="dxa"/>
                  <w:tcBorders>
                    <w:tl2br w:val="nil"/>
                    <w:tr2bl w:val="nil"/>
                  </w:tcBorders>
                  <w:noWrap w:val="0"/>
                  <w:vAlign w:val="center"/>
                </w:tcPr>
                <w:p w14:paraId="1C7E8FB8">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NO</w:t>
                  </w:r>
                  <w:r>
                    <w:rPr>
                      <w:rFonts w:hint="default"/>
                      <w:color w:val="auto"/>
                      <w:sz w:val="21"/>
                      <w:szCs w:val="21"/>
                      <w:highlight w:val="none"/>
                      <w:vertAlign w:val="subscript"/>
                    </w:rPr>
                    <w:t>2</w:t>
                  </w:r>
                </w:p>
              </w:tc>
              <w:tc>
                <w:tcPr>
                  <w:tcW w:w="1571" w:type="dxa"/>
                  <w:tcBorders>
                    <w:tl2br w:val="nil"/>
                    <w:tr2bl w:val="nil"/>
                  </w:tcBorders>
                  <w:noWrap w:val="0"/>
                  <w:vAlign w:val="center"/>
                </w:tcPr>
                <w:p w14:paraId="1D53AF0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年平均质量浓度</w:t>
                  </w:r>
                </w:p>
              </w:tc>
              <w:tc>
                <w:tcPr>
                  <w:tcW w:w="844" w:type="dxa"/>
                  <w:tcBorders>
                    <w:tl2br w:val="nil"/>
                    <w:tr2bl w:val="nil"/>
                  </w:tcBorders>
                  <w:noWrap w:val="0"/>
                  <w:vAlign w:val="center"/>
                </w:tcPr>
                <w:p w14:paraId="70BB615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24</w:t>
                  </w:r>
                </w:p>
              </w:tc>
              <w:tc>
                <w:tcPr>
                  <w:tcW w:w="996" w:type="dxa"/>
                  <w:tcBorders>
                    <w:tl2br w:val="nil"/>
                    <w:tr2bl w:val="nil"/>
                  </w:tcBorders>
                  <w:noWrap w:val="0"/>
                  <w:vAlign w:val="center"/>
                </w:tcPr>
                <w:p w14:paraId="655B431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40</w:t>
                  </w:r>
                </w:p>
              </w:tc>
              <w:tc>
                <w:tcPr>
                  <w:tcW w:w="756" w:type="dxa"/>
                  <w:tcBorders>
                    <w:tl2br w:val="nil"/>
                    <w:tr2bl w:val="nil"/>
                  </w:tcBorders>
                  <w:noWrap w:val="0"/>
                  <w:vAlign w:val="center"/>
                </w:tcPr>
                <w:p w14:paraId="54A4954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60.0 </w:t>
                  </w:r>
                </w:p>
              </w:tc>
              <w:tc>
                <w:tcPr>
                  <w:tcW w:w="752" w:type="dxa"/>
                  <w:tcBorders>
                    <w:tl2br w:val="nil"/>
                    <w:tr2bl w:val="nil"/>
                  </w:tcBorders>
                  <w:shd w:val="clear" w:color="auto" w:fill="auto"/>
                  <w:noWrap w:val="0"/>
                  <w:vAlign w:val="center"/>
                </w:tcPr>
                <w:p w14:paraId="331D277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1ED4597E">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40</w:t>
                  </w:r>
                </w:p>
              </w:tc>
              <w:tc>
                <w:tcPr>
                  <w:tcW w:w="816" w:type="dxa"/>
                  <w:tcBorders>
                    <w:tl2br w:val="nil"/>
                    <w:tr2bl w:val="nil"/>
                  </w:tcBorders>
                  <w:noWrap w:val="0"/>
                  <w:vAlign w:val="center"/>
                </w:tcPr>
                <w:p w14:paraId="7BCAB5F8">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60.0 </w:t>
                  </w:r>
                </w:p>
              </w:tc>
              <w:tc>
                <w:tcPr>
                  <w:tcW w:w="654" w:type="dxa"/>
                  <w:tcBorders>
                    <w:tl2br w:val="nil"/>
                    <w:tr2bl w:val="nil"/>
                  </w:tcBorders>
                  <w:noWrap w:val="0"/>
                  <w:vAlign w:val="center"/>
                </w:tcPr>
                <w:p w14:paraId="6973AA1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达标</w:t>
                  </w:r>
                </w:p>
              </w:tc>
            </w:tr>
            <w:tr w14:paraId="4D240A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805" w:type="dxa"/>
                  <w:tcBorders>
                    <w:tl2br w:val="nil"/>
                    <w:tr2bl w:val="nil"/>
                  </w:tcBorders>
                  <w:noWrap w:val="0"/>
                  <w:vAlign w:val="center"/>
                </w:tcPr>
                <w:p w14:paraId="7A03D58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PM</w:t>
                  </w:r>
                  <w:r>
                    <w:rPr>
                      <w:rFonts w:hint="default"/>
                      <w:color w:val="auto"/>
                      <w:sz w:val="21"/>
                      <w:szCs w:val="21"/>
                      <w:highlight w:val="none"/>
                      <w:vertAlign w:val="subscript"/>
                    </w:rPr>
                    <w:t>10</w:t>
                  </w:r>
                </w:p>
              </w:tc>
              <w:tc>
                <w:tcPr>
                  <w:tcW w:w="1571" w:type="dxa"/>
                  <w:tcBorders>
                    <w:tl2br w:val="nil"/>
                    <w:tr2bl w:val="nil"/>
                  </w:tcBorders>
                  <w:noWrap w:val="0"/>
                  <w:vAlign w:val="center"/>
                </w:tcPr>
                <w:p w14:paraId="6EF6125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年平均质量浓度</w:t>
                  </w:r>
                </w:p>
              </w:tc>
              <w:tc>
                <w:tcPr>
                  <w:tcW w:w="844" w:type="dxa"/>
                  <w:tcBorders>
                    <w:tl2br w:val="nil"/>
                    <w:tr2bl w:val="nil"/>
                  </w:tcBorders>
                  <w:noWrap w:val="0"/>
                  <w:vAlign w:val="center"/>
                </w:tcPr>
                <w:p w14:paraId="0601764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70</w:t>
                  </w:r>
                </w:p>
              </w:tc>
              <w:tc>
                <w:tcPr>
                  <w:tcW w:w="996" w:type="dxa"/>
                  <w:tcBorders>
                    <w:tl2br w:val="nil"/>
                    <w:tr2bl w:val="nil"/>
                  </w:tcBorders>
                  <w:noWrap w:val="0"/>
                  <w:vAlign w:val="center"/>
                </w:tcPr>
                <w:p w14:paraId="15B8DAA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70</w:t>
                  </w:r>
                </w:p>
              </w:tc>
              <w:tc>
                <w:tcPr>
                  <w:tcW w:w="756" w:type="dxa"/>
                  <w:tcBorders>
                    <w:tl2br w:val="nil"/>
                    <w:tr2bl w:val="nil"/>
                  </w:tcBorders>
                  <w:noWrap w:val="0"/>
                  <w:vAlign w:val="center"/>
                </w:tcPr>
                <w:p w14:paraId="04DB22B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100.0 </w:t>
                  </w:r>
                </w:p>
              </w:tc>
              <w:tc>
                <w:tcPr>
                  <w:tcW w:w="752" w:type="dxa"/>
                  <w:tcBorders>
                    <w:tl2br w:val="nil"/>
                    <w:tr2bl w:val="nil"/>
                  </w:tcBorders>
                  <w:shd w:val="clear" w:color="auto" w:fill="auto"/>
                  <w:noWrap w:val="0"/>
                  <w:vAlign w:val="center"/>
                </w:tcPr>
                <w:p w14:paraId="4C4CB93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73FBF0C7">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60</w:t>
                  </w:r>
                </w:p>
              </w:tc>
              <w:tc>
                <w:tcPr>
                  <w:tcW w:w="816" w:type="dxa"/>
                  <w:tcBorders>
                    <w:tl2br w:val="nil"/>
                    <w:tr2bl w:val="nil"/>
                  </w:tcBorders>
                  <w:noWrap w:val="0"/>
                  <w:vAlign w:val="center"/>
                </w:tcPr>
                <w:p w14:paraId="3A51366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116.7 </w:t>
                  </w:r>
                </w:p>
              </w:tc>
              <w:tc>
                <w:tcPr>
                  <w:tcW w:w="654" w:type="dxa"/>
                  <w:tcBorders>
                    <w:tl2br w:val="nil"/>
                    <w:tr2bl w:val="nil"/>
                  </w:tcBorders>
                  <w:noWrap w:val="0"/>
                  <w:vAlign w:val="center"/>
                </w:tcPr>
                <w:p w14:paraId="6F94F241">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eastAsia="宋体"/>
                      <w:color w:val="auto"/>
                      <w:sz w:val="21"/>
                      <w:szCs w:val="21"/>
                      <w:highlight w:val="none"/>
                      <w:lang w:eastAsia="zh-CN"/>
                    </w:rPr>
                  </w:pPr>
                  <w:r>
                    <w:rPr>
                      <w:rFonts w:hint="eastAsia"/>
                      <w:color w:val="auto"/>
                      <w:sz w:val="21"/>
                      <w:szCs w:val="21"/>
                      <w:highlight w:val="none"/>
                      <w:lang w:val="en-US" w:eastAsia="zh-CN"/>
                    </w:rPr>
                    <w:t>超标</w:t>
                  </w:r>
                </w:p>
              </w:tc>
            </w:tr>
            <w:tr w14:paraId="529513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805" w:type="dxa"/>
                  <w:tcBorders>
                    <w:tl2br w:val="nil"/>
                    <w:tr2bl w:val="nil"/>
                  </w:tcBorders>
                  <w:noWrap w:val="0"/>
                  <w:vAlign w:val="center"/>
                </w:tcPr>
                <w:p w14:paraId="14FC66F6">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PM</w:t>
                  </w:r>
                  <w:r>
                    <w:rPr>
                      <w:rFonts w:hint="default"/>
                      <w:color w:val="auto"/>
                      <w:sz w:val="21"/>
                      <w:szCs w:val="21"/>
                      <w:highlight w:val="none"/>
                      <w:vertAlign w:val="subscript"/>
                    </w:rPr>
                    <w:t>2.5</w:t>
                  </w:r>
                </w:p>
              </w:tc>
              <w:tc>
                <w:tcPr>
                  <w:tcW w:w="1571" w:type="dxa"/>
                  <w:tcBorders>
                    <w:tl2br w:val="nil"/>
                    <w:tr2bl w:val="nil"/>
                  </w:tcBorders>
                  <w:noWrap w:val="0"/>
                  <w:vAlign w:val="center"/>
                </w:tcPr>
                <w:p w14:paraId="29D383F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年平均质量浓度</w:t>
                  </w:r>
                </w:p>
              </w:tc>
              <w:tc>
                <w:tcPr>
                  <w:tcW w:w="844" w:type="dxa"/>
                  <w:tcBorders>
                    <w:tl2br w:val="nil"/>
                    <w:tr2bl w:val="nil"/>
                  </w:tcBorders>
                  <w:noWrap w:val="0"/>
                  <w:vAlign w:val="center"/>
                </w:tcPr>
                <w:p w14:paraId="3199F83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32</w:t>
                  </w:r>
                </w:p>
              </w:tc>
              <w:tc>
                <w:tcPr>
                  <w:tcW w:w="996" w:type="dxa"/>
                  <w:tcBorders>
                    <w:tl2br w:val="nil"/>
                    <w:tr2bl w:val="nil"/>
                  </w:tcBorders>
                  <w:noWrap w:val="0"/>
                  <w:vAlign w:val="center"/>
                </w:tcPr>
                <w:p w14:paraId="6EDBE06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35</w:t>
                  </w:r>
                </w:p>
              </w:tc>
              <w:tc>
                <w:tcPr>
                  <w:tcW w:w="756" w:type="dxa"/>
                  <w:tcBorders>
                    <w:tl2br w:val="nil"/>
                    <w:tr2bl w:val="nil"/>
                  </w:tcBorders>
                  <w:noWrap w:val="0"/>
                  <w:vAlign w:val="center"/>
                </w:tcPr>
                <w:p w14:paraId="4D9DC4B7">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91.4 </w:t>
                  </w:r>
                </w:p>
              </w:tc>
              <w:tc>
                <w:tcPr>
                  <w:tcW w:w="752" w:type="dxa"/>
                  <w:tcBorders>
                    <w:tl2br w:val="nil"/>
                    <w:tr2bl w:val="nil"/>
                  </w:tcBorders>
                  <w:shd w:val="clear" w:color="auto" w:fill="auto"/>
                  <w:noWrap w:val="0"/>
                  <w:vAlign w:val="center"/>
                </w:tcPr>
                <w:p w14:paraId="06766E4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777BA152">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30</w:t>
                  </w:r>
                </w:p>
              </w:tc>
              <w:tc>
                <w:tcPr>
                  <w:tcW w:w="816" w:type="dxa"/>
                  <w:tcBorders>
                    <w:tl2br w:val="nil"/>
                    <w:tr2bl w:val="nil"/>
                  </w:tcBorders>
                  <w:noWrap w:val="0"/>
                  <w:vAlign w:val="center"/>
                </w:tcPr>
                <w:p w14:paraId="2D970CD0">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106.7 </w:t>
                  </w:r>
                </w:p>
              </w:tc>
              <w:tc>
                <w:tcPr>
                  <w:tcW w:w="654" w:type="dxa"/>
                  <w:tcBorders>
                    <w:tl2br w:val="nil"/>
                    <w:tr2bl w:val="nil"/>
                  </w:tcBorders>
                  <w:noWrap w:val="0"/>
                  <w:vAlign w:val="center"/>
                </w:tcPr>
                <w:p w14:paraId="473612F7">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eastAsia="宋体"/>
                      <w:color w:val="auto"/>
                      <w:sz w:val="21"/>
                      <w:szCs w:val="21"/>
                      <w:highlight w:val="none"/>
                      <w:lang w:eastAsia="zh-CN"/>
                    </w:rPr>
                  </w:pPr>
                  <w:r>
                    <w:rPr>
                      <w:rFonts w:hint="eastAsia"/>
                      <w:color w:val="auto"/>
                      <w:sz w:val="21"/>
                      <w:szCs w:val="21"/>
                      <w:highlight w:val="none"/>
                      <w:lang w:val="en-US" w:eastAsia="zh-CN"/>
                    </w:rPr>
                    <w:t>超标</w:t>
                  </w:r>
                </w:p>
              </w:tc>
            </w:tr>
            <w:tr w14:paraId="08F9C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05" w:type="dxa"/>
                  <w:tcBorders>
                    <w:tl2br w:val="nil"/>
                    <w:tr2bl w:val="nil"/>
                  </w:tcBorders>
                  <w:noWrap w:val="0"/>
                  <w:vAlign w:val="center"/>
                </w:tcPr>
                <w:p w14:paraId="1021E576">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CO</w:t>
                  </w:r>
                </w:p>
              </w:tc>
              <w:tc>
                <w:tcPr>
                  <w:tcW w:w="1571" w:type="dxa"/>
                  <w:tcBorders>
                    <w:tl2br w:val="nil"/>
                    <w:tr2bl w:val="nil"/>
                  </w:tcBorders>
                  <w:noWrap w:val="0"/>
                  <w:vAlign w:val="center"/>
                </w:tcPr>
                <w:p w14:paraId="330662B0">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日均值第95百分位浓度</w:t>
                  </w:r>
                </w:p>
              </w:tc>
              <w:tc>
                <w:tcPr>
                  <w:tcW w:w="844" w:type="dxa"/>
                  <w:tcBorders>
                    <w:tl2br w:val="nil"/>
                    <w:tr2bl w:val="nil"/>
                  </w:tcBorders>
                  <w:noWrap w:val="0"/>
                  <w:vAlign w:val="center"/>
                </w:tcPr>
                <w:p w14:paraId="45F52F6E">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1800</w:t>
                  </w:r>
                </w:p>
              </w:tc>
              <w:tc>
                <w:tcPr>
                  <w:tcW w:w="996" w:type="dxa"/>
                  <w:tcBorders>
                    <w:tl2br w:val="nil"/>
                    <w:tr2bl w:val="nil"/>
                  </w:tcBorders>
                  <w:noWrap w:val="0"/>
                  <w:vAlign w:val="center"/>
                </w:tcPr>
                <w:p w14:paraId="6DA3CBD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4000</w:t>
                  </w:r>
                </w:p>
              </w:tc>
              <w:tc>
                <w:tcPr>
                  <w:tcW w:w="756" w:type="dxa"/>
                  <w:tcBorders>
                    <w:tl2br w:val="nil"/>
                    <w:tr2bl w:val="nil"/>
                  </w:tcBorders>
                  <w:noWrap w:val="0"/>
                  <w:vAlign w:val="center"/>
                </w:tcPr>
                <w:p w14:paraId="523C3CC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45.0 </w:t>
                  </w:r>
                </w:p>
              </w:tc>
              <w:tc>
                <w:tcPr>
                  <w:tcW w:w="752" w:type="dxa"/>
                  <w:tcBorders>
                    <w:tl2br w:val="nil"/>
                    <w:tr2bl w:val="nil"/>
                  </w:tcBorders>
                  <w:shd w:val="clear" w:color="auto" w:fill="auto"/>
                  <w:noWrap w:val="0"/>
                  <w:vAlign w:val="center"/>
                </w:tcPr>
                <w:p w14:paraId="1DAC1F7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达标</w:t>
                  </w:r>
                </w:p>
              </w:tc>
              <w:tc>
                <w:tcPr>
                  <w:tcW w:w="913" w:type="dxa"/>
                  <w:tcBorders>
                    <w:tl2br w:val="nil"/>
                    <w:tr2bl w:val="nil"/>
                  </w:tcBorders>
                  <w:shd w:val="clear" w:color="auto" w:fill="auto"/>
                  <w:noWrap w:val="0"/>
                  <w:vAlign w:val="center"/>
                </w:tcPr>
                <w:p w14:paraId="6CCC4695">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4000</w:t>
                  </w:r>
                </w:p>
              </w:tc>
              <w:tc>
                <w:tcPr>
                  <w:tcW w:w="816" w:type="dxa"/>
                  <w:tcBorders>
                    <w:tl2br w:val="nil"/>
                    <w:tr2bl w:val="nil"/>
                  </w:tcBorders>
                  <w:noWrap w:val="0"/>
                  <w:vAlign w:val="center"/>
                </w:tcPr>
                <w:p w14:paraId="2C309F7C">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45.0 </w:t>
                  </w:r>
                </w:p>
              </w:tc>
              <w:tc>
                <w:tcPr>
                  <w:tcW w:w="654" w:type="dxa"/>
                  <w:tcBorders>
                    <w:tl2br w:val="nil"/>
                    <w:tr2bl w:val="nil"/>
                  </w:tcBorders>
                  <w:noWrap w:val="0"/>
                  <w:vAlign w:val="center"/>
                </w:tcPr>
                <w:p w14:paraId="0A0B96DF">
                  <w:pPr>
                    <w:pStyle w:val="35"/>
                    <w:spacing w:before="0" w:after="0"/>
                    <w:ind w:firstLine="0" w:firstLineChars="0"/>
                    <w:rPr>
                      <w:rFonts w:hint="default"/>
                      <w:color w:val="auto"/>
                      <w:sz w:val="21"/>
                      <w:szCs w:val="21"/>
                      <w:highlight w:val="none"/>
                    </w:rPr>
                  </w:pPr>
                  <w:r>
                    <w:rPr>
                      <w:color w:val="auto"/>
                      <w:sz w:val="21"/>
                      <w:highlight w:val="none"/>
                    </w:rPr>
                    <w:t>达标</w:t>
                  </w:r>
                </w:p>
              </w:tc>
            </w:tr>
            <w:tr w14:paraId="2BEF82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05" w:type="dxa"/>
                  <w:tcBorders>
                    <w:tl2br w:val="nil"/>
                    <w:tr2bl w:val="nil"/>
                  </w:tcBorders>
                  <w:noWrap w:val="0"/>
                  <w:vAlign w:val="center"/>
                </w:tcPr>
                <w:p w14:paraId="3FF32D34">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O</w:t>
                  </w:r>
                  <w:r>
                    <w:rPr>
                      <w:rFonts w:hint="default"/>
                      <w:color w:val="auto"/>
                      <w:sz w:val="21"/>
                      <w:szCs w:val="21"/>
                      <w:highlight w:val="none"/>
                      <w:vertAlign w:val="subscript"/>
                    </w:rPr>
                    <w:t>3</w:t>
                  </w:r>
                </w:p>
              </w:tc>
              <w:tc>
                <w:tcPr>
                  <w:tcW w:w="1571" w:type="dxa"/>
                  <w:tcBorders>
                    <w:tl2br w:val="nil"/>
                    <w:tr2bl w:val="nil"/>
                  </w:tcBorders>
                  <w:noWrap w:val="0"/>
                  <w:vAlign w:val="center"/>
                </w:tcPr>
                <w:p w14:paraId="113FD80E">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日最大8h平均第90百分位浓度</w:t>
                  </w:r>
                </w:p>
              </w:tc>
              <w:tc>
                <w:tcPr>
                  <w:tcW w:w="844" w:type="dxa"/>
                  <w:tcBorders>
                    <w:tl2br w:val="nil"/>
                    <w:tr2bl w:val="nil"/>
                  </w:tcBorders>
                  <w:noWrap w:val="0"/>
                  <w:vAlign w:val="center"/>
                </w:tcPr>
                <w:p w14:paraId="647CFAB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164</w:t>
                  </w:r>
                </w:p>
              </w:tc>
              <w:tc>
                <w:tcPr>
                  <w:tcW w:w="996" w:type="dxa"/>
                  <w:tcBorders>
                    <w:tl2br w:val="nil"/>
                    <w:tr2bl w:val="nil"/>
                  </w:tcBorders>
                  <w:noWrap w:val="0"/>
                  <w:vAlign w:val="center"/>
                </w:tcPr>
                <w:p w14:paraId="769E64D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rPr>
                  </w:pPr>
                  <w:r>
                    <w:rPr>
                      <w:rFonts w:hint="default"/>
                      <w:color w:val="auto"/>
                      <w:sz w:val="21"/>
                      <w:szCs w:val="21"/>
                      <w:highlight w:val="none"/>
                    </w:rPr>
                    <w:t>160</w:t>
                  </w:r>
                </w:p>
              </w:tc>
              <w:tc>
                <w:tcPr>
                  <w:tcW w:w="756" w:type="dxa"/>
                  <w:tcBorders>
                    <w:tl2br w:val="nil"/>
                    <w:tr2bl w:val="nil"/>
                  </w:tcBorders>
                  <w:noWrap w:val="0"/>
                  <w:vAlign w:val="center"/>
                </w:tcPr>
                <w:p w14:paraId="52446BE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 xml:space="preserve">102.5 </w:t>
                  </w:r>
                </w:p>
              </w:tc>
              <w:tc>
                <w:tcPr>
                  <w:tcW w:w="752" w:type="dxa"/>
                  <w:tcBorders>
                    <w:tl2br w:val="nil"/>
                    <w:tr2bl w:val="nil"/>
                  </w:tcBorders>
                  <w:shd w:val="clear" w:color="auto" w:fill="auto"/>
                  <w:noWrap w:val="0"/>
                  <w:vAlign w:val="center"/>
                </w:tcPr>
                <w:p w14:paraId="01F2371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超标</w:t>
                  </w:r>
                </w:p>
              </w:tc>
              <w:tc>
                <w:tcPr>
                  <w:tcW w:w="913" w:type="dxa"/>
                  <w:tcBorders>
                    <w:tl2br w:val="nil"/>
                    <w:tr2bl w:val="nil"/>
                  </w:tcBorders>
                  <w:shd w:val="clear" w:color="auto" w:fill="auto"/>
                  <w:noWrap w:val="0"/>
                  <w:vAlign w:val="center"/>
                </w:tcPr>
                <w:p w14:paraId="3EE21A90">
                  <w:pPr>
                    <w:pStyle w:val="35"/>
                    <w:spacing w:before="0" w:after="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highlight w:val="none"/>
                      <w:lang w:val="en-US" w:eastAsia="zh-CN"/>
                    </w:rPr>
                    <w:t>160</w:t>
                  </w:r>
                </w:p>
              </w:tc>
              <w:tc>
                <w:tcPr>
                  <w:tcW w:w="816" w:type="dxa"/>
                  <w:tcBorders>
                    <w:tl2br w:val="nil"/>
                    <w:tr2bl w:val="nil"/>
                  </w:tcBorders>
                  <w:noWrap w:val="0"/>
                  <w:vAlign w:val="center"/>
                </w:tcPr>
                <w:p w14:paraId="55E6843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 xml:space="preserve">102.5 </w:t>
                  </w:r>
                </w:p>
              </w:tc>
              <w:tc>
                <w:tcPr>
                  <w:tcW w:w="654" w:type="dxa"/>
                  <w:tcBorders>
                    <w:tl2br w:val="nil"/>
                    <w:tr2bl w:val="nil"/>
                  </w:tcBorders>
                  <w:noWrap w:val="0"/>
                  <w:vAlign w:val="center"/>
                </w:tcPr>
                <w:p w14:paraId="28E35BAE">
                  <w:pPr>
                    <w:pStyle w:val="35"/>
                    <w:spacing w:before="0" w:after="0"/>
                    <w:ind w:firstLine="0" w:firstLineChars="0"/>
                    <w:rPr>
                      <w:rFonts w:hint="eastAsia" w:eastAsia="宋体"/>
                      <w:color w:val="auto"/>
                      <w:sz w:val="21"/>
                      <w:szCs w:val="21"/>
                      <w:highlight w:val="none"/>
                      <w:lang w:eastAsia="zh-CN"/>
                    </w:rPr>
                  </w:pPr>
                  <w:r>
                    <w:rPr>
                      <w:color w:val="auto"/>
                      <w:sz w:val="21"/>
                      <w:highlight w:val="none"/>
                    </w:rPr>
                    <w:t>超标</w:t>
                  </w:r>
                </w:p>
              </w:tc>
            </w:tr>
          </w:tbl>
          <w:p w14:paraId="17C947C2">
            <w:pPr>
              <w:bidi w:val="0"/>
              <w:rPr>
                <w:rFonts w:hint="eastAsia"/>
                <w:color w:val="auto"/>
                <w:highlight w:val="none"/>
                <w:lang w:val="en-US" w:eastAsia="zh-CN"/>
              </w:rPr>
            </w:pPr>
            <w:r>
              <w:rPr>
                <w:color w:val="auto"/>
                <w:spacing w:val="5"/>
                <w:szCs w:val="21"/>
                <w:highlight w:val="none"/>
              </w:rPr>
              <w:t>根据上表可知，项目所在区域环境空气质量评价指标中</w:t>
            </w:r>
            <w:r>
              <w:rPr>
                <w:rFonts w:hint="default" w:ascii="Times New Roman" w:hAnsi="Times New Roman" w:eastAsia="宋体" w:cs="Times New Roman"/>
                <w:color w:val="auto"/>
                <w:kern w:val="2"/>
                <w:sz w:val="24"/>
                <w:szCs w:val="21"/>
                <w:highlight w:val="none"/>
                <w:shd w:val="clear" w:color="auto" w:fill="auto"/>
                <w:lang w:val="en-US" w:eastAsia="zh-CN" w:bidi="ar"/>
              </w:rPr>
              <w:t>，SO</w:t>
            </w:r>
            <w:r>
              <w:rPr>
                <w:rFonts w:hint="default" w:ascii="Times New Roman" w:hAnsi="Times New Roman" w:eastAsia="宋体" w:cs="Times New Roman"/>
                <w:color w:val="auto"/>
                <w:kern w:val="2"/>
                <w:sz w:val="24"/>
                <w:szCs w:val="21"/>
                <w:highlight w:val="none"/>
                <w:shd w:val="clear" w:color="auto" w:fill="auto"/>
                <w:vertAlign w:val="subscript"/>
                <w:lang w:val="en-US" w:eastAsia="zh-CN" w:bidi="ar"/>
              </w:rPr>
              <w:t>2</w:t>
            </w:r>
            <w:r>
              <w:rPr>
                <w:rFonts w:hint="eastAsia" w:ascii="Times New Roman" w:hAnsi="Times New Roman" w:eastAsia="宋体" w:cs="Times New Roman"/>
                <w:color w:val="auto"/>
                <w:kern w:val="2"/>
                <w:sz w:val="24"/>
                <w:szCs w:val="21"/>
                <w:highlight w:val="none"/>
                <w:shd w:val="clear" w:color="auto" w:fill="auto"/>
                <w:vertAlign w:val="baseline"/>
                <w:lang w:val="en-US" w:eastAsia="zh-CN" w:bidi="ar"/>
              </w:rPr>
              <w:t>、</w:t>
            </w:r>
            <w:r>
              <w:rPr>
                <w:rFonts w:hint="default"/>
                <w:color w:val="auto"/>
                <w:sz w:val="24"/>
                <w:szCs w:val="24"/>
                <w:highlight w:val="none"/>
              </w:rPr>
              <w:t>NO</w:t>
            </w:r>
            <w:r>
              <w:rPr>
                <w:rFonts w:hint="default"/>
                <w:color w:val="auto"/>
                <w:sz w:val="24"/>
                <w:szCs w:val="24"/>
                <w:highlight w:val="none"/>
                <w:vertAlign w:val="subscript"/>
              </w:rPr>
              <w:t>2</w:t>
            </w:r>
            <w:r>
              <w:rPr>
                <w:rFonts w:hint="default" w:ascii="Times New Roman" w:hAnsi="Times New Roman" w:eastAsia="宋体" w:cs="Times New Roman"/>
                <w:color w:val="auto"/>
                <w:kern w:val="2"/>
                <w:sz w:val="24"/>
                <w:szCs w:val="21"/>
                <w:highlight w:val="none"/>
                <w:shd w:val="clear" w:color="auto" w:fill="auto"/>
                <w:lang w:val="en-US" w:eastAsia="zh-CN" w:bidi="ar"/>
              </w:rPr>
              <w:t>的年平均质量浓度达标</w:t>
            </w:r>
            <w:r>
              <w:rPr>
                <w:rFonts w:hint="eastAsia" w:cs="Times New Roman"/>
                <w:color w:val="auto"/>
                <w:kern w:val="2"/>
                <w:sz w:val="24"/>
                <w:szCs w:val="21"/>
                <w:highlight w:val="none"/>
                <w:shd w:val="clear" w:color="auto" w:fill="auto"/>
                <w:lang w:val="en-US" w:eastAsia="zh-CN" w:bidi="ar"/>
              </w:rPr>
              <w:t>，</w:t>
            </w:r>
            <w:r>
              <w:rPr>
                <w:rFonts w:hint="default" w:ascii="Times New Roman" w:hAnsi="Times New Roman" w:eastAsia="宋体" w:cs="Times New Roman"/>
                <w:color w:val="auto"/>
                <w:kern w:val="2"/>
                <w:sz w:val="24"/>
                <w:szCs w:val="21"/>
                <w:highlight w:val="none"/>
                <w:shd w:val="clear" w:color="auto" w:fill="auto"/>
                <w:lang w:val="en-US" w:eastAsia="zh-CN" w:bidi="ar"/>
              </w:rPr>
              <w:t>PM</w:t>
            </w:r>
            <w:r>
              <w:rPr>
                <w:rFonts w:hint="default" w:ascii="Times New Roman" w:hAnsi="Times New Roman" w:eastAsia="宋体" w:cs="Times New Roman"/>
                <w:color w:val="auto"/>
                <w:kern w:val="2"/>
                <w:sz w:val="24"/>
                <w:szCs w:val="21"/>
                <w:highlight w:val="none"/>
                <w:shd w:val="clear" w:color="auto" w:fill="auto"/>
                <w:vertAlign w:val="subscript"/>
                <w:lang w:val="en-US" w:eastAsia="zh-CN" w:bidi="ar"/>
              </w:rPr>
              <w:t>2.5</w:t>
            </w:r>
            <w:r>
              <w:rPr>
                <w:rFonts w:hint="default" w:ascii="Times New Roman" w:hAnsi="Times New Roman" w:eastAsia="宋体" w:cs="Times New Roman"/>
                <w:color w:val="auto"/>
                <w:kern w:val="2"/>
                <w:sz w:val="24"/>
                <w:szCs w:val="21"/>
                <w:highlight w:val="none"/>
                <w:shd w:val="clear" w:color="auto" w:fill="auto"/>
                <w:lang w:val="en-US" w:eastAsia="zh-CN" w:bidi="ar"/>
              </w:rPr>
              <w:t>、PM</w:t>
            </w:r>
            <w:r>
              <w:rPr>
                <w:rFonts w:hint="default" w:ascii="Times New Roman" w:hAnsi="Times New Roman" w:eastAsia="宋体" w:cs="Times New Roman"/>
                <w:color w:val="auto"/>
                <w:kern w:val="2"/>
                <w:sz w:val="24"/>
                <w:szCs w:val="21"/>
                <w:highlight w:val="none"/>
                <w:shd w:val="clear" w:color="auto" w:fill="auto"/>
                <w:vertAlign w:val="subscript"/>
                <w:lang w:val="en-US" w:eastAsia="zh-CN" w:bidi="ar"/>
              </w:rPr>
              <w:t>10</w:t>
            </w:r>
            <w:r>
              <w:rPr>
                <w:color w:val="auto"/>
                <w:szCs w:val="21"/>
                <w:highlight w:val="none"/>
                <w:lang w:bidi="ar"/>
              </w:rPr>
              <w:t>的年平均质量浓度</w:t>
            </w:r>
            <w:r>
              <w:rPr>
                <w:rFonts w:hint="eastAsia"/>
                <w:color w:val="auto"/>
                <w:szCs w:val="21"/>
                <w:highlight w:val="none"/>
                <w:lang w:val="en-US" w:eastAsia="zh-CN" w:bidi="ar"/>
              </w:rPr>
              <w:t>满足监测期间执行标准</w:t>
            </w:r>
            <w:r>
              <w:rPr>
                <w:rFonts w:hint="eastAsia"/>
                <w:color w:val="auto"/>
                <w:highlight w:val="none"/>
                <w:lang w:eastAsia="zh-CN"/>
              </w:rPr>
              <w:t>《环境空气质量标准》（GB3095-2012）及其修改单中二级标准</w:t>
            </w:r>
            <w:r>
              <w:rPr>
                <w:rFonts w:hint="eastAsia"/>
                <w:color w:val="auto"/>
                <w:highlight w:val="none"/>
                <w:lang w:val="en-US" w:eastAsia="zh-CN"/>
              </w:rPr>
              <w:t>限值要求，不满足现行标准</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w:t>
            </w:r>
            <w:r>
              <w:rPr>
                <w:rFonts w:hint="eastAsia"/>
                <w:color w:val="auto"/>
                <w:highlight w:val="none"/>
                <w:lang w:val="en-US" w:eastAsia="zh-CN"/>
              </w:rPr>
              <w:t>中过渡阶段二级标准限值要求</w:t>
            </w:r>
            <w:r>
              <w:rPr>
                <w:rFonts w:hint="default" w:ascii="Times New Roman" w:hAnsi="Times New Roman" w:eastAsia="宋体" w:cs="Times New Roman"/>
                <w:color w:val="auto"/>
                <w:kern w:val="2"/>
                <w:sz w:val="24"/>
                <w:szCs w:val="21"/>
                <w:highlight w:val="none"/>
                <w:shd w:val="clear" w:color="auto" w:fill="auto"/>
                <w:lang w:val="en-US" w:eastAsia="zh-CN" w:bidi="ar"/>
              </w:rPr>
              <w:t>，CO</w:t>
            </w:r>
            <w:r>
              <w:rPr>
                <w:rFonts w:hint="eastAsia" w:ascii="Times New Roman" w:hAnsi="Times New Roman" w:eastAsia="宋体" w:cs="Times New Roman"/>
                <w:color w:val="auto"/>
                <w:kern w:val="2"/>
                <w:sz w:val="24"/>
                <w:szCs w:val="21"/>
                <w:highlight w:val="none"/>
                <w:shd w:val="clear" w:color="auto" w:fill="auto"/>
                <w:lang w:val="en-US" w:eastAsia="zh-CN" w:bidi="ar"/>
              </w:rPr>
              <w:t>的日均值第95百分位浓度</w:t>
            </w:r>
            <w:r>
              <w:rPr>
                <w:rFonts w:hint="default" w:ascii="Times New Roman" w:hAnsi="Times New Roman" w:eastAsia="宋体" w:cs="Times New Roman"/>
                <w:color w:val="auto"/>
                <w:kern w:val="2"/>
                <w:sz w:val="24"/>
                <w:szCs w:val="21"/>
                <w:highlight w:val="none"/>
                <w:shd w:val="clear" w:color="auto" w:fill="auto"/>
                <w:lang w:val="en-US" w:eastAsia="zh-CN" w:bidi="ar"/>
              </w:rPr>
              <w:t>达标，O</w:t>
            </w:r>
            <w:r>
              <w:rPr>
                <w:rFonts w:hint="default" w:ascii="Times New Roman" w:hAnsi="Times New Roman" w:eastAsia="宋体" w:cs="Times New Roman"/>
                <w:color w:val="auto"/>
                <w:kern w:val="2"/>
                <w:sz w:val="24"/>
                <w:szCs w:val="21"/>
                <w:highlight w:val="none"/>
                <w:shd w:val="clear" w:color="auto" w:fill="auto"/>
                <w:vertAlign w:val="subscript"/>
                <w:lang w:val="en-US" w:eastAsia="zh-CN" w:bidi="ar"/>
              </w:rPr>
              <w:t>3</w:t>
            </w:r>
            <w:r>
              <w:rPr>
                <w:rFonts w:hint="default" w:ascii="Times New Roman" w:hAnsi="Times New Roman" w:eastAsia="宋体" w:cs="Times New Roman"/>
                <w:color w:val="auto"/>
                <w:kern w:val="2"/>
                <w:sz w:val="24"/>
                <w:szCs w:val="21"/>
                <w:highlight w:val="none"/>
                <w:shd w:val="clear" w:color="auto" w:fill="auto"/>
                <w:lang w:val="en-US" w:eastAsia="zh-CN" w:bidi="ar"/>
              </w:rPr>
              <w:t>的日最大8h平均第90百分位浓度</w:t>
            </w:r>
            <w:r>
              <w:rPr>
                <w:rFonts w:hint="eastAsia" w:cs="Times New Roman"/>
                <w:color w:val="auto"/>
                <w:kern w:val="2"/>
                <w:sz w:val="24"/>
                <w:szCs w:val="21"/>
                <w:highlight w:val="none"/>
                <w:shd w:val="clear" w:color="auto" w:fill="auto"/>
                <w:lang w:val="en-US" w:eastAsia="zh-CN" w:bidi="ar"/>
              </w:rPr>
              <w:t>不达标</w:t>
            </w:r>
            <w:r>
              <w:rPr>
                <w:color w:val="auto"/>
                <w:spacing w:val="5"/>
                <w:szCs w:val="21"/>
                <w:highlight w:val="none"/>
              </w:rPr>
              <w:t>。</w:t>
            </w:r>
          </w:p>
          <w:p w14:paraId="2B312471">
            <w:pPr>
              <w:bidi w:val="0"/>
              <w:rPr>
                <w:rFonts w:hint="default"/>
                <w:color w:val="auto"/>
                <w:highlight w:val="none"/>
              </w:rPr>
            </w:pPr>
            <w:r>
              <w:rPr>
                <w:rFonts w:hint="eastAsia"/>
                <w:color w:val="auto"/>
                <w:highlight w:val="none"/>
              </w:rPr>
              <w:t>②</w:t>
            </w:r>
            <w:r>
              <w:rPr>
                <w:rFonts w:hint="default"/>
                <w:color w:val="auto"/>
                <w:highlight w:val="none"/>
              </w:rPr>
              <w:t>其他污染物环境质量现状评价</w:t>
            </w:r>
          </w:p>
          <w:p w14:paraId="47D17126">
            <w:pPr>
              <w:bidi w:val="0"/>
              <w:rPr>
                <w:rFonts w:hint="eastAsia"/>
                <w:color w:val="auto"/>
                <w:highlight w:val="none"/>
                <w:lang w:val="en-US" w:eastAsia="zh-CN"/>
              </w:rPr>
            </w:pPr>
            <w:r>
              <w:rPr>
                <w:rFonts w:hint="eastAsia"/>
                <w:color w:val="auto"/>
                <w:highlight w:val="none"/>
                <w:lang w:val="en-US" w:eastAsia="zh-CN"/>
              </w:rPr>
              <w:t>根据《建设项目环境影响报告表编制技术指南（污染影响类）（试行）》“排放国家、地方环境空气质量标准中有标准限值要求的特征污染物时，引用建设项目周边5千米范围内近3年的现有监测数据，无相关数据的选择当季主导风向下风向1个点位补充不少于3天的监测数据”。本项目生产过程排放的特征污染物为颗粒物（TSP），TSP有国家环境空气质量标准。本项目在评价TSP环境质量现状时，进行补充监测。</w:t>
            </w:r>
          </w:p>
          <w:p w14:paraId="7AA2C0AC">
            <w:pPr>
              <w:bidi w:val="0"/>
              <w:rPr>
                <w:rFonts w:hint="eastAsia"/>
                <w:color w:val="auto"/>
                <w:highlight w:val="none"/>
                <w:lang w:val="en-US" w:eastAsia="zh-CN"/>
              </w:rPr>
            </w:pPr>
            <w:r>
              <w:rPr>
                <w:rFonts w:hint="eastAsia"/>
                <w:color w:val="auto"/>
                <w:highlight w:val="none"/>
                <w:lang w:val="en-US" w:eastAsia="zh-CN"/>
              </w:rPr>
              <w:t>根据建设项目所在区域气象特征、污染物排放情况，在场区西侧设置一个现状监测点，对TSP环境质量进行监测</w:t>
            </w:r>
            <w:r>
              <w:rPr>
                <w:rFonts w:hint="eastAsia"/>
                <w:color w:val="auto"/>
                <w:highlight w:val="none"/>
              </w:rPr>
              <w:t>。</w:t>
            </w:r>
          </w:p>
          <w:p w14:paraId="0878A398">
            <w:pPr>
              <w:bidi w:val="0"/>
              <w:rPr>
                <w:rFonts w:hint="default" w:eastAsia="宋体"/>
                <w:color w:val="auto"/>
                <w:highlight w:val="none"/>
                <w:lang w:val="en-US" w:eastAsia="zh-CN"/>
              </w:rPr>
            </w:pPr>
            <w:r>
              <w:rPr>
                <w:rFonts w:hint="eastAsia"/>
                <w:color w:val="auto"/>
                <w:highlight w:val="none"/>
              </w:rPr>
              <w:t>检测单位：</w:t>
            </w:r>
            <w:r>
              <w:rPr>
                <w:rFonts w:hint="eastAsia"/>
                <w:color w:val="auto"/>
                <w:highlight w:val="none"/>
                <w:lang w:val="en-US" w:eastAsia="zh-CN"/>
              </w:rPr>
              <w:t>唐山铭晁环境检测技术有限公司</w:t>
            </w:r>
          </w:p>
          <w:p w14:paraId="106A8167">
            <w:pPr>
              <w:bidi w:val="0"/>
              <w:rPr>
                <w:rFonts w:hint="default" w:eastAsia="宋体"/>
                <w:color w:val="auto"/>
                <w:highlight w:val="none"/>
                <w:lang w:val="en-US" w:eastAsia="zh-CN"/>
              </w:rPr>
            </w:pPr>
            <w:r>
              <w:rPr>
                <w:rFonts w:hint="eastAsia"/>
                <w:color w:val="auto"/>
                <w:highlight w:val="none"/>
              </w:rPr>
              <w:t>检测时间：</w:t>
            </w:r>
            <w:r>
              <w:rPr>
                <w:rFonts w:hint="eastAsia"/>
                <w:color w:val="auto"/>
                <w:highlight w:val="none"/>
                <w:lang w:val="en-US" w:eastAsia="zh-CN"/>
              </w:rPr>
              <w:t>2026年7月21日-2026年7月23日</w:t>
            </w:r>
          </w:p>
          <w:p w14:paraId="522F67EA">
            <w:pPr>
              <w:bidi w:val="0"/>
              <w:rPr>
                <w:rFonts w:hint="eastAsia"/>
                <w:color w:val="auto"/>
                <w:highlight w:val="none"/>
                <w:lang w:val="en-US" w:eastAsia="zh-CN"/>
              </w:rPr>
            </w:pPr>
            <w:r>
              <w:rPr>
                <w:rFonts w:hint="eastAsia"/>
                <w:color w:val="auto"/>
                <w:highlight w:val="none"/>
              </w:rPr>
              <w:t>检测</w:t>
            </w:r>
            <w:r>
              <w:rPr>
                <w:rFonts w:hint="eastAsia"/>
                <w:color w:val="auto"/>
                <w:highlight w:val="none"/>
                <w:lang w:val="en-US" w:eastAsia="zh-CN"/>
              </w:rPr>
              <w:t>因子</w:t>
            </w:r>
            <w:r>
              <w:rPr>
                <w:rFonts w:hint="eastAsia"/>
                <w:color w:val="auto"/>
                <w:highlight w:val="none"/>
              </w:rPr>
              <w:t>：</w:t>
            </w:r>
            <w:r>
              <w:rPr>
                <w:rFonts w:hint="eastAsia"/>
                <w:color w:val="auto"/>
                <w:highlight w:val="none"/>
                <w:lang w:val="en-US" w:eastAsia="zh-CN"/>
              </w:rPr>
              <w:t>TSP</w:t>
            </w:r>
          </w:p>
          <w:p w14:paraId="1F7B73FF">
            <w:pPr>
              <w:pStyle w:val="7"/>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监测点位：</w:t>
            </w:r>
            <w:r>
              <w:rPr>
                <w:rFonts w:hint="eastAsia"/>
                <w:color w:val="auto"/>
                <w:highlight w:val="none"/>
                <w:lang w:val="en-US" w:eastAsia="zh-CN"/>
              </w:rPr>
              <w:t>场区西侧</w:t>
            </w:r>
          </w:p>
          <w:p w14:paraId="58ED38BA">
            <w:pPr>
              <w:pStyle w:val="7"/>
              <w:rPr>
                <w:rFonts w:hint="default"/>
                <w:color w:val="auto"/>
                <w:sz w:val="24"/>
                <w:szCs w:val="24"/>
                <w:highlight w:val="none"/>
                <w:lang w:val="en-US" w:eastAsia="zh-CN"/>
              </w:rPr>
            </w:pPr>
            <w:r>
              <w:rPr>
                <w:rFonts w:hint="eastAsia"/>
                <w:color w:val="auto"/>
                <w:sz w:val="24"/>
                <w:szCs w:val="24"/>
                <w:highlight w:val="none"/>
                <w:lang w:val="en-US" w:eastAsia="zh-CN"/>
              </w:rPr>
              <w:t>监测时段及频次：监测因子连续监测3天，每天采样24h。</w:t>
            </w:r>
          </w:p>
          <w:p w14:paraId="597EAF8F">
            <w:pPr>
              <w:bidi w:val="0"/>
              <w:rPr>
                <w:rFonts w:hint="eastAsia"/>
                <w:color w:val="auto"/>
                <w:highlight w:val="none"/>
                <w:lang w:eastAsia="zh-CN"/>
              </w:rPr>
            </w:pPr>
            <w:r>
              <w:rPr>
                <w:rFonts w:hint="default"/>
                <w:color w:val="auto"/>
                <w:highlight w:val="none"/>
              </w:rPr>
              <w:t>监测点信息见下表</w:t>
            </w:r>
            <w:r>
              <w:rPr>
                <w:rFonts w:hint="eastAsia"/>
                <w:color w:val="auto"/>
                <w:highlight w:val="none"/>
                <w:lang w:eastAsia="zh-CN"/>
              </w:rPr>
              <w:t>。</w:t>
            </w:r>
          </w:p>
          <w:p w14:paraId="12EE588E">
            <w:pPr>
              <w:pStyle w:val="36"/>
              <w:numPr>
                <w:ilvl w:val="0"/>
                <w:numId w:val="21"/>
              </w:numPr>
              <w:bidi w:val="0"/>
              <w:ind w:left="0" w:leftChars="0" w:firstLine="0" w:firstLineChars="0"/>
              <w:rPr>
                <w:rFonts w:hint="default"/>
                <w:color w:val="auto"/>
                <w:highlight w:val="none"/>
              </w:rPr>
            </w:pPr>
            <w:r>
              <w:rPr>
                <w:rFonts w:hint="default"/>
                <w:color w:val="auto"/>
                <w:highlight w:val="none"/>
              </w:rPr>
              <w:t>其他污染物监测点位基本信息</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385"/>
              <w:gridCol w:w="928"/>
              <w:gridCol w:w="835"/>
              <w:gridCol w:w="1078"/>
              <w:gridCol w:w="1790"/>
              <w:gridCol w:w="963"/>
              <w:gridCol w:w="1128"/>
            </w:tblGrid>
            <w:tr w14:paraId="31C773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385" w:type="dxa"/>
                  <w:vMerge w:val="restart"/>
                  <w:tcBorders>
                    <w:tl2br w:val="nil"/>
                    <w:tr2bl w:val="nil"/>
                  </w:tcBorders>
                  <w:noWrap w:val="0"/>
                  <w:vAlign w:val="center"/>
                </w:tcPr>
                <w:p w14:paraId="6A5276C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监测点名称</w:t>
                  </w:r>
                </w:p>
              </w:tc>
              <w:tc>
                <w:tcPr>
                  <w:tcW w:w="1763" w:type="dxa"/>
                  <w:gridSpan w:val="2"/>
                  <w:tcBorders>
                    <w:tl2br w:val="nil"/>
                    <w:tr2bl w:val="nil"/>
                  </w:tcBorders>
                  <w:noWrap w:val="0"/>
                  <w:vAlign w:val="center"/>
                </w:tcPr>
                <w:p w14:paraId="74D60BF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监测点坐标</w:t>
                  </w:r>
                  <w:r>
                    <w:rPr>
                      <w:rFonts w:hint="eastAsia"/>
                      <w:color w:val="auto"/>
                      <w:sz w:val="21"/>
                      <w:szCs w:val="21"/>
                      <w:highlight w:val="none"/>
                      <w:lang w:eastAsia="zh-CN"/>
                    </w:rPr>
                    <w:t>（</w:t>
                  </w:r>
                  <w:r>
                    <w:rPr>
                      <w:rFonts w:hint="eastAsia"/>
                      <w:color w:val="auto"/>
                      <w:sz w:val="21"/>
                      <w:szCs w:val="21"/>
                      <w:highlight w:val="none"/>
                      <w:lang w:val="en-US" w:eastAsia="zh-CN"/>
                    </w:rPr>
                    <w:t>m</w:t>
                  </w:r>
                  <w:r>
                    <w:rPr>
                      <w:rFonts w:hint="eastAsia"/>
                      <w:color w:val="auto"/>
                      <w:sz w:val="21"/>
                      <w:szCs w:val="21"/>
                      <w:highlight w:val="none"/>
                      <w:lang w:eastAsia="zh-CN"/>
                    </w:rPr>
                    <w:t>）</w:t>
                  </w:r>
                </w:p>
              </w:tc>
              <w:tc>
                <w:tcPr>
                  <w:tcW w:w="1078" w:type="dxa"/>
                  <w:vMerge w:val="restart"/>
                  <w:tcBorders>
                    <w:tl2br w:val="nil"/>
                    <w:tr2bl w:val="nil"/>
                  </w:tcBorders>
                  <w:noWrap w:val="0"/>
                  <w:vAlign w:val="center"/>
                </w:tcPr>
                <w:p w14:paraId="49E7335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监测因子</w:t>
                  </w:r>
                </w:p>
              </w:tc>
              <w:tc>
                <w:tcPr>
                  <w:tcW w:w="1790" w:type="dxa"/>
                  <w:vMerge w:val="restart"/>
                  <w:tcBorders>
                    <w:tl2br w:val="nil"/>
                    <w:tr2bl w:val="nil"/>
                  </w:tcBorders>
                  <w:noWrap w:val="0"/>
                  <w:vAlign w:val="center"/>
                </w:tcPr>
                <w:p w14:paraId="2130424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监测时段</w:t>
                  </w:r>
                </w:p>
              </w:tc>
              <w:tc>
                <w:tcPr>
                  <w:tcW w:w="963" w:type="dxa"/>
                  <w:vMerge w:val="restart"/>
                  <w:tcBorders>
                    <w:tl2br w:val="nil"/>
                    <w:tr2bl w:val="nil"/>
                  </w:tcBorders>
                  <w:noWrap w:val="0"/>
                  <w:vAlign w:val="center"/>
                </w:tcPr>
                <w:p w14:paraId="21B2B18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相对</w:t>
                  </w:r>
                  <w:r>
                    <w:rPr>
                      <w:rFonts w:hint="eastAsia"/>
                      <w:color w:val="auto"/>
                      <w:sz w:val="21"/>
                      <w:szCs w:val="21"/>
                      <w:highlight w:val="none"/>
                      <w:lang w:val="en-US" w:eastAsia="zh-CN"/>
                    </w:rPr>
                    <w:t>场</w:t>
                  </w:r>
                  <w:r>
                    <w:rPr>
                      <w:rFonts w:hint="default"/>
                      <w:color w:val="auto"/>
                      <w:sz w:val="21"/>
                      <w:szCs w:val="21"/>
                      <w:highlight w:val="none"/>
                    </w:rPr>
                    <w:t>址方位</w:t>
                  </w:r>
                </w:p>
              </w:tc>
              <w:tc>
                <w:tcPr>
                  <w:tcW w:w="1128" w:type="dxa"/>
                  <w:vMerge w:val="restart"/>
                  <w:tcBorders>
                    <w:tl2br w:val="nil"/>
                    <w:tr2bl w:val="nil"/>
                  </w:tcBorders>
                  <w:noWrap w:val="0"/>
                  <w:vAlign w:val="center"/>
                </w:tcPr>
                <w:p w14:paraId="68C9380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相对</w:t>
                  </w:r>
                  <w:r>
                    <w:rPr>
                      <w:rFonts w:hint="eastAsia"/>
                      <w:color w:val="auto"/>
                      <w:sz w:val="21"/>
                      <w:szCs w:val="21"/>
                      <w:highlight w:val="none"/>
                      <w:lang w:val="en-US" w:eastAsia="zh-CN"/>
                    </w:rPr>
                    <w:t>场</w:t>
                  </w:r>
                  <w:r>
                    <w:rPr>
                      <w:rFonts w:hint="default"/>
                      <w:color w:val="auto"/>
                      <w:sz w:val="21"/>
                      <w:szCs w:val="21"/>
                      <w:highlight w:val="none"/>
                    </w:rPr>
                    <w:t>界距离</w:t>
                  </w:r>
                  <w:r>
                    <w:rPr>
                      <w:rFonts w:hint="eastAsia"/>
                      <w:color w:val="auto"/>
                      <w:sz w:val="21"/>
                      <w:szCs w:val="21"/>
                      <w:highlight w:val="none"/>
                      <w:lang w:eastAsia="zh-CN"/>
                    </w:rPr>
                    <w:t>（</w:t>
                  </w:r>
                  <w:r>
                    <w:rPr>
                      <w:rFonts w:hint="eastAsia"/>
                      <w:color w:val="auto"/>
                      <w:sz w:val="21"/>
                      <w:szCs w:val="21"/>
                      <w:highlight w:val="none"/>
                      <w:lang w:val="en-US" w:eastAsia="zh-CN"/>
                    </w:rPr>
                    <w:t>m</w:t>
                  </w:r>
                  <w:r>
                    <w:rPr>
                      <w:rFonts w:hint="eastAsia"/>
                      <w:color w:val="auto"/>
                      <w:sz w:val="21"/>
                      <w:szCs w:val="21"/>
                      <w:highlight w:val="none"/>
                      <w:lang w:eastAsia="zh-CN"/>
                    </w:rPr>
                    <w:t>）</w:t>
                  </w:r>
                </w:p>
              </w:tc>
            </w:tr>
            <w:tr w14:paraId="3A28C9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1385" w:type="dxa"/>
                  <w:vMerge w:val="continue"/>
                  <w:tcBorders>
                    <w:tl2br w:val="nil"/>
                    <w:tr2bl w:val="nil"/>
                  </w:tcBorders>
                  <w:noWrap w:val="0"/>
                  <w:vAlign w:val="center"/>
                </w:tcPr>
                <w:p w14:paraId="7E2C6A6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c>
                <w:tcPr>
                  <w:tcW w:w="928" w:type="dxa"/>
                  <w:tcBorders>
                    <w:tl2br w:val="nil"/>
                    <w:tr2bl w:val="nil"/>
                  </w:tcBorders>
                  <w:noWrap w:val="0"/>
                  <w:vAlign w:val="center"/>
                </w:tcPr>
                <w:p w14:paraId="7DA2FBB7">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X</w:t>
                  </w:r>
                </w:p>
              </w:tc>
              <w:tc>
                <w:tcPr>
                  <w:tcW w:w="835" w:type="dxa"/>
                  <w:tcBorders>
                    <w:tl2br w:val="nil"/>
                    <w:tr2bl w:val="nil"/>
                  </w:tcBorders>
                  <w:noWrap w:val="0"/>
                  <w:vAlign w:val="center"/>
                </w:tcPr>
                <w:p w14:paraId="3837BC7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Y</w:t>
                  </w:r>
                </w:p>
              </w:tc>
              <w:tc>
                <w:tcPr>
                  <w:tcW w:w="1078" w:type="dxa"/>
                  <w:vMerge w:val="continue"/>
                  <w:tcBorders>
                    <w:tl2br w:val="nil"/>
                    <w:tr2bl w:val="nil"/>
                  </w:tcBorders>
                  <w:noWrap w:val="0"/>
                  <w:vAlign w:val="center"/>
                </w:tcPr>
                <w:p w14:paraId="4B30CF3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c>
                <w:tcPr>
                  <w:tcW w:w="1790" w:type="dxa"/>
                  <w:vMerge w:val="continue"/>
                  <w:tcBorders>
                    <w:tl2br w:val="nil"/>
                    <w:tr2bl w:val="nil"/>
                  </w:tcBorders>
                  <w:noWrap w:val="0"/>
                  <w:vAlign w:val="center"/>
                </w:tcPr>
                <w:p w14:paraId="0D1C32A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c>
                <w:tcPr>
                  <w:tcW w:w="963" w:type="dxa"/>
                  <w:vMerge w:val="continue"/>
                  <w:tcBorders>
                    <w:tl2br w:val="nil"/>
                    <w:tr2bl w:val="nil"/>
                  </w:tcBorders>
                  <w:noWrap w:val="0"/>
                  <w:vAlign w:val="center"/>
                </w:tcPr>
                <w:p w14:paraId="3D9716C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c>
                <w:tcPr>
                  <w:tcW w:w="1128" w:type="dxa"/>
                  <w:vMerge w:val="continue"/>
                  <w:tcBorders>
                    <w:tl2br w:val="nil"/>
                    <w:tr2bl w:val="nil"/>
                  </w:tcBorders>
                  <w:noWrap w:val="0"/>
                  <w:vAlign w:val="center"/>
                </w:tcPr>
                <w:p w14:paraId="51EE115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p>
              </w:tc>
            </w:tr>
            <w:tr w14:paraId="1435A3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69" w:hRule="atLeast"/>
                <w:jc w:val="center"/>
              </w:trPr>
              <w:tc>
                <w:tcPr>
                  <w:tcW w:w="1385" w:type="dxa"/>
                  <w:tcBorders>
                    <w:tl2br w:val="nil"/>
                    <w:tr2bl w:val="nil"/>
                  </w:tcBorders>
                  <w:noWrap w:val="0"/>
                  <w:vAlign w:val="center"/>
                </w:tcPr>
                <w:p w14:paraId="348F39A0">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highlight w:val="none"/>
                      <w:lang w:val="en-US" w:eastAsia="zh-CN"/>
                    </w:rPr>
                    <w:t>场区西侧</w:t>
                  </w:r>
                </w:p>
              </w:tc>
              <w:tc>
                <w:tcPr>
                  <w:tcW w:w="928" w:type="dxa"/>
                  <w:tcBorders>
                    <w:tl2br w:val="nil"/>
                    <w:tr2bl w:val="nil"/>
                  </w:tcBorders>
                  <w:noWrap w:val="0"/>
                  <w:vAlign w:val="center"/>
                </w:tcPr>
                <w:p w14:paraId="2F5ED26F">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68</w:t>
                  </w:r>
                  <w:r>
                    <w:rPr>
                      <w:rFonts w:hint="eastAsia" w:ascii="Times New Roman" w:hAnsi="Times New Roman" w:eastAsia="宋体" w:cs="Times New Roman"/>
                      <w:color w:val="auto"/>
                      <w:sz w:val="21"/>
                      <w:szCs w:val="21"/>
                      <w:highlight w:val="none"/>
                      <w:lang w:val="en-US" w:eastAsia="zh-CN"/>
                    </w:rPr>
                    <w:t xml:space="preserve"> </w:t>
                  </w:r>
                </w:p>
              </w:tc>
              <w:tc>
                <w:tcPr>
                  <w:tcW w:w="835" w:type="dxa"/>
                  <w:tcBorders>
                    <w:tl2br w:val="nil"/>
                    <w:tr2bl w:val="nil"/>
                  </w:tcBorders>
                  <w:noWrap w:val="0"/>
                  <w:vAlign w:val="center"/>
                </w:tcPr>
                <w:p w14:paraId="385EE38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1078" w:type="dxa"/>
                  <w:tcBorders>
                    <w:tl2br w:val="nil"/>
                    <w:tr2bl w:val="nil"/>
                  </w:tcBorders>
                  <w:noWrap w:val="0"/>
                  <w:vAlign w:val="center"/>
                </w:tcPr>
                <w:p w14:paraId="10DE620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TSP</w:t>
                  </w:r>
                </w:p>
              </w:tc>
              <w:tc>
                <w:tcPr>
                  <w:tcW w:w="1790" w:type="dxa"/>
                  <w:tcBorders>
                    <w:tl2br w:val="nil"/>
                    <w:tr2bl w:val="nil"/>
                  </w:tcBorders>
                  <w:noWrap w:val="0"/>
                  <w:vAlign w:val="center"/>
                </w:tcPr>
                <w:p w14:paraId="7123719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color w:val="auto"/>
                      <w:highlight w:val="none"/>
                      <w:lang w:val="en-US" w:eastAsia="zh-CN"/>
                    </w:rPr>
                    <w:t>2026年7月21日-2026年7月23日</w:t>
                  </w:r>
                </w:p>
              </w:tc>
              <w:tc>
                <w:tcPr>
                  <w:tcW w:w="963" w:type="dxa"/>
                  <w:tcBorders>
                    <w:tl2br w:val="nil"/>
                    <w:tr2bl w:val="nil"/>
                  </w:tcBorders>
                  <w:noWrap w:val="0"/>
                  <w:vAlign w:val="center"/>
                </w:tcPr>
                <w:p w14:paraId="112D040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w:t>
                  </w:r>
                </w:p>
              </w:tc>
              <w:tc>
                <w:tcPr>
                  <w:tcW w:w="1128" w:type="dxa"/>
                  <w:tcBorders>
                    <w:tl2br w:val="nil"/>
                    <w:tr2bl w:val="nil"/>
                  </w:tcBorders>
                  <w:noWrap w:val="0"/>
                  <w:vAlign w:val="center"/>
                </w:tcPr>
                <w:p w14:paraId="14D004B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65</w:t>
                  </w:r>
                </w:p>
              </w:tc>
            </w:tr>
            <w:tr w14:paraId="6BF043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8107" w:type="dxa"/>
                  <w:gridSpan w:val="7"/>
                  <w:tcBorders>
                    <w:tl2br w:val="nil"/>
                    <w:tr2bl w:val="nil"/>
                  </w:tcBorders>
                  <w:noWrap w:val="0"/>
                  <w:vAlign w:val="center"/>
                </w:tcPr>
                <w:p w14:paraId="14A0F45D">
                  <w:pPr>
                    <w:pStyle w:val="35"/>
                    <w:keepNext w:val="0"/>
                    <w:keepLines w:val="0"/>
                    <w:pageBreakBefore w:val="0"/>
                    <w:widowControl w:val="0"/>
                    <w:kinsoku/>
                    <w:wordWrap/>
                    <w:overflowPunct/>
                    <w:topLinePunct w:val="0"/>
                    <w:autoSpaceDE/>
                    <w:autoSpaceDN/>
                    <w:bidi w:val="0"/>
                    <w:adjustRightInd/>
                    <w:snapToGrid/>
                    <w:spacing w:before="0" w:after="0"/>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备注：厂区西南角为原点</w:t>
                  </w:r>
                  <w:r>
                    <w:rPr>
                      <w:rFonts w:hint="default" w:ascii="Times New Roman" w:hAnsi="Times New Roman" w:eastAsia="宋体" w:cs="Times New Roman"/>
                      <w:color w:val="auto"/>
                      <w:sz w:val="21"/>
                      <w:szCs w:val="21"/>
                      <w:highlight w:val="none"/>
                      <w:lang w:val="en-US" w:eastAsia="zh-CN"/>
                    </w:rPr>
                    <w:t>（0</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0）</w:t>
                  </w:r>
                </w:p>
              </w:tc>
            </w:tr>
          </w:tbl>
          <w:p w14:paraId="3EC27CD2">
            <w:pPr>
              <w:bidi w:val="0"/>
              <w:rPr>
                <w:rFonts w:hint="default"/>
                <w:color w:val="auto"/>
                <w:highlight w:val="none"/>
                <w:lang w:val="en-US" w:eastAsia="zh-CN"/>
              </w:rPr>
            </w:pPr>
            <w:r>
              <w:rPr>
                <w:rFonts w:hint="eastAsia"/>
                <w:color w:val="auto"/>
                <w:highlight w:val="none"/>
                <w:lang w:val="en-US" w:eastAsia="zh-CN"/>
              </w:rPr>
              <w:t>其他污染物环境质量现状监测结果见下表。</w:t>
            </w:r>
          </w:p>
          <w:p w14:paraId="64CB4DD2">
            <w:pPr>
              <w:keepNext w:val="0"/>
              <w:keepLines w:val="0"/>
              <w:pageBreakBefore w:val="0"/>
              <w:widowControl w:val="0"/>
              <w:numPr>
                <w:ilvl w:val="0"/>
                <w:numId w:val="21"/>
              </w:numPr>
              <w:kinsoku/>
              <w:wordWrap/>
              <w:overflowPunct/>
              <w:topLinePunct w:val="0"/>
              <w:autoSpaceDE w:val="0"/>
              <w:autoSpaceDN w:val="0"/>
              <w:bidi w:val="0"/>
              <w:adjustRightInd w:val="0"/>
              <w:snapToGrid w:val="0"/>
              <w:spacing w:line="480" w:lineRule="exact"/>
              <w:ind w:left="0" w:leftChars="0" w:firstLine="0" w:firstLineChars="0"/>
              <w:jc w:val="center"/>
              <w:textAlignment w:val="auto"/>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pPr>
            <w:r>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t>其他污染物环境质量现状</w:t>
            </w:r>
            <w:r>
              <w:rPr>
                <w:rFonts w:hint="eastAsia" w:ascii="Times New Roman" w:hAnsi="Times New Roman" w:eastAsia="宋体" w:cs="Times New Roman"/>
                <w:b/>
                <w:color w:val="auto"/>
                <w:spacing w:val="0"/>
                <w:kern w:val="0"/>
                <w:position w:val="0"/>
                <w:sz w:val="21"/>
                <w:szCs w:val="21"/>
                <w:highlight w:val="none"/>
                <w:shd w:val="clear" w:color="auto" w:fill="auto"/>
                <w:lang w:val="en-US" w:eastAsia="zh-CN"/>
              </w:rPr>
              <w:t>检测</w:t>
            </w:r>
            <w:r>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t>结果</w:t>
            </w:r>
            <w:r>
              <w:rPr>
                <w:rFonts w:hint="eastAsia" w:ascii="Times New Roman" w:hAnsi="Times New Roman" w:cs="Times New Roman"/>
                <w:b/>
                <w:color w:val="auto"/>
                <w:spacing w:val="0"/>
                <w:kern w:val="0"/>
                <w:position w:val="0"/>
                <w:sz w:val="21"/>
                <w:szCs w:val="21"/>
                <w:highlight w:val="none"/>
                <w:shd w:val="clear" w:color="auto" w:fill="auto"/>
                <w:lang w:val="en-US" w:eastAsia="zh-CN"/>
              </w:rPr>
              <w:t>一览</w:t>
            </w:r>
            <w:r>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t>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178"/>
              <w:gridCol w:w="898"/>
              <w:gridCol w:w="1147"/>
              <w:gridCol w:w="1217"/>
              <w:gridCol w:w="1107"/>
              <w:gridCol w:w="1057"/>
              <w:gridCol w:w="793"/>
              <w:gridCol w:w="710"/>
            </w:tblGrid>
            <w:tr w14:paraId="7A6683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178" w:type="dxa"/>
                  <w:vMerge w:val="restart"/>
                  <w:noWrap w:val="0"/>
                  <w:vAlign w:val="center"/>
                </w:tcPr>
                <w:p w14:paraId="38F9E448">
                  <w:pPr>
                    <w:pStyle w:val="35"/>
                    <w:bidi w:val="0"/>
                    <w:rPr>
                      <w:rFonts w:hint="default"/>
                      <w:color w:val="auto"/>
                      <w:highlight w:val="none"/>
                      <w:lang w:val="en-US" w:eastAsia="zh-CN"/>
                    </w:rPr>
                  </w:pPr>
                  <w:r>
                    <w:rPr>
                      <w:rFonts w:hint="eastAsia"/>
                      <w:color w:val="auto"/>
                      <w:highlight w:val="none"/>
                      <w:lang w:val="en-US" w:eastAsia="zh-CN"/>
                    </w:rPr>
                    <w:t>检测</w:t>
                  </w:r>
                  <w:r>
                    <w:rPr>
                      <w:rFonts w:hint="default"/>
                      <w:color w:val="auto"/>
                      <w:highlight w:val="none"/>
                      <w:lang w:val="en-US" w:eastAsia="zh-CN"/>
                    </w:rPr>
                    <w:t>点位</w:t>
                  </w:r>
                </w:p>
              </w:tc>
              <w:tc>
                <w:tcPr>
                  <w:tcW w:w="898" w:type="dxa"/>
                  <w:vMerge w:val="restart"/>
                  <w:noWrap w:val="0"/>
                  <w:vAlign w:val="center"/>
                </w:tcPr>
                <w:p w14:paraId="31C38817">
                  <w:pPr>
                    <w:pStyle w:val="35"/>
                    <w:bidi w:val="0"/>
                    <w:rPr>
                      <w:rFonts w:hint="default"/>
                      <w:color w:val="auto"/>
                      <w:highlight w:val="none"/>
                      <w:lang w:val="en-US" w:eastAsia="zh-CN"/>
                    </w:rPr>
                  </w:pPr>
                  <w:r>
                    <w:rPr>
                      <w:rFonts w:hint="default"/>
                      <w:color w:val="auto"/>
                      <w:highlight w:val="none"/>
                      <w:lang w:val="en-US" w:eastAsia="zh-CN"/>
                    </w:rPr>
                    <w:t>污染物</w:t>
                  </w:r>
                </w:p>
              </w:tc>
              <w:tc>
                <w:tcPr>
                  <w:tcW w:w="1147" w:type="dxa"/>
                  <w:vMerge w:val="restart"/>
                  <w:noWrap w:val="0"/>
                  <w:vAlign w:val="center"/>
                </w:tcPr>
                <w:p w14:paraId="27268136">
                  <w:pPr>
                    <w:pStyle w:val="35"/>
                    <w:bidi w:val="0"/>
                    <w:rPr>
                      <w:rFonts w:hint="default"/>
                      <w:color w:val="auto"/>
                      <w:highlight w:val="none"/>
                      <w:lang w:val="en-US" w:eastAsia="zh-CN"/>
                    </w:rPr>
                  </w:pPr>
                  <w:r>
                    <w:rPr>
                      <w:rFonts w:hint="default"/>
                      <w:color w:val="auto"/>
                      <w:highlight w:val="none"/>
                      <w:lang w:val="en-US" w:eastAsia="zh-CN"/>
                    </w:rPr>
                    <w:t>平均时间</w:t>
                  </w:r>
                </w:p>
              </w:tc>
              <w:tc>
                <w:tcPr>
                  <w:tcW w:w="1217" w:type="dxa"/>
                  <w:vMerge w:val="restart"/>
                  <w:noWrap w:val="0"/>
                  <w:vAlign w:val="center"/>
                </w:tcPr>
                <w:p w14:paraId="00AABCC4">
                  <w:pPr>
                    <w:pStyle w:val="35"/>
                    <w:bidi w:val="0"/>
                    <w:rPr>
                      <w:rFonts w:hint="default"/>
                      <w:color w:val="auto"/>
                      <w:highlight w:val="none"/>
                      <w:lang w:val="en-US" w:eastAsia="zh-CN"/>
                    </w:rPr>
                  </w:pPr>
                  <w:r>
                    <w:rPr>
                      <w:rFonts w:hint="default"/>
                      <w:color w:val="auto"/>
                      <w:highlight w:val="none"/>
                      <w:lang w:val="en-US" w:eastAsia="zh-CN"/>
                    </w:rPr>
                    <w:t>评价标准（μg/m</w:t>
                  </w:r>
                  <w:r>
                    <w:rPr>
                      <w:rFonts w:hint="default"/>
                      <w:color w:val="auto"/>
                      <w:highlight w:val="none"/>
                      <w:vertAlign w:val="superscript"/>
                      <w:lang w:val="en-US" w:eastAsia="zh-CN"/>
                    </w:rPr>
                    <w:t>3</w:t>
                  </w:r>
                  <w:r>
                    <w:rPr>
                      <w:rFonts w:hint="default"/>
                      <w:color w:val="auto"/>
                      <w:highlight w:val="none"/>
                      <w:lang w:val="en-US" w:eastAsia="zh-CN"/>
                    </w:rPr>
                    <w:t>）</w:t>
                  </w:r>
                </w:p>
              </w:tc>
              <w:tc>
                <w:tcPr>
                  <w:tcW w:w="1107" w:type="dxa"/>
                  <w:vMerge w:val="restart"/>
                  <w:noWrap w:val="0"/>
                  <w:vAlign w:val="center"/>
                </w:tcPr>
                <w:p w14:paraId="14905781">
                  <w:pPr>
                    <w:pStyle w:val="35"/>
                    <w:bidi w:val="0"/>
                    <w:rPr>
                      <w:rFonts w:hint="default"/>
                      <w:color w:val="auto"/>
                      <w:highlight w:val="none"/>
                      <w:lang w:val="en-US" w:eastAsia="zh-CN"/>
                    </w:rPr>
                  </w:pPr>
                  <w:r>
                    <w:rPr>
                      <w:rFonts w:hint="eastAsia"/>
                      <w:color w:val="auto"/>
                      <w:highlight w:val="none"/>
                      <w:lang w:val="en-US" w:eastAsia="zh-CN"/>
                    </w:rPr>
                    <w:t>检测</w:t>
                  </w:r>
                  <w:r>
                    <w:rPr>
                      <w:rFonts w:hint="default"/>
                      <w:color w:val="auto"/>
                      <w:highlight w:val="none"/>
                      <w:lang w:val="en-US" w:eastAsia="zh-CN"/>
                    </w:rPr>
                    <w:t>浓度范围（μg/m</w:t>
                  </w:r>
                  <w:r>
                    <w:rPr>
                      <w:rFonts w:hint="default"/>
                      <w:color w:val="auto"/>
                      <w:highlight w:val="none"/>
                      <w:vertAlign w:val="superscript"/>
                      <w:lang w:val="en-US" w:eastAsia="zh-CN"/>
                    </w:rPr>
                    <w:t>3</w:t>
                  </w:r>
                  <w:r>
                    <w:rPr>
                      <w:rFonts w:hint="default"/>
                      <w:color w:val="auto"/>
                      <w:highlight w:val="none"/>
                      <w:lang w:val="en-US" w:eastAsia="zh-CN"/>
                    </w:rPr>
                    <w:t>）</w:t>
                  </w:r>
                </w:p>
              </w:tc>
              <w:tc>
                <w:tcPr>
                  <w:tcW w:w="1057" w:type="dxa"/>
                  <w:vMerge w:val="restart"/>
                  <w:noWrap w:val="0"/>
                  <w:vAlign w:val="center"/>
                </w:tcPr>
                <w:p w14:paraId="39A0830A">
                  <w:pPr>
                    <w:pStyle w:val="35"/>
                    <w:bidi w:val="0"/>
                    <w:rPr>
                      <w:rFonts w:hint="default"/>
                      <w:color w:val="auto"/>
                      <w:highlight w:val="none"/>
                      <w:lang w:val="en-US" w:eastAsia="zh-CN"/>
                    </w:rPr>
                  </w:pPr>
                  <w:r>
                    <w:rPr>
                      <w:rFonts w:hint="default"/>
                      <w:color w:val="auto"/>
                      <w:highlight w:val="none"/>
                      <w:lang w:val="en-US" w:eastAsia="zh-CN"/>
                    </w:rPr>
                    <w:t>最大浓度占标率</w:t>
                  </w:r>
                  <w:r>
                    <w:rPr>
                      <w:rFonts w:hint="eastAsia"/>
                      <w:color w:val="auto"/>
                      <w:highlight w:val="none"/>
                      <w:lang w:val="en-US" w:eastAsia="zh-CN"/>
                    </w:rPr>
                    <w:t>（</w:t>
                  </w:r>
                  <w:r>
                    <w:rPr>
                      <w:rFonts w:hint="default"/>
                      <w:color w:val="auto"/>
                      <w:highlight w:val="none"/>
                      <w:lang w:val="en-US" w:eastAsia="zh-CN"/>
                    </w:rPr>
                    <w:t>%</w:t>
                  </w:r>
                  <w:r>
                    <w:rPr>
                      <w:rFonts w:hint="eastAsia"/>
                      <w:color w:val="auto"/>
                      <w:highlight w:val="none"/>
                      <w:lang w:val="en-US" w:eastAsia="zh-CN"/>
                    </w:rPr>
                    <w:t>）</w:t>
                  </w:r>
                </w:p>
              </w:tc>
              <w:tc>
                <w:tcPr>
                  <w:tcW w:w="793" w:type="dxa"/>
                  <w:vMerge w:val="restart"/>
                  <w:noWrap w:val="0"/>
                  <w:vAlign w:val="center"/>
                </w:tcPr>
                <w:p w14:paraId="6DA7675C">
                  <w:pPr>
                    <w:pStyle w:val="35"/>
                    <w:bidi w:val="0"/>
                    <w:rPr>
                      <w:rFonts w:hint="default"/>
                      <w:color w:val="auto"/>
                      <w:highlight w:val="none"/>
                      <w:lang w:val="en-US" w:eastAsia="zh-CN"/>
                    </w:rPr>
                  </w:pPr>
                  <w:r>
                    <w:rPr>
                      <w:rFonts w:hint="default"/>
                      <w:color w:val="auto"/>
                      <w:highlight w:val="none"/>
                      <w:lang w:val="en-US" w:eastAsia="zh-CN"/>
                    </w:rPr>
                    <w:t>超标率</w:t>
                  </w:r>
                  <w:r>
                    <w:rPr>
                      <w:rFonts w:hint="eastAsia"/>
                      <w:color w:val="auto"/>
                      <w:highlight w:val="none"/>
                      <w:lang w:val="en-US" w:eastAsia="zh-CN"/>
                    </w:rPr>
                    <w:t>（</w:t>
                  </w:r>
                  <w:r>
                    <w:rPr>
                      <w:rFonts w:hint="default"/>
                      <w:color w:val="auto"/>
                      <w:highlight w:val="none"/>
                      <w:lang w:val="en-US" w:eastAsia="zh-CN"/>
                    </w:rPr>
                    <w:t>%</w:t>
                  </w:r>
                  <w:r>
                    <w:rPr>
                      <w:rFonts w:hint="eastAsia"/>
                      <w:color w:val="auto"/>
                      <w:highlight w:val="none"/>
                      <w:lang w:val="en-US" w:eastAsia="zh-CN"/>
                    </w:rPr>
                    <w:t>）</w:t>
                  </w:r>
                </w:p>
              </w:tc>
              <w:tc>
                <w:tcPr>
                  <w:tcW w:w="710" w:type="dxa"/>
                  <w:vMerge w:val="restart"/>
                  <w:noWrap w:val="0"/>
                  <w:vAlign w:val="center"/>
                </w:tcPr>
                <w:p w14:paraId="7EC08CC5">
                  <w:pPr>
                    <w:pStyle w:val="35"/>
                    <w:bidi w:val="0"/>
                    <w:rPr>
                      <w:rFonts w:hint="default"/>
                      <w:color w:val="auto"/>
                      <w:highlight w:val="none"/>
                      <w:lang w:val="en-US" w:eastAsia="zh-CN"/>
                    </w:rPr>
                  </w:pPr>
                  <w:r>
                    <w:rPr>
                      <w:rFonts w:hint="default"/>
                      <w:color w:val="auto"/>
                      <w:highlight w:val="none"/>
                      <w:lang w:val="en-US" w:eastAsia="zh-CN"/>
                    </w:rPr>
                    <w:t>达标情况</w:t>
                  </w:r>
                </w:p>
              </w:tc>
            </w:tr>
            <w:tr w14:paraId="22EFE3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178" w:type="dxa"/>
                  <w:vMerge w:val="continue"/>
                  <w:noWrap w:val="0"/>
                  <w:vAlign w:val="center"/>
                </w:tcPr>
                <w:p w14:paraId="2135EBA7">
                  <w:pPr>
                    <w:pStyle w:val="35"/>
                    <w:bidi w:val="0"/>
                    <w:rPr>
                      <w:rFonts w:hint="default"/>
                      <w:color w:val="auto"/>
                      <w:highlight w:val="none"/>
                    </w:rPr>
                  </w:pPr>
                </w:p>
              </w:tc>
              <w:tc>
                <w:tcPr>
                  <w:tcW w:w="898" w:type="dxa"/>
                  <w:vMerge w:val="continue"/>
                  <w:noWrap w:val="0"/>
                  <w:vAlign w:val="center"/>
                </w:tcPr>
                <w:p w14:paraId="29951BB9">
                  <w:pPr>
                    <w:pStyle w:val="35"/>
                    <w:bidi w:val="0"/>
                    <w:rPr>
                      <w:rFonts w:hint="default"/>
                      <w:color w:val="auto"/>
                      <w:highlight w:val="none"/>
                    </w:rPr>
                  </w:pPr>
                </w:p>
              </w:tc>
              <w:tc>
                <w:tcPr>
                  <w:tcW w:w="1147" w:type="dxa"/>
                  <w:vMerge w:val="continue"/>
                  <w:noWrap w:val="0"/>
                  <w:vAlign w:val="center"/>
                </w:tcPr>
                <w:p w14:paraId="47A70D48">
                  <w:pPr>
                    <w:pStyle w:val="35"/>
                    <w:bidi w:val="0"/>
                    <w:rPr>
                      <w:rFonts w:hint="default"/>
                      <w:color w:val="auto"/>
                      <w:highlight w:val="none"/>
                    </w:rPr>
                  </w:pPr>
                </w:p>
              </w:tc>
              <w:tc>
                <w:tcPr>
                  <w:tcW w:w="1217" w:type="dxa"/>
                  <w:vMerge w:val="continue"/>
                  <w:noWrap w:val="0"/>
                  <w:vAlign w:val="center"/>
                </w:tcPr>
                <w:p w14:paraId="3B42610F">
                  <w:pPr>
                    <w:pStyle w:val="35"/>
                    <w:bidi w:val="0"/>
                    <w:rPr>
                      <w:rFonts w:hint="default"/>
                      <w:color w:val="auto"/>
                      <w:highlight w:val="none"/>
                    </w:rPr>
                  </w:pPr>
                </w:p>
              </w:tc>
              <w:tc>
                <w:tcPr>
                  <w:tcW w:w="1107" w:type="dxa"/>
                  <w:vMerge w:val="continue"/>
                  <w:noWrap w:val="0"/>
                  <w:vAlign w:val="center"/>
                </w:tcPr>
                <w:p w14:paraId="582D0089">
                  <w:pPr>
                    <w:pStyle w:val="35"/>
                    <w:bidi w:val="0"/>
                    <w:rPr>
                      <w:rFonts w:hint="default"/>
                      <w:color w:val="auto"/>
                      <w:highlight w:val="none"/>
                    </w:rPr>
                  </w:pPr>
                </w:p>
              </w:tc>
              <w:tc>
                <w:tcPr>
                  <w:tcW w:w="1057" w:type="dxa"/>
                  <w:vMerge w:val="continue"/>
                  <w:noWrap w:val="0"/>
                  <w:vAlign w:val="center"/>
                </w:tcPr>
                <w:p w14:paraId="71CBF59D">
                  <w:pPr>
                    <w:pStyle w:val="35"/>
                    <w:bidi w:val="0"/>
                    <w:rPr>
                      <w:rFonts w:hint="default"/>
                      <w:color w:val="auto"/>
                      <w:highlight w:val="none"/>
                    </w:rPr>
                  </w:pPr>
                </w:p>
              </w:tc>
              <w:tc>
                <w:tcPr>
                  <w:tcW w:w="793" w:type="dxa"/>
                  <w:vMerge w:val="continue"/>
                  <w:noWrap w:val="0"/>
                  <w:vAlign w:val="center"/>
                </w:tcPr>
                <w:p w14:paraId="2D86A210">
                  <w:pPr>
                    <w:pStyle w:val="35"/>
                    <w:bidi w:val="0"/>
                    <w:rPr>
                      <w:rFonts w:hint="default"/>
                      <w:color w:val="auto"/>
                      <w:highlight w:val="none"/>
                    </w:rPr>
                  </w:pPr>
                </w:p>
              </w:tc>
              <w:tc>
                <w:tcPr>
                  <w:tcW w:w="710" w:type="dxa"/>
                  <w:vMerge w:val="continue"/>
                  <w:noWrap w:val="0"/>
                  <w:vAlign w:val="center"/>
                </w:tcPr>
                <w:p w14:paraId="1BFA0B7F">
                  <w:pPr>
                    <w:pStyle w:val="35"/>
                    <w:bidi w:val="0"/>
                    <w:rPr>
                      <w:rFonts w:hint="default"/>
                      <w:color w:val="auto"/>
                      <w:highlight w:val="none"/>
                    </w:rPr>
                  </w:pPr>
                </w:p>
              </w:tc>
            </w:tr>
            <w:tr w14:paraId="4A85D4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09" w:hRule="atLeast"/>
                <w:jc w:val="center"/>
              </w:trPr>
              <w:tc>
                <w:tcPr>
                  <w:tcW w:w="1178" w:type="dxa"/>
                  <w:noWrap w:val="0"/>
                  <w:vAlign w:val="center"/>
                </w:tcPr>
                <w:p w14:paraId="5AD4DEDC">
                  <w:pPr>
                    <w:pStyle w:val="35"/>
                    <w:bidi w:val="0"/>
                    <w:rPr>
                      <w:rFonts w:hint="default"/>
                      <w:color w:val="auto"/>
                      <w:highlight w:val="none"/>
                      <w:lang w:val="en-US" w:eastAsia="zh-CN"/>
                    </w:rPr>
                  </w:pPr>
                  <w:r>
                    <w:rPr>
                      <w:rFonts w:hint="eastAsia"/>
                      <w:color w:val="auto"/>
                      <w:highlight w:val="none"/>
                      <w:lang w:val="en-US" w:eastAsia="zh-CN"/>
                    </w:rPr>
                    <w:t>场区西侧</w:t>
                  </w:r>
                </w:p>
              </w:tc>
              <w:tc>
                <w:tcPr>
                  <w:tcW w:w="898" w:type="dxa"/>
                  <w:noWrap w:val="0"/>
                  <w:vAlign w:val="center"/>
                </w:tcPr>
                <w:p w14:paraId="3FD2FFE5">
                  <w:pPr>
                    <w:pStyle w:val="35"/>
                    <w:bidi w:val="0"/>
                    <w:rPr>
                      <w:rFonts w:hint="default"/>
                      <w:color w:val="auto"/>
                      <w:highlight w:val="none"/>
                      <w:lang w:val="en-US" w:eastAsia="zh-CN"/>
                    </w:rPr>
                  </w:pPr>
                  <w:r>
                    <w:rPr>
                      <w:rFonts w:hint="eastAsia"/>
                      <w:color w:val="auto"/>
                      <w:highlight w:val="none"/>
                      <w:lang w:val="en-US" w:eastAsia="zh-CN"/>
                    </w:rPr>
                    <w:t>TSP</w:t>
                  </w:r>
                </w:p>
              </w:tc>
              <w:tc>
                <w:tcPr>
                  <w:tcW w:w="1147" w:type="dxa"/>
                  <w:noWrap w:val="0"/>
                  <w:vAlign w:val="center"/>
                </w:tcPr>
                <w:p w14:paraId="2E433328">
                  <w:pPr>
                    <w:pStyle w:val="35"/>
                    <w:bidi w:val="0"/>
                    <w:rPr>
                      <w:rFonts w:hint="default"/>
                      <w:color w:val="auto"/>
                      <w:highlight w:val="none"/>
                      <w:lang w:val="en-US" w:eastAsia="zh-CN"/>
                    </w:rPr>
                  </w:pPr>
                  <w:r>
                    <w:rPr>
                      <w:rFonts w:hint="eastAsia"/>
                      <w:color w:val="auto"/>
                      <w:highlight w:val="none"/>
                      <w:lang w:val="en-US" w:eastAsia="zh-CN"/>
                    </w:rPr>
                    <w:t>24小时平均</w:t>
                  </w:r>
                </w:p>
              </w:tc>
              <w:tc>
                <w:tcPr>
                  <w:tcW w:w="1217" w:type="dxa"/>
                  <w:noWrap w:val="0"/>
                  <w:vAlign w:val="center"/>
                </w:tcPr>
                <w:p w14:paraId="6063FA49">
                  <w:pPr>
                    <w:pStyle w:val="35"/>
                    <w:bidi w:val="0"/>
                    <w:rPr>
                      <w:rFonts w:hint="default"/>
                      <w:color w:val="auto"/>
                      <w:highlight w:val="none"/>
                      <w:lang w:val="en-US" w:eastAsia="zh-CN"/>
                    </w:rPr>
                  </w:pPr>
                  <w:r>
                    <w:rPr>
                      <w:rFonts w:hint="eastAsia"/>
                      <w:color w:val="auto"/>
                      <w:highlight w:val="none"/>
                      <w:lang w:val="en-US" w:eastAsia="zh-CN"/>
                    </w:rPr>
                    <w:t>300</w:t>
                  </w:r>
                </w:p>
              </w:tc>
              <w:tc>
                <w:tcPr>
                  <w:tcW w:w="1107" w:type="dxa"/>
                  <w:noWrap w:val="0"/>
                  <w:vAlign w:val="center"/>
                </w:tcPr>
                <w:p w14:paraId="04780404">
                  <w:pPr>
                    <w:pStyle w:val="35"/>
                    <w:bidi w:val="0"/>
                    <w:rPr>
                      <w:rFonts w:hint="default"/>
                      <w:color w:val="auto"/>
                      <w:highlight w:val="none"/>
                      <w:lang w:val="en-US" w:eastAsia="zh-CN"/>
                    </w:rPr>
                  </w:pPr>
                  <w:r>
                    <w:rPr>
                      <w:rFonts w:hint="eastAsia"/>
                      <w:color w:val="auto"/>
                      <w:highlight w:val="none"/>
                      <w:lang w:val="en-US" w:eastAsia="zh-CN"/>
                    </w:rPr>
                    <w:t>94～103</w:t>
                  </w:r>
                </w:p>
              </w:tc>
              <w:tc>
                <w:tcPr>
                  <w:tcW w:w="1057" w:type="dxa"/>
                  <w:noWrap w:val="0"/>
                  <w:vAlign w:val="center"/>
                </w:tcPr>
                <w:p w14:paraId="04E10A17">
                  <w:pPr>
                    <w:pStyle w:val="35"/>
                    <w:bidi w:val="0"/>
                    <w:rPr>
                      <w:rFonts w:hint="default"/>
                      <w:color w:val="auto"/>
                      <w:highlight w:val="none"/>
                      <w:lang w:val="en-US" w:eastAsia="zh-CN"/>
                    </w:rPr>
                  </w:pPr>
                  <w:r>
                    <w:rPr>
                      <w:rFonts w:hint="eastAsia"/>
                      <w:color w:val="auto"/>
                      <w:highlight w:val="none"/>
                      <w:lang w:val="en-US" w:eastAsia="zh-CN"/>
                    </w:rPr>
                    <w:t>34.3</w:t>
                  </w:r>
                </w:p>
              </w:tc>
              <w:tc>
                <w:tcPr>
                  <w:tcW w:w="793" w:type="dxa"/>
                  <w:noWrap w:val="0"/>
                  <w:vAlign w:val="center"/>
                </w:tcPr>
                <w:p w14:paraId="7065E517">
                  <w:pPr>
                    <w:pStyle w:val="35"/>
                    <w:bidi w:val="0"/>
                    <w:rPr>
                      <w:rFonts w:hint="default"/>
                      <w:color w:val="auto"/>
                      <w:highlight w:val="none"/>
                      <w:lang w:val="en-US" w:eastAsia="zh-CN"/>
                    </w:rPr>
                  </w:pPr>
                  <w:r>
                    <w:rPr>
                      <w:rFonts w:hint="eastAsia"/>
                      <w:color w:val="auto"/>
                      <w:highlight w:val="none"/>
                      <w:lang w:val="en-US" w:eastAsia="zh-CN"/>
                    </w:rPr>
                    <w:t>0</w:t>
                  </w:r>
                </w:p>
              </w:tc>
              <w:tc>
                <w:tcPr>
                  <w:tcW w:w="710" w:type="dxa"/>
                  <w:noWrap w:val="0"/>
                  <w:vAlign w:val="center"/>
                </w:tcPr>
                <w:p w14:paraId="284CC975">
                  <w:pPr>
                    <w:pStyle w:val="35"/>
                    <w:bidi w:val="0"/>
                    <w:rPr>
                      <w:rFonts w:hint="default"/>
                      <w:color w:val="auto"/>
                      <w:highlight w:val="none"/>
                      <w:lang w:val="en-US" w:eastAsia="zh-CN"/>
                    </w:rPr>
                  </w:pPr>
                  <w:r>
                    <w:rPr>
                      <w:rFonts w:hint="eastAsia"/>
                      <w:color w:val="auto"/>
                      <w:highlight w:val="none"/>
                      <w:lang w:val="en-US" w:eastAsia="zh-CN"/>
                    </w:rPr>
                    <w:t>达标</w:t>
                  </w:r>
                </w:p>
              </w:tc>
            </w:tr>
          </w:tbl>
          <w:p w14:paraId="73CA422A">
            <w:pPr>
              <w:bidi w:val="0"/>
              <w:rPr>
                <w:rFonts w:hint="eastAsia"/>
                <w:color w:val="auto"/>
                <w:highlight w:val="none"/>
                <w:lang w:eastAsia="zh-CN"/>
              </w:rPr>
            </w:pPr>
            <w:r>
              <w:rPr>
                <w:rFonts w:hint="default"/>
                <w:color w:val="auto"/>
                <w:highlight w:val="none"/>
              </w:rPr>
              <w:t>由上表</w:t>
            </w:r>
            <w:r>
              <w:rPr>
                <w:rFonts w:hint="eastAsia"/>
                <w:color w:val="auto"/>
                <w:highlight w:val="none"/>
                <w:lang w:val="en-US" w:eastAsia="zh-CN"/>
              </w:rPr>
              <w:t>可知</w:t>
            </w:r>
            <w:r>
              <w:rPr>
                <w:rFonts w:hint="default"/>
                <w:color w:val="auto"/>
                <w:highlight w:val="none"/>
              </w:rPr>
              <w:t>，其他污染物TSP</w:t>
            </w:r>
            <w:r>
              <w:rPr>
                <w:rFonts w:hint="eastAsia"/>
                <w:color w:val="auto"/>
                <w:highlight w:val="none"/>
              </w:rPr>
              <w:t xml:space="preserve"> </w:t>
            </w:r>
            <w:r>
              <w:rPr>
                <w:rFonts w:hint="default"/>
                <w:color w:val="auto"/>
                <w:highlight w:val="none"/>
              </w:rPr>
              <w:t>24小时</w:t>
            </w:r>
            <w:r>
              <w:rPr>
                <w:rFonts w:hint="eastAsia"/>
                <w:color w:val="auto"/>
                <w:highlight w:val="none"/>
                <w:lang w:val="en-US" w:eastAsia="zh-CN"/>
              </w:rPr>
              <w:t>平均</w:t>
            </w:r>
            <w:r>
              <w:rPr>
                <w:rFonts w:hint="default"/>
                <w:color w:val="auto"/>
                <w:highlight w:val="none"/>
              </w:rPr>
              <w:t>浓度满足</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中二级标准</w:t>
            </w:r>
            <w:r>
              <w:rPr>
                <w:rFonts w:hint="eastAsia"/>
                <w:color w:val="auto"/>
                <w:highlight w:val="none"/>
                <w:lang w:val="en-US" w:eastAsia="zh-CN"/>
              </w:rPr>
              <w:t>的要求</w:t>
            </w:r>
            <w:r>
              <w:rPr>
                <w:rFonts w:hint="eastAsia"/>
                <w:color w:val="auto"/>
                <w:highlight w:val="none"/>
                <w:lang w:eastAsia="zh-CN"/>
              </w:rPr>
              <w:t>。</w:t>
            </w:r>
          </w:p>
          <w:p w14:paraId="785C8D53">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b/>
                <w:bCs/>
                <w:color w:val="auto"/>
                <w:highlight w:val="none"/>
              </w:rPr>
            </w:pPr>
            <w:r>
              <w:rPr>
                <w:rFonts w:hint="eastAsia"/>
                <w:b/>
                <w:bCs/>
                <w:color w:val="auto"/>
                <w:highlight w:val="none"/>
                <w:lang w:val="en-US" w:eastAsia="zh-CN"/>
              </w:rPr>
              <w:t>2.</w:t>
            </w:r>
            <w:r>
              <w:rPr>
                <w:rFonts w:hint="default"/>
                <w:b/>
                <w:bCs/>
                <w:color w:val="auto"/>
                <w:highlight w:val="none"/>
              </w:rPr>
              <w:t>声环境</w:t>
            </w:r>
          </w:p>
          <w:p w14:paraId="343CA127">
            <w:pPr>
              <w:bidi w:val="0"/>
              <w:rPr>
                <w:b/>
                <w:bCs/>
                <w:color w:val="auto"/>
                <w:highlight w:val="none"/>
              </w:rPr>
            </w:pPr>
            <w:r>
              <w:rPr>
                <w:rFonts w:hint="default"/>
                <w:color w:val="auto"/>
                <w:highlight w:val="none"/>
                <w:lang w:val="en-US" w:eastAsia="zh-CN"/>
              </w:rPr>
              <w:t>本项目</w:t>
            </w:r>
            <w:r>
              <w:rPr>
                <w:rFonts w:hint="eastAsia"/>
                <w:color w:val="auto"/>
                <w:highlight w:val="none"/>
                <w:lang w:val="en-US" w:eastAsia="zh-CN"/>
              </w:rPr>
              <w:t>场界外50米范围内无声环境保护目标，无需进行声环境质量现状监测</w:t>
            </w:r>
            <w:r>
              <w:rPr>
                <w:rFonts w:hint="default"/>
                <w:color w:val="auto"/>
                <w:highlight w:val="none"/>
                <w:lang w:val="en-US" w:eastAsia="zh-CN"/>
              </w:rPr>
              <w:t>。</w:t>
            </w:r>
          </w:p>
          <w:p w14:paraId="61E72DB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宋体"/>
                <w:b/>
                <w:bCs/>
                <w:color w:val="auto"/>
                <w:highlight w:val="none"/>
                <w:lang w:val="en-US" w:eastAsia="zh-CN"/>
              </w:rPr>
            </w:pPr>
            <w:r>
              <w:rPr>
                <w:b/>
                <w:bCs/>
                <w:color w:val="auto"/>
                <w:highlight w:val="none"/>
              </w:rPr>
              <w:t>3</w:t>
            </w:r>
            <w:r>
              <w:rPr>
                <w:rFonts w:hint="eastAsia"/>
                <w:b/>
                <w:bCs/>
                <w:color w:val="auto"/>
                <w:highlight w:val="none"/>
                <w:lang w:eastAsia="zh-CN"/>
              </w:rPr>
              <w:t>.</w:t>
            </w:r>
            <w:r>
              <w:rPr>
                <w:b/>
                <w:bCs/>
                <w:color w:val="auto"/>
                <w:highlight w:val="none"/>
              </w:rPr>
              <w:t>地表水</w:t>
            </w:r>
            <w:r>
              <w:rPr>
                <w:rFonts w:hint="eastAsia"/>
                <w:b/>
                <w:bCs/>
                <w:color w:val="auto"/>
                <w:highlight w:val="none"/>
                <w:lang w:val="en-US" w:eastAsia="zh-CN"/>
              </w:rPr>
              <w:t>环境</w:t>
            </w:r>
          </w:p>
          <w:p w14:paraId="0AC2E75E">
            <w:pPr>
              <w:bidi w:val="0"/>
              <w:rPr>
                <w:rFonts w:hint="eastAsia"/>
                <w:color w:val="auto"/>
                <w:highlight w:val="none"/>
                <w:lang w:val="en-US" w:eastAsia="zh-CN"/>
              </w:rPr>
            </w:pPr>
            <w:r>
              <w:rPr>
                <w:rFonts w:hint="eastAsia"/>
                <w:color w:val="auto"/>
                <w:highlight w:val="none"/>
                <w:lang w:val="en-US" w:eastAsia="zh-CN"/>
              </w:rPr>
              <w:t>本项目废水主要为洗车废水、生活污水，洗车废水沉淀后循环使用，生活污水泼洒抑尘，无废水外排；项目堆填（砌）区场地及周边雨水经截洪沟和雨水明渠收集后引入沉砂池沉淀，沉淀后排入周边沟渠；地下水导排系统收集的坑体和场底渗出的少量地下水引至淋溶水沉淀池，堆填（砌）区淋溶水经集水管收集后进入集液井，随后经泵抽至沉淀池处理后，分批次回用作区域抑尘用水，不外排。不会对地表水环境造成影响。</w:t>
            </w:r>
          </w:p>
          <w:p w14:paraId="1DEEDD4D">
            <w:pPr>
              <w:bidi w:val="0"/>
              <w:rPr>
                <w:rFonts w:hint="default" w:ascii="Times New Roman" w:hAnsi="Times New Roman" w:cs="Times New Roman"/>
                <w:color w:val="auto"/>
                <w:highlight w:val="none"/>
                <w:lang w:val="en-US" w:eastAsia="zh-CN"/>
              </w:rPr>
            </w:pPr>
            <w:r>
              <w:rPr>
                <w:rFonts w:hint="default"/>
                <w:color w:val="auto"/>
                <w:highlight w:val="none"/>
                <w:lang w:val="en-US" w:eastAsia="zh-CN"/>
              </w:rPr>
              <w:t>根据《</w:t>
            </w:r>
            <w:r>
              <w:rPr>
                <w:rFonts w:hint="eastAsia"/>
                <w:color w:val="auto"/>
                <w:highlight w:val="none"/>
                <w:lang w:val="en-US" w:eastAsia="zh-CN"/>
              </w:rPr>
              <w:t>2025年唐山市生态环境质量报告</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年全市共有地表水国、省考监测断面14个，</w:t>
            </w:r>
            <w:r>
              <w:rPr>
                <w:rFonts w:hint="eastAsia"/>
                <w:color w:val="auto"/>
                <w:highlight w:val="none"/>
                <w:lang w:val="en-US" w:eastAsia="zh-CN"/>
              </w:rPr>
              <w:t>其中国考监测断面12个，省考监测断面2个，分别</w:t>
            </w:r>
            <w:r>
              <w:rPr>
                <w:rFonts w:hint="default"/>
                <w:color w:val="auto"/>
                <w:highlight w:val="none"/>
                <w:lang w:val="en-US" w:eastAsia="zh-CN"/>
              </w:rPr>
              <w:t>布于</w:t>
            </w:r>
            <w:r>
              <w:rPr>
                <w:rFonts w:hint="eastAsia"/>
                <w:color w:val="auto"/>
                <w:highlight w:val="none"/>
                <w:lang w:val="en-US" w:eastAsia="zh-CN"/>
              </w:rPr>
              <w:t>滦河4个、还乡河2个、陡河2个、青龙河1个、蓟运河1个、煤河1个、淋河1个、黎河1个、沙河1个</w:t>
            </w:r>
            <w:r>
              <w:rPr>
                <w:rFonts w:hint="default"/>
                <w:color w:val="auto"/>
                <w:highlight w:val="none"/>
                <w:lang w:val="en-US" w:eastAsia="zh-CN"/>
              </w:rPr>
              <w:t>，202</w:t>
            </w:r>
            <w:r>
              <w:rPr>
                <w:rFonts w:hint="eastAsia"/>
                <w:color w:val="auto"/>
                <w:highlight w:val="none"/>
                <w:lang w:val="en-US" w:eastAsia="zh-CN"/>
              </w:rPr>
              <w:t>5</w:t>
            </w:r>
            <w:r>
              <w:rPr>
                <w:rFonts w:hint="default"/>
                <w:color w:val="auto"/>
                <w:highlight w:val="none"/>
                <w:lang w:val="en-US" w:eastAsia="zh-CN"/>
              </w:rPr>
              <w:t>年</w:t>
            </w:r>
            <w:r>
              <w:rPr>
                <w:rFonts w:hint="eastAsia"/>
                <w:color w:val="auto"/>
                <w:highlight w:val="none"/>
                <w:lang w:val="en-US" w:eastAsia="zh-CN"/>
              </w:rPr>
              <w:t>全市国、省考核9条河流、2个湖库的14个断面优良（</w:t>
            </w:r>
            <w:r>
              <w:rPr>
                <w:rFonts w:hint="default"/>
                <w:color w:val="auto"/>
                <w:highlight w:val="none"/>
                <w:lang w:val="en-US" w:eastAsia="zh-CN"/>
              </w:rPr>
              <w:t>Ⅰ～Ⅲ</w:t>
            </w:r>
            <w:r>
              <w:rPr>
                <w:rFonts w:hint="eastAsia"/>
                <w:color w:val="auto"/>
                <w:highlight w:val="none"/>
                <w:lang w:val="en-US" w:eastAsia="zh-CN"/>
              </w:rPr>
              <w:t>）</w:t>
            </w:r>
            <w:r>
              <w:rPr>
                <w:rFonts w:hint="default"/>
                <w:color w:val="auto"/>
                <w:highlight w:val="none"/>
                <w:lang w:val="en-US" w:eastAsia="zh-CN"/>
              </w:rPr>
              <w:t>比例为</w:t>
            </w:r>
            <w:r>
              <w:rPr>
                <w:rFonts w:hint="eastAsia"/>
                <w:color w:val="auto"/>
                <w:highlight w:val="none"/>
                <w:lang w:val="en-US" w:eastAsia="zh-CN"/>
              </w:rPr>
              <w:t>92.86</w:t>
            </w:r>
            <w:r>
              <w:rPr>
                <w:rFonts w:hint="default"/>
                <w:color w:val="auto"/>
                <w:highlight w:val="none"/>
                <w:lang w:val="en-US" w:eastAsia="zh-CN"/>
              </w:rPr>
              <w:t>%</w:t>
            </w:r>
            <w:r>
              <w:rPr>
                <w:rFonts w:hint="default" w:ascii="Times New Roman" w:hAnsi="Times New Roman" w:cs="Times New Roman"/>
                <w:color w:val="auto"/>
                <w:highlight w:val="none"/>
                <w:lang w:val="en-US" w:eastAsia="zh-CN"/>
              </w:rPr>
              <w:t>。</w:t>
            </w:r>
          </w:p>
          <w:p w14:paraId="091B8E2B">
            <w:pPr>
              <w:bidi w:val="0"/>
              <w:rPr>
                <w:rFonts w:hint="default"/>
                <w:color w:val="auto"/>
                <w:highlight w:val="none"/>
                <w:lang w:val="en-US" w:eastAsia="zh-CN"/>
              </w:rPr>
            </w:pPr>
            <w:r>
              <w:rPr>
                <w:rFonts w:hint="eastAsia"/>
                <w:color w:val="auto"/>
                <w:highlight w:val="none"/>
                <w:lang w:val="en-US" w:eastAsia="zh-CN"/>
              </w:rPr>
              <w:t>本项目所在区域河流为滦河，根据唐山市生态环境局公开发布的《2025年10月唐山市地表水环境质量状况》，滦河监测断面为滦县大桥、姜各庄，水质类别为</w:t>
            </w:r>
            <w:r>
              <w:rPr>
                <w:rFonts w:hint="default"/>
                <w:color w:val="auto"/>
                <w:highlight w:val="none"/>
                <w:lang w:val="en-US" w:eastAsia="zh-CN"/>
              </w:rPr>
              <w:t>Ⅱ</w:t>
            </w:r>
            <w:r>
              <w:rPr>
                <w:rFonts w:hint="eastAsia"/>
                <w:color w:val="auto"/>
                <w:highlight w:val="none"/>
                <w:lang w:val="en-US" w:eastAsia="zh-CN"/>
              </w:rPr>
              <w:t>类。</w:t>
            </w:r>
          </w:p>
          <w:p w14:paraId="3A5A8EC5">
            <w:pPr>
              <w:keepNext w:val="0"/>
              <w:keepLines w:val="0"/>
              <w:pageBreakBefore w:val="0"/>
              <w:widowControl w:val="0"/>
              <w:numPr>
                <w:ilvl w:val="0"/>
                <w:numId w:val="0"/>
              </w:numPr>
              <w:tabs>
                <w:tab w:val="left" w:pos="312"/>
              </w:tabs>
              <w:kinsoku/>
              <w:wordWrap/>
              <w:overflowPunct/>
              <w:topLinePunct w:val="0"/>
              <w:autoSpaceDE/>
              <w:autoSpaceDN/>
              <w:bidi w:val="0"/>
              <w:adjustRightInd/>
              <w:snapToGrid/>
              <w:textAlignment w:val="auto"/>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4.</w:t>
            </w:r>
            <w:r>
              <w:rPr>
                <w:rFonts w:hint="eastAsia" w:ascii="Times New Roman" w:hAnsi="Times New Roman" w:eastAsia="宋体" w:cs="Times New Roman"/>
                <w:b/>
                <w:bCs/>
                <w:color w:val="auto"/>
                <w:highlight w:val="none"/>
                <w:lang w:val="en-US" w:eastAsia="zh-CN"/>
              </w:rPr>
              <w:t>地下水</w:t>
            </w:r>
          </w:p>
          <w:p w14:paraId="62636D95">
            <w:pPr>
              <w:keepNext w:val="0"/>
              <w:keepLines w:val="0"/>
              <w:pageBreakBefore w:val="0"/>
              <w:widowControl w:val="0"/>
              <w:kinsoku/>
              <w:wordWrap/>
              <w:overflowPunct/>
              <w:topLinePunct w:val="0"/>
              <w:autoSpaceDE/>
              <w:autoSpaceDN/>
              <w:bidi w:val="0"/>
              <w:adjustRightInd/>
              <w:snapToGrid/>
              <w:ind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根据《建设项目环境影响报告表编制技术指南（污染影响类）（试行）》，原则上不开展地下水环境质量现状调查。建设项目存在地下水环境污染途径的，应结合污染源、保护目标分布情况开展现状调查以留作背景值。本项目利用现有</w:t>
            </w:r>
            <w:r>
              <w:rPr>
                <w:rFonts w:hint="eastAsia"/>
                <w:color w:val="auto"/>
                <w:sz w:val="24"/>
                <w:szCs w:val="24"/>
                <w:highlight w:val="none"/>
                <w:lang w:val="en-US" w:eastAsia="zh-CN"/>
              </w:rPr>
              <w:t>废弃低洼坑塘</w:t>
            </w:r>
            <w:r>
              <w:rPr>
                <w:rFonts w:hint="eastAsia"/>
                <w:color w:val="auto"/>
                <w:highlight w:val="none"/>
                <w:lang w:val="en-US" w:eastAsia="zh-CN"/>
              </w:rPr>
              <w:t>堆填建筑垃圾，封场覆盖</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val="en-US" w:eastAsia="zh-CN"/>
              </w:rPr>
              <w:t>，为了解项目所在地地下水水质现状，</w:t>
            </w:r>
            <w:r>
              <w:rPr>
                <w:rFonts w:hint="eastAsia"/>
                <w:color w:val="auto"/>
                <w:highlight w:val="none"/>
                <w:u w:val="none"/>
                <w:lang w:val="en-US" w:eastAsia="zh-CN"/>
              </w:rPr>
              <w:t>迁安市瑞承祥科技有限公司</w:t>
            </w:r>
            <w:r>
              <w:rPr>
                <w:rFonts w:hint="eastAsia"/>
                <w:color w:val="auto"/>
                <w:highlight w:val="none"/>
                <w:lang w:val="en-US" w:eastAsia="zh-CN"/>
              </w:rPr>
              <w:t>委托唐山铭晁环境检测技术有限公司于2026年7月21日对项目</w:t>
            </w:r>
            <w:r>
              <w:rPr>
                <w:rFonts w:hint="eastAsia"/>
                <w:color w:val="auto"/>
                <w:sz w:val="24"/>
                <w:szCs w:val="24"/>
                <w:highlight w:val="none"/>
                <w:shd w:val="clear"/>
                <w:lang w:val="en-US" w:eastAsia="zh-CN"/>
              </w:rPr>
              <w:t>地下水</w:t>
            </w:r>
            <w:r>
              <w:rPr>
                <w:rFonts w:hint="eastAsia"/>
                <w:color w:val="auto"/>
                <w:highlight w:val="none"/>
                <w:lang w:val="en-US" w:eastAsia="zh-CN"/>
              </w:rPr>
              <w:t>环境质量现状进行了监测，并出具了检测报告（报告编号：TSMC/H字（2026）第023号）。</w:t>
            </w:r>
          </w:p>
          <w:p w14:paraId="2FFB7B9D">
            <w:pPr>
              <w:numPr>
                <w:ilvl w:val="0"/>
                <w:numId w:val="22"/>
              </w:numPr>
              <w:bidi w:val="0"/>
              <w:rPr>
                <w:rFonts w:hint="eastAsia"/>
                <w:color w:val="auto"/>
                <w:highlight w:val="none"/>
                <w:lang w:val="en-US" w:eastAsia="zh-CN"/>
              </w:rPr>
            </w:pPr>
            <w:r>
              <w:rPr>
                <w:rFonts w:hint="eastAsia"/>
                <w:color w:val="auto"/>
                <w:highlight w:val="none"/>
                <w:lang w:val="en-US" w:eastAsia="zh-CN"/>
              </w:rPr>
              <w:t>监测点位</w:t>
            </w:r>
          </w:p>
          <w:p w14:paraId="7138508A">
            <w:pPr>
              <w:bidi w:val="0"/>
              <w:rPr>
                <w:rFonts w:hint="default"/>
                <w:color w:val="auto"/>
                <w:highlight w:val="none"/>
                <w:lang w:val="en-US" w:eastAsia="zh-CN"/>
              </w:rPr>
            </w:pPr>
            <w:r>
              <w:rPr>
                <w:rFonts w:hint="eastAsia"/>
                <w:color w:val="auto"/>
                <w:highlight w:val="none"/>
                <w:lang w:val="en-US" w:eastAsia="zh-CN"/>
              </w:rPr>
              <w:t>项目西南侧。</w:t>
            </w:r>
          </w:p>
          <w:p w14:paraId="7EE42B9B">
            <w:pPr>
              <w:numPr>
                <w:ilvl w:val="0"/>
                <w:numId w:val="22"/>
              </w:numPr>
              <w:bidi w:val="0"/>
              <w:ind w:left="0" w:leftChars="0" w:firstLine="480" w:firstLineChars="200"/>
              <w:rPr>
                <w:rFonts w:hint="eastAsia"/>
                <w:color w:val="auto"/>
                <w:highlight w:val="none"/>
                <w:lang w:val="en-US" w:eastAsia="zh-CN"/>
              </w:rPr>
            </w:pPr>
            <w:r>
              <w:rPr>
                <w:rFonts w:hint="eastAsia"/>
                <w:color w:val="auto"/>
                <w:highlight w:val="none"/>
                <w:lang w:val="en-US" w:eastAsia="zh-CN"/>
              </w:rPr>
              <w:t>监测因子</w:t>
            </w:r>
          </w:p>
          <w:p w14:paraId="44F19CDB">
            <w:pPr>
              <w:bidi w:val="0"/>
              <w:rPr>
                <w:rFonts w:hint="default"/>
                <w:color w:val="auto"/>
                <w:highlight w:val="none"/>
                <w:lang w:val="en-US" w:eastAsia="zh-CN"/>
              </w:rPr>
            </w:pPr>
            <w:r>
              <w:rPr>
                <w:rFonts w:hint="eastAsia" w:ascii="Times New Roman" w:hAnsi="Times New Roman" w:cs="Times New Roman"/>
                <w:color w:val="auto"/>
                <w:spacing w:val="0"/>
                <w:kern w:val="2"/>
                <w:sz w:val="24"/>
                <w:szCs w:val="24"/>
                <w:highlight w:val="none"/>
                <w:lang w:val="en-US" w:eastAsia="zh-CN"/>
              </w:rPr>
              <w:t>浑浊度、</w:t>
            </w:r>
            <w:r>
              <w:rPr>
                <w:rFonts w:hint="default" w:ascii="Times New Roman" w:hAnsi="Times New Roman" w:eastAsia="宋体" w:cs="Times New Roman"/>
                <w:color w:val="auto"/>
                <w:spacing w:val="0"/>
                <w:kern w:val="2"/>
                <w:sz w:val="24"/>
                <w:szCs w:val="24"/>
                <w:highlight w:val="none"/>
              </w:rPr>
              <w:t>K</w:t>
            </w:r>
            <w:r>
              <w:rPr>
                <w:rFonts w:hint="default" w:ascii="Times New Roman" w:hAnsi="Times New Roman" w:eastAsia="宋体" w:cs="Times New Roman"/>
                <w:color w:val="auto"/>
                <w:spacing w:val="0"/>
                <w:kern w:val="2"/>
                <w:sz w:val="24"/>
                <w:szCs w:val="24"/>
                <w:highlight w:val="none"/>
                <w:vertAlign w:val="superscript"/>
              </w:rPr>
              <w:t>+</w:t>
            </w:r>
            <w:r>
              <w:rPr>
                <w:rFonts w:hint="default" w:ascii="Times New Roman" w:hAnsi="Times New Roman" w:eastAsia="宋体" w:cs="Times New Roman"/>
                <w:color w:val="auto"/>
                <w:spacing w:val="0"/>
                <w:kern w:val="2"/>
                <w:sz w:val="24"/>
                <w:szCs w:val="24"/>
                <w:highlight w:val="none"/>
              </w:rPr>
              <w:t>、Na</w:t>
            </w:r>
            <w:r>
              <w:rPr>
                <w:rFonts w:hint="default" w:ascii="Times New Roman" w:hAnsi="Times New Roman" w:eastAsia="宋体" w:cs="Times New Roman"/>
                <w:color w:val="auto"/>
                <w:spacing w:val="0"/>
                <w:kern w:val="2"/>
                <w:sz w:val="24"/>
                <w:szCs w:val="24"/>
                <w:highlight w:val="none"/>
                <w:vertAlign w:val="superscript"/>
              </w:rPr>
              <w:t>+</w:t>
            </w:r>
            <w:r>
              <w:rPr>
                <w:rFonts w:hint="default" w:ascii="Times New Roman" w:hAnsi="Times New Roman" w:eastAsia="宋体" w:cs="Times New Roman"/>
                <w:color w:val="auto"/>
                <w:spacing w:val="0"/>
                <w:kern w:val="2"/>
                <w:sz w:val="24"/>
                <w:szCs w:val="24"/>
                <w:highlight w:val="none"/>
              </w:rPr>
              <w:t>、Ca</w:t>
            </w:r>
            <w:r>
              <w:rPr>
                <w:rFonts w:hint="default" w:ascii="Times New Roman" w:hAnsi="Times New Roman" w:eastAsia="宋体" w:cs="Times New Roman"/>
                <w:color w:val="auto"/>
                <w:spacing w:val="0"/>
                <w:kern w:val="2"/>
                <w:sz w:val="24"/>
                <w:szCs w:val="24"/>
                <w:highlight w:val="none"/>
                <w:vertAlign w:val="superscript"/>
              </w:rPr>
              <w:t>2+</w:t>
            </w:r>
            <w:r>
              <w:rPr>
                <w:rFonts w:hint="default" w:ascii="Times New Roman" w:hAnsi="Times New Roman" w:eastAsia="宋体" w:cs="Times New Roman"/>
                <w:color w:val="auto"/>
                <w:spacing w:val="0"/>
                <w:kern w:val="2"/>
                <w:sz w:val="24"/>
                <w:szCs w:val="24"/>
                <w:highlight w:val="none"/>
              </w:rPr>
              <w:t>、Mg</w:t>
            </w:r>
            <w:r>
              <w:rPr>
                <w:rFonts w:hint="default" w:ascii="Times New Roman" w:hAnsi="Times New Roman" w:eastAsia="宋体" w:cs="Times New Roman"/>
                <w:color w:val="auto"/>
                <w:spacing w:val="0"/>
                <w:kern w:val="2"/>
                <w:sz w:val="24"/>
                <w:szCs w:val="24"/>
                <w:highlight w:val="none"/>
                <w:vertAlign w:val="superscript"/>
              </w:rPr>
              <w:t>2+</w:t>
            </w:r>
            <w:r>
              <w:rPr>
                <w:rFonts w:hint="default" w:ascii="Times New Roman" w:hAnsi="Times New Roman" w:eastAsia="宋体" w:cs="Times New Roman"/>
                <w:color w:val="auto"/>
                <w:spacing w:val="0"/>
                <w:kern w:val="2"/>
                <w:sz w:val="24"/>
                <w:szCs w:val="24"/>
                <w:highlight w:val="none"/>
              </w:rPr>
              <w:t>、CO</w:t>
            </w:r>
            <w:r>
              <w:rPr>
                <w:rFonts w:hint="default" w:ascii="Times New Roman" w:hAnsi="Times New Roman" w:eastAsia="宋体" w:cs="Times New Roman"/>
                <w:color w:val="auto"/>
                <w:spacing w:val="0"/>
                <w:kern w:val="2"/>
                <w:sz w:val="24"/>
                <w:szCs w:val="24"/>
                <w:highlight w:val="none"/>
                <w:vertAlign w:val="subscript"/>
              </w:rPr>
              <w:t>3</w:t>
            </w:r>
            <w:r>
              <w:rPr>
                <w:rFonts w:hint="default" w:ascii="Times New Roman" w:hAnsi="Times New Roman" w:eastAsia="宋体" w:cs="Times New Roman"/>
                <w:color w:val="auto"/>
                <w:spacing w:val="0"/>
                <w:kern w:val="2"/>
                <w:sz w:val="24"/>
                <w:szCs w:val="24"/>
                <w:highlight w:val="none"/>
                <w:vertAlign w:val="superscript"/>
              </w:rPr>
              <w:t>2-</w:t>
            </w:r>
            <w:r>
              <w:rPr>
                <w:rFonts w:hint="default" w:ascii="Times New Roman" w:hAnsi="Times New Roman" w:eastAsia="宋体" w:cs="Times New Roman"/>
                <w:color w:val="auto"/>
                <w:spacing w:val="0"/>
                <w:kern w:val="2"/>
                <w:sz w:val="24"/>
                <w:szCs w:val="24"/>
                <w:highlight w:val="none"/>
              </w:rPr>
              <w:t>、HCO</w:t>
            </w:r>
            <w:r>
              <w:rPr>
                <w:rFonts w:hint="default" w:ascii="Times New Roman" w:hAnsi="Times New Roman" w:eastAsia="宋体" w:cs="Times New Roman"/>
                <w:color w:val="auto"/>
                <w:spacing w:val="0"/>
                <w:kern w:val="2"/>
                <w:sz w:val="24"/>
                <w:szCs w:val="24"/>
                <w:highlight w:val="none"/>
                <w:vertAlign w:val="subscript"/>
              </w:rPr>
              <w:t>3</w:t>
            </w:r>
            <w:r>
              <w:rPr>
                <w:rFonts w:hint="default" w:ascii="Times New Roman" w:hAnsi="Times New Roman" w:eastAsia="宋体" w:cs="Times New Roman"/>
                <w:color w:val="auto"/>
                <w:spacing w:val="0"/>
                <w:kern w:val="2"/>
                <w:sz w:val="24"/>
                <w:szCs w:val="24"/>
                <w:highlight w:val="none"/>
                <w:vertAlign w:val="superscript"/>
              </w:rPr>
              <w:t>-</w:t>
            </w:r>
            <w:r>
              <w:rPr>
                <w:rFonts w:hint="default" w:ascii="Times New Roman" w:hAnsi="Times New Roman" w:eastAsia="宋体" w:cs="Times New Roman"/>
                <w:color w:val="auto"/>
                <w:spacing w:val="0"/>
                <w:kern w:val="2"/>
                <w:sz w:val="24"/>
                <w:szCs w:val="24"/>
                <w:highlight w:val="none"/>
              </w:rPr>
              <w:t>、Cl</w:t>
            </w:r>
            <w:r>
              <w:rPr>
                <w:rFonts w:hint="default" w:ascii="Times New Roman" w:hAnsi="Times New Roman" w:eastAsia="宋体" w:cs="Times New Roman"/>
                <w:color w:val="auto"/>
                <w:spacing w:val="0"/>
                <w:kern w:val="2"/>
                <w:sz w:val="24"/>
                <w:szCs w:val="24"/>
                <w:highlight w:val="none"/>
                <w:vertAlign w:val="superscript"/>
              </w:rPr>
              <w:t>-</w:t>
            </w:r>
            <w:r>
              <w:rPr>
                <w:rFonts w:hint="default" w:ascii="Times New Roman" w:hAnsi="Times New Roman" w:eastAsia="宋体" w:cs="Times New Roman"/>
                <w:color w:val="auto"/>
                <w:spacing w:val="0"/>
                <w:kern w:val="2"/>
                <w:sz w:val="24"/>
                <w:szCs w:val="24"/>
                <w:highlight w:val="none"/>
              </w:rPr>
              <w:t>、SO</w:t>
            </w:r>
            <w:r>
              <w:rPr>
                <w:rFonts w:hint="default" w:ascii="Times New Roman" w:hAnsi="Times New Roman" w:eastAsia="宋体" w:cs="Times New Roman"/>
                <w:color w:val="auto"/>
                <w:spacing w:val="0"/>
                <w:kern w:val="2"/>
                <w:sz w:val="24"/>
                <w:szCs w:val="24"/>
                <w:highlight w:val="none"/>
                <w:vertAlign w:val="subscript"/>
              </w:rPr>
              <w:t>4</w:t>
            </w:r>
            <w:r>
              <w:rPr>
                <w:rFonts w:hint="default" w:ascii="Times New Roman" w:hAnsi="Times New Roman" w:eastAsia="宋体" w:cs="Times New Roman"/>
                <w:color w:val="auto"/>
                <w:spacing w:val="0"/>
                <w:kern w:val="2"/>
                <w:sz w:val="24"/>
                <w:szCs w:val="24"/>
                <w:highlight w:val="none"/>
                <w:vertAlign w:val="superscript"/>
              </w:rPr>
              <w:t>2-</w:t>
            </w:r>
            <w:r>
              <w:rPr>
                <w:rFonts w:hint="default" w:ascii="Times New Roman" w:hAnsi="Times New Roman" w:eastAsia="宋体" w:cs="Times New Roman"/>
                <w:color w:val="auto"/>
                <w:spacing w:val="0"/>
                <w:kern w:val="2"/>
                <w:sz w:val="24"/>
                <w:szCs w:val="24"/>
                <w:highlight w:val="none"/>
              </w:rPr>
              <w:t>、pH、氨氮、硝酸盐、亚硝酸盐、挥发性酚类、氰化物、砷、汞、六价铬、</w:t>
            </w:r>
            <w:r>
              <w:rPr>
                <w:rFonts w:hint="eastAsia" w:ascii="Times New Roman" w:hAnsi="Times New Roman" w:cs="Times New Roman"/>
                <w:color w:val="auto"/>
                <w:spacing w:val="0"/>
                <w:kern w:val="2"/>
                <w:sz w:val="24"/>
                <w:szCs w:val="24"/>
                <w:highlight w:val="none"/>
                <w:lang w:val="en-US" w:eastAsia="zh-CN"/>
              </w:rPr>
              <w:t>总铬、</w:t>
            </w:r>
            <w:r>
              <w:rPr>
                <w:rFonts w:hint="default" w:ascii="Times New Roman" w:hAnsi="Times New Roman" w:eastAsia="宋体" w:cs="Times New Roman"/>
                <w:color w:val="auto"/>
                <w:spacing w:val="0"/>
                <w:kern w:val="2"/>
                <w:sz w:val="24"/>
                <w:szCs w:val="24"/>
                <w:highlight w:val="none"/>
              </w:rPr>
              <w:t>总硬度、铅、氟化物、镉、铁、锰、</w:t>
            </w:r>
            <w:r>
              <w:rPr>
                <w:rFonts w:hint="eastAsia" w:ascii="Times New Roman" w:hAnsi="Times New Roman" w:cs="Times New Roman"/>
                <w:color w:val="auto"/>
                <w:spacing w:val="0"/>
                <w:kern w:val="2"/>
                <w:sz w:val="24"/>
                <w:szCs w:val="24"/>
                <w:highlight w:val="none"/>
                <w:lang w:val="en-US" w:eastAsia="zh-CN"/>
              </w:rPr>
              <w:t>铜、锌、镍、</w:t>
            </w:r>
            <w:r>
              <w:rPr>
                <w:rFonts w:hint="default" w:ascii="Times New Roman" w:hAnsi="Times New Roman" w:eastAsia="宋体" w:cs="Times New Roman"/>
                <w:color w:val="auto"/>
                <w:spacing w:val="0"/>
                <w:kern w:val="2"/>
                <w:sz w:val="24"/>
                <w:szCs w:val="24"/>
                <w:highlight w:val="none"/>
              </w:rPr>
              <w:t>溶解性总固体、耗氧量</w:t>
            </w:r>
            <w:r>
              <w:rPr>
                <w:rFonts w:hint="default" w:ascii="Times New Roman" w:hAnsi="Times New Roman" w:cs="Times New Roman"/>
                <w:color w:val="auto"/>
                <w:spacing w:val="0"/>
                <w:kern w:val="2"/>
                <w:sz w:val="24"/>
                <w:szCs w:val="24"/>
                <w:highlight w:val="none"/>
                <w:lang w:val="en-US" w:eastAsia="zh-CN"/>
              </w:rPr>
              <w:t>、</w:t>
            </w:r>
            <w:r>
              <w:rPr>
                <w:rFonts w:hint="default" w:ascii="Times New Roman" w:hAnsi="Times New Roman" w:eastAsia="宋体" w:cs="Times New Roman"/>
                <w:color w:val="auto"/>
                <w:spacing w:val="0"/>
                <w:kern w:val="2"/>
                <w:sz w:val="24"/>
                <w:szCs w:val="24"/>
                <w:highlight w:val="none"/>
              </w:rPr>
              <w:t>总大肠菌群、</w:t>
            </w:r>
            <w:r>
              <w:rPr>
                <w:rFonts w:hint="eastAsia" w:ascii="Times New Roman" w:hAnsi="Times New Roman" w:cs="Times New Roman"/>
                <w:color w:val="auto"/>
                <w:spacing w:val="0"/>
                <w:kern w:val="2"/>
                <w:sz w:val="24"/>
                <w:szCs w:val="24"/>
                <w:highlight w:val="none"/>
                <w:lang w:val="en-US" w:eastAsia="zh-CN"/>
              </w:rPr>
              <w:t>菌落</w:t>
            </w:r>
            <w:r>
              <w:rPr>
                <w:rFonts w:hint="default" w:ascii="Times New Roman" w:hAnsi="Times New Roman" w:eastAsia="宋体" w:cs="Times New Roman"/>
                <w:color w:val="auto"/>
                <w:spacing w:val="0"/>
                <w:kern w:val="2"/>
                <w:sz w:val="24"/>
                <w:szCs w:val="24"/>
                <w:highlight w:val="none"/>
              </w:rPr>
              <w:t>总数</w:t>
            </w:r>
            <w:r>
              <w:rPr>
                <w:rFonts w:hint="default" w:ascii="Times New Roman" w:hAnsi="Times New Roman" w:eastAsia="宋体" w:cs="Times New Roman"/>
                <w:color w:val="auto"/>
                <w:spacing w:val="0"/>
                <w:kern w:val="2"/>
                <w:sz w:val="24"/>
                <w:szCs w:val="24"/>
                <w:highlight w:val="none"/>
                <w:lang w:eastAsia="zh-CN"/>
              </w:rPr>
              <w:t>、</w:t>
            </w:r>
            <w:r>
              <w:rPr>
                <w:rFonts w:hint="default" w:ascii="Times New Roman" w:hAnsi="Times New Roman" w:eastAsia="宋体" w:cs="Times New Roman"/>
                <w:color w:val="auto"/>
                <w:spacing w:val="0"/>
                <w:kern w:val="2"/>
                <w:sz w:val="24"/>
                <w:szCs w:val="24"/>
                <w:highlight w:val="none"/>
              </w:rPr>
              <w:t>石油类</w:t>
            </w:r>
            <w:r>
              <w:rPr>
                <w:rFonts w:hint="default" w:ascii="Times New Roman" w:hAnsi="Times New Roman" w:cs="Times New Roman"/>
                <w:color w:val="auto"/>
                <w:sz w:val="24"/>
                <w:szCs w:val="24"/>
                <w:highlight w:val="none"/>
                <w:lang w:val="en-US" w:eastAsia="zh-CN"/>
              </w:rPr>
              <w:t>。</w:t>
            </w:r>
          </w:p>
          <w:p w14:paraId="42635130">
            <w:pPr>
              <w:numPr>
                <w:ilvl w:val="0"/>
                <w:numId w:val="22"/>
              </w:numPr>
              <w:bidi w:val="0"/>
              <w:ind w:left="0" w:leftChars="0" w:firstLine="480" w:firstLineChars="200"/>
              <w:rPr>
                <w:rFonts w:hint="eastAsia"/>
                <w:color w:val="auto"/>
                <w:highlight w:val="none"/>
                <w:lang w:val="en-US" w:eastAsia="zh-CN"/>
              </w:rPr>
            </w:pPr>
            <w:r>
              <w:rPr>
                <w:rFonts w:hint="eastAsia"/>
                <w:color w:val="auto"/>
                <w:highlight w:val="none"/>
                <w:lang w:val="en-US" w:eastAsia="zh-CN"/>
              </w:rPr>
              <w:t>评价标准</w:t>
            </w:r>
          </w:p>
          <w:p w14:paraId="60457E57">
            <w:pPr>
              <w:pStyle w:val="28"/>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firstLine="480" w:firstLineChars="200"/>
              <w:textAlignment w:val="auto"/>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《地下水质量标准》（GB/T14848-2017）Ⅲ类标准</w:t>
            </w:r>
            <w:r>
              <w:rPr>
                <w:rFonts w:hint="eastAsia" w:cs="Times New Roman"/>
                <w:color w:val="auto"/>
                <w:sz w:val="24"/>
                <w:szCs w:val="24"/>
                <w:highlight w:val="none"/>
                <w:lang w:eastAsia="zh-CN"/>
              </w:rPr>
              <w:t>，《地表水环境质量标准》（GB3838-2002）</w:t>
            </w:r>
            <w:r>
              <w:rPr>
                <w:rFonts w:hint="default" w:ascii="Times New Roman" w:hAnsi="Times New Roman" w:cs="Times New Roman"/>
                <w:color w:val="auto"/>
                <w:sz w:val="24"/>
                <w:szCs w:val="24"/>
                <w:highlight w:val="none"/>
                <w:lang w:eastAsia="zh-CN"/>
              </w:rPr>
              <w:t>Ⅲ</w:t>
            </w:r>
            <w:r>
              <w:rPr>
                <w:rFonts w:hint="eastAsia" w:cs="Times New Roman"/>
                <w:color w:val="auto"/>
                <w:sz w:val="24"/>
                <w:szCs w:val="24"/>
                <w:highlight w:val="none"/>
                <w:lang w:eastAsia="zh-CN"/>
              </w:rPr>
              <w:t>类标准。</w:t>
            </w:r>
          </w:p>
          <w:p w14:paraId="63DFFA67">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监测分析方法</w:t>
            </w:r>
          </w:p>
          <w:p w14:paraId="4D99DB8A">
            <w:pPr>
              <w:bidi w:val="0"/>
              <w:rPr>
                <w:rFonts w:hint="default"/>
                <w:color w:val="auto"/>
                <w:highlight w:val="none"/>
              </w:rPr>
            </w:pPr>
            <w:r>
              <w:rPr>
                <w:rFonts w:hint="eastAsia"/>
                <w:color w:val="auto"/>
                <w:highlight w:val="none"/>
                <w:lang w:val="en-US" w:eastAsia="zh-CN"/>
              </w:rPr>
              <w:t>监测分析方法按照《生活饮用水标准检验方法》（GB/T 5750-2023）和《地下水质量标准》（GB/T 14848-2017）中确定的方法执行</w:t>
            </w:r>
            <w:r>
              <w:rPr>
                <w:rFonts w:hint="default"/>
                <w:color w:val="auto"/>
                <w:highlight w:val="none"/>
              </w:rPr>
              <w:t>。</w:t>
            </w:r>
          </w:p>
          <w:p w14:paraId="181EC5C2">
            <w:pPr>
              <w:keepNext w:val="0"/>
              <w:keepLines w:val="0"/>
              <w:pageBreakBefore w:val="0"/>
              <w:widowControl w:val="0"/>
              <w:kinsoku/>
              <w:wordWrap/>
              <w:overflowPunct/>
              <w:autoSpaceDE/>
              <w:autoSpaceDN/>
              <w:bidi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监测</w:t>
            </w:r>
            <w:r>
              <w:rPr>
                <w:rFonts w:hint="default" w:ascii="Times New Roman" w:hAnsi="Times New Roman" w:eastAsia="宋体" w:cs="Times New Roman"/>
                <w:color w:val="auto"/>
                <w:sz w:val="24"/>
                <w:szCs w:val="24"/>
                <w:highlight w:val="none"/>
              </w:rPr>
              <w:t>结果</w:t>
            </w:r>
          </w:p>
          <w:p w14:paraId="0CAD9611">
            <w:pPr>
              <w:keepNext w:val="0"/>
              <w:keepLines w:val="0"/>
              <w:pageBreakBefore w:val="0"/>
              <w:widowControl w:val="0"/>
              <w:numPr>
                <w:ilvl w:val="0"/>
                <w:numId w:val="21"/>
              </w:numPr>
              <w:kinsoku/>
              <w:wordWrap/>
              <w:overflowPunct/>
              <w:topLinePunct w:val="0"/>
              <w:autoSpaceDE w:val="0"/>
              <w:autoSpaceDN w:val="0"/>
              <w:bidi w:val="0"/>
              <w:adjustRightInd w:val="0"/>
              <w:snapToGrid w:val="0"/>
              <w:spacing w:line="480" w:lineRule="exact"/>
              <w:ind w:left="0" w:leftChars="0" w:firstLine="0" w:firstLineChars="0"/>
              <w:jc w:val="center"/>
              <w:textAlignment w:val="auto"/>
              <w:rPr>
                <w:rFonts w:hint="default" w:ascii="Times New Roman" w:hAnsi="Times New Roman" w:eastAsia="宋体" w:cs="Times New Roman"/>
                <w:b/>
                <w:color w:val="auto"/>
                <w:spacing w:val="0"/>
                <w:kern w:val="0"/>
                <w:position w:val="0"/>
                <w:sz w:val="21"/>
                <w:szCs w:val="21"/>
                <w:highlight w:val="none"/>
                <w:shd w:val="clear" w:color="auto" w:fill="auto"/>
                <w:lang w:val="en-US" w:eastAsia="zh-CN"/>
              </w:rPr>
            </w:pPr>
            <w:r>
              <w:rPr>
                <w:rFonts w:hint="eastAsia" w:ascii="Times New Roman" w:hAnsi="Times New Roman" w:eastAsia="宋体" w:cs="Times New Roman"/>
                <w:b/>
                <w:color w:val="auto"/>
                <w:spacing w:val="0"/>
                <w:kern w:val="0"/>
                <w:position w:val="0"/>
                <w:sz w:val="21"/>
                <w:szCs w:val="21"/>
                <w:highlight w:val="none"/>
                <w:shd w:val="clear" w:color="auto" w:fill="auto"/>
                <w:lang w:val="en-US" w:eastAsia="zh-CN"/>
              </w:rPr>
              <w:t>地下水环境现状监测结果</w:t>
            </w:r>
            <w:r>
              <w:rPr>
                <w:rFonts w:hint="eastAsia" w:cs="Times New Roman"/>
                <w:b/>
                <w:color w:val="auto"/>
                <w:spacing w:val="0"/>
                <w:kern w:val="0"/>
                <w:position w:val="0"/>
                <w:sz w:val="21"/>
                <w:szCs w:val="21"/>
                <w:highlight w:val="none"/>
                <w:shd w:val="clear" w:color="auto" w:fill="auto"/>
                <w:lang w:val="en-US" w:eastAsia="zh-CN"/>
              </w:rPr>
              <w:t>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1040"/>
              <w:gridCol w:w="1653"/>
              <w:gridCol w:w="941"/>
              <w:gridCol w:w="1181"/>
              <w:gridCol w:w="1407"/>
              <w:gridCol w:w="1003"/>
              <w:gridCol w:w="882"/>
            </w:tblGrid>
            <w:tr w14:paraId="2C1E5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040" w:type="dxa"/>
                  <w:noWrap w:val="0"/>
                  <w:vAlign w:val="center"/>
                </w:tcPr>
                <w:p w14:paraId="65063B6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监测点位</w:t>
                  </w:r>
                </w:p>
              </w:tc>
              <w:tc>
                <w:tcPr>
                  <w:tcW w:w="1653" w:type="dxa"/>
                  <w:noWrap w:val="0"/>
                  <w:vAlign w:val="center"/>
                </w:tcPr>
                <w:p w14:paraId="7BA87E9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监测项目</w:t>
                  </w:r>
                </w:p>
              </w:tc>
              <w:tc>
                <w:tcPr>
                  <w:tcW w:w="941" w:type="dxa"/>
                  <w:noWrap w:val="0"/>
                  <w:vAlign w:val="center"/>
                </w:tcPr>
                <w:p w14:paraId="04C9BEA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单位</w:t>
                  </w:r>
                </w:p>
              </w:tc>
              <w:tc>
                <w:tcPr>
                  <w:tcW w:w="1181" w:type="dxa"/>
                  <w:noWrap w:val="0"/>
                  <w:vAlign w:val="center"/>
                </w:tcPr>
                <w:p w14:paraId="48629DC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监测结果</w:t>
                  </w:r>
                </w:p>
              </w:tc>
              <w:tc>
                <w:tcPr>
                  <w:tcW w:w="1407" w:type="dxa"/>
                  <w:noWrap w:val="0"/>
                  <w:vAlign w:val="center"/>
                </w:tcPr>
                <w:p w14:paraId="152E3376">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Ⅲ类标准值</w:t>
                  </w:r>
                </w:p>
              </w:tc>
              <w:tc>
                <w:tcPr>
                  <w:tcW w:w="1003" w:type="dxa"/>
                  <w:noWrap w:val="0"/>
                  <w:vAlign w:val="center"/>
                </w:tcPr>
                <w:p w14:paraId="0853B24C">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标准指数</w:t>
                  </w:r>
                </w:p>
              </w:tc>
              <w:tc>
                <w:tcPr>
                  <w:tcW w:w="882" w:type="dxa"/>
                  <w:noWrap w:val="0"/>
                  <w:vAlign w:val="center"/>
                </w:tcPr>
                <w:p w14:paraId="2D56819E">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符合性</w:t>
                  </w:r>
                </w:p>
              </w:tc>
            </w:tr>
            <w:tr w14:paraId="206626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restart"/>
                  <w:noWrap w:val="0"/>
                  <w:vAlign w:val="center"/>
                </w:tcPr>
                <w:p w14:paraId="4D29D69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项目</w:t>
                  </w:r>
                  <w:r>
                    <w:rPr>
                      <w:rFonts w:hint="eastAsia" w:eastAsia="宋体" w:cs="Times New Roman"/>
                      <w:color w:val="auto"/>
                      <w:sz w:val="21"/>
                      <w:szCs w:val="21"/>
                      <w:highlight w:val="none"/>
                      <w:shd w:val="clear" w:color="auto" w:fill="auto"/>
                      <w:lang w:val="en-US" w:eastAsia="zh-CN"/>
                    </w:rPr>
                    <w:t>西南</w:t>
                  </w:r>
                  <w:r>
                    <w:rPr>
                      <w:rFonts w:hint="default" w:ascii="Times New Roman" w:hAnsi="Times New Roman" w:eastAsia="宋体" w:cs="Times New Roman"/>
                      <w:color w:val="auto"/>
                      <w:sz w:val="21"/>
                      <w:szCs w:val="21"/>
                      <w:highlight w:val="none"/>
                      <w:shd w:val="clear" w:color="auto" w:fill="auto"/>
                      <w:lang w:val="en-US" w:eastAsia="zh-CN"/>
                    </w:rPr>
                    <w:t>侧</w:t>
                  </w:r>
                </w:p>
              </w:tc>
              <w:tc>
                <w:tcPr>
                  <w:tcW w:w="1653" w:type="dxa"/>
                  <w:noWrap w:val="0"/>
                  <w:vAlign w:val="center"/>
                </w:tcPr>
                <w:p w14:paraId="449E2BDA">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K</w:t>
                  </w:r>
                  <w:r>
                    <w:rPr>
                      <w:rFonts w:hint="default" w:ascii="Times New Roman" w:hAnsi="Times New Roman" w:eastAsia="宋体" w:cs="Times New Roman"/>
                      <w:color w:val="auto"/>
                      <w:spacing w:val="0"/>
                      <w:kern w:val="2"/>
                      <w:sz w:val="21"/>
                      <w:szCs w:val="21"/>
                      <w:highlight w:val="none"/>
                      <w:vertAlign w:val="superscript"/>
                    </w:rPr>
                    <w:t>+</w:t>
                  </w:r>
                </w:p>
              </w:tc>
              <w:tc>
                <w:tcPr>
                  <w:tcW w:w="941" w:type="dxa"/>
                  <w:noWrap w:val="0"/>
                  <w:vAlign w:val="center"/>
                </w:tcPr>
                <w:p w14:paraId="11A253C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48F1549A">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3.94</w:t>
                  </w:r>
                </w:p>
              </w:tc>
              <w:tc>
                <w:tcPr>
                  <w:tcW w:w="1407" w:type="dxa"/>
                  <w:noWrap w:val="0"/>
                  <w:vAlign w:val="center"/>
                </w:tcPr>
                <w:p w14:paraId="3F2F7C48">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41334BA8">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7862D2C1">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24EDC4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ACF5C8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E08BE1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Na</w:t>
                  </w:r>
                  <w:r>
                    <w:rPr>
                      <w:rFonts w:hint="default" w:ascii="Times New Roman" w:hAnsi="Times New Roman" w:eastAsia="宋体" w:cs="Times New Roman"/>
                      <w:color w:val="auto"/>
                      <w:spacing w:val="0"/>
                      <w:kern w:val="2"/>
                      <w:sz w:val="21"/>
                      <w:szCs w:val="21"/>
                      <w:highlight w:val="none"/>
                      <w:vertAlign w:val="superscript"/>
                    </w:rPr>
                    <w:t>+</w:t>
                  </w:r>
                </w:p>
              </w:tc>
              <w:tc>
                <w:tcPr>
                  <w:tcW w:w="941" w:type="dxa"/>
                  <w:noWrap w:val="0"/>
                  <w:vAlign w:val="center"/>
                </w:tcPr>
                <w:p w14:paraId="7087FC9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17AA95F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16.2</w:t>
                  </w:r>
                </w:p>
              </w:tc>
              <w:tc>
                <w:tcPr>
                  <w:tcW w:w="1407" w:type="dxa"/>
                  <w:noWrap w:val="0"/>
                  <w:vAlign w:val="center"/>
                </w:tcPr>
                <w:p w14:paraId="773A7EA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shd w:val="clear" w:color="auto" w:fill="auto"/>
                      <w:lang w:val="en-US" w:eastAsia="zh-CN"/>
                    </w:rPr>
                    <w:t>200</w:t>
                  </w:r>
                </w:p>
              </w:tc>
              <w:tc>
                <w:tcPr>
                  <w:tcW w:w="1003" w:type="dxa"/>
                  <w:noWrap w:val="0"/>
                  <w:vAlign w:val="center"/>
                </w:tcPr>
                <w:p w14:paraId="609D4EF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0.08</w:t>
                  </w:r>
                </w:p>
              </w:tc>
              <w:tc>
                <w:tcPr>
                  <w:tcW w:w="882" w:type="dxa"/>
                  <w:noWrap w:val="0"/>
                  <w:vAlign w:val="center"/>
                </w:tcPr>
                <w:p w14:paraId="63DA175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符合</w:t>
                  </w:r>
                </w:p>
              </w:tc>
            </w:tr>
            <w:tr w14:paraId="129F8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50CD24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2C4312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Ca</w:t>
                  </w:r>
                  <w:r>
                    <w:rPr>
                      <w:rFonts w:hint="default" w:ascii="Times New Roman" w:hAnsi="Times New Roman" w:eastAsia="宋体" w:cs="Times New Roman"/>
                      <w:color w:val="auto"/>
                      <w:spacing w:val="0"/>
                      <w:kern w:val="2"/>
                      <w:sz w:val="21"/>
                      <w:szCs w:val="21"/>
                      <w:highlight w:val="none"/>
                      <w:vertAlign w:val="superscript"/>
                    </w:rPr>
                    <w:t>2+</w:t>
                  </w:r>
                </w:p>
              </w:tc>
              <w:tc>
                <w:tcPr>
                  <w:tcW w:w="941" w:type="dxa"/>
                  <w:noWrap w:val="0"/>
                  <w:vAlign w:val="center"/>
                </w:tcPr>
                <w:p w14:paraId="4113E57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6CE9991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66.1</w:t>
                  </w:r>
                </w:p>
              </w:tc>
              <w:tc>
                <w:tcPr>
                  <w:tcW w:w="1407" w:type="dxa"/>
                  <w:noWrap w:val="0"/>
                  <w:vAlign w:val="center"/>
                </w:tcPr>
                <w:p w14:paraId="64313EE0">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33636859">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4F8FB67B">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604959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4563BA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F1DDCA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Mg</w:t>
                  </w:r>
                  <w:r>
                    <w:rPr>
                      <w:rFonts w:hint="default" w:ascii="Times New Roman" w:hAnsi="Times New Roman" w:eastAsia="宋体" w:cs="Times New Roman"/>
                      <w:color w:val="auto"/>
                      <w:spacing w:val="0"/>
                      <w:kern w:val="2"/>
                      <w:sz w:val="21"/>
                      <w:szCs w:val="21"/>
                      <w:highlight w:val="none"/>
                      <w:vertAlign w:val="superscript"/>
                    </w:rPr>
                    <w:t>2+</w:t>
                  </w:r>
                </w:p>
              </w:tc>
              <w:tc>
                <w:tcPr>
                  <w:tcW w:w="941" w:type="dxa"/>
                  <w:noWrap w:val="0"/>
                  <w:vAlign w:val="center"/>
                </w:tcPr>
                <w:p w14:paraId="08D59A2C">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3497D0DC">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6.52</w:t>
                  </w:r>
                </w:p>
              </w:tc>
              <w:tc>
                <w:tcPr>
                  <w:tcW w:w="1407" w:type="dxa"/>
                  <w:noWrap w:val="0"/>
                  <w:vAlign w:val="center"/>
                </w:tcPr>
                <w:p w14:paraId="0ED0C003">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6B283D96">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08A52A31">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413CF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DA4027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42065F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pacing w:val="0"/>
                      <w:kern w:val="2"/>
                      <w:sz w:val="21"/>
                      <w:szCs w:val="21"/>
                      <w:highlight w:val="none"/>
                    </w:rPr>
                    <w:t>CO</w:t>
                  </w:r>
                  <w:r>
                    <w:rPr>
                      <w:rFonts w:hint="default" w:ascii="Times New Roman" w:hAnsi="Times New Roman" w:eastAsia="宋体" w:cs="Times New Roman"/>
                      <w:color w:val="auto"/>
                      <w:spacing w:val="0"/>
                      <w:kern w:val="2"/>
                      <w:sz w:val="21"/>
                      <w:szCs w:val="21"/>
                      <w:highlight w:val="none"/>
                      <w:vertAlign w:val="subscript"/>
                    </w:rPr>
                    <w:t>3</w:t>
                  </w:r>
                  <w:r>
                    <w:rPr>
                      <w:rFonts w:hint="default" w:ascii="Times New Roman" w:hAnsi="Times New Roman" w:eastAsia="宋体" w:cs="Times New Roman"/>
                      <w:color w:val="auto"/>
                      <w:spacing w:val="0"/>
                      <w:kern w:val="2"/>
                      <w:sz w:val="21"/>
                      <w:szCs w:val="21"/>
                      <w:highlight w:val="none"/>
                      <w:vertAlign w:val="superscript"/>
                    </w:rPr>
                    <w:t>2-</w:t>
                  </w:r>
                </w:p>
              </w:tc>
              <w:tc>
                <w:tcPr>
                  <w:tcW w:w="941" w:type="dxa"/>
                  <w:noWrap w:val="0"/>
                  <w:vAlign w:val="center"/>
                </w:tcPr>
                <w:p w14:paraId="0726787C">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06D72DAD">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5L</w:t>
                  </w:r>
                </w:p>
              </w:tc>
              <w:tc>
                <w:tcPr>
                  <w:tcW w:w="1407" w:type="dxa"/>
                  <w:noWrap w:val="0"/>
                  <w:vAlign w:val="center"/>
                </w:tcPr>
                <w:p w14:paraId="42A2E634">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305271FF">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53B5269D">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3FDDD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32" w:hRule="atLeast"/>
                <w:jc w:val="center"/>
              </w:trPr>
              <w:tc>
                <w:tcPr>
                  <w:tcW w:w="1040" w:type="dxa"/>
                  <w:vMerge w:val="continue"/>
                  <w:noWrap w:val="0"/>
                  <w:vAlign w:val="center"/>
                </w:tcPr>
                <w:p w14:paraId="7EAAB702">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13A28C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pacing w:val="0"/>
                      <w:kern w:val="2"/>
                      <w:sz w:val="21"/>
                      <w:szCs w:val="21"/>
                      <w:highlight w:val="none"/>
                    </w:rPr>
                    <w:t>HCO</w:t>
                  </w:r>
                  <w:r>
                    <w:rPr>
                      <w:rFonts w:hint="default" w:ascii="Times New Roman" w:hAnsi="Times New Roman" w:eastAsia="宋体" w:cs="Times New Roman"/>
                      <w:color w:val="auto"/>
                      <w:spacing w:val="0"/>
                      <w:kern w:val="2"/>
                      <w:sz w:val="21"/>
                      <w:szCs w:val="21"/>
                      <w:highlight w:val="none"/>
                      <w:vertAlign w:val="subscript"/>
                    </w:rPr>
                    <w:t>3</w:t>
                  </w:r>
                  <w:r>
                    <w:rPr>
                      <w:rFonts w:hint="default" w:ascii="Times New Roman" w:hAnsi="Times New Roman" w:eastAsia="宋体" w:cs="Times New Roman"/>
                      <w:color w:val="auto"/>
                      <w:spacing w:val="0"/>
                      <w:kern w:val="2"/>
                      <w:sz w:val="21"/>
                      <w:szCs w:val="21"/>
                      <w:highlight w:val="none"/>
                      <w:vertAlign w:val="superscript"/>
                    </w:rPr>
                    <w:t>-</w:t>
                  </w:r>
                </w:p>
              </w:tc>
              <w:tc>
                <w:tcPr>
                  <w:tcW w:w="941" w:type="dxa"/>
                  <w:noWrap w:val="0"/>
                  <w:vAlign w:val="center"/>
                </w:tcPr>
                <w:p w14:paraId="5A226F9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5ABFCB1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246</w:t>
                  </w:r>
                </w:p>
              </w:tc>
              <w:tc>
                <w:tcPr>
                  <w:tcW w:w="1407" w:type="dxa"/>
                  <w:noWrap w:val="0"/>
                  <w:vAlign w:val="center"/>
                </w:tcPr>
                <w:p w14:paraId="65758333">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7B8348A9">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c>
                <w:tcPr>
                  <w:tcW w:w="882" w:type="dxa"/>
                  <w:noWrap w:val="0"/>
                  <w:vAlign w:val="center"/>
                </w:tcPr>
                <w:p w14:paraId="39D29FBF">
                  <w:pPr>
                    <w:pStyle w:val="51"/>
                    <w:keepNext w:val="0"/>
                    <w:keepLines w:val="0"/>
                    <w:pageBreakBefore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w:t>
                  </w:r>
                </w:p>
              </w:tc>
            </w:tr>
            <w:tr w14:paraId="332795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23" w:hRule="atLeast"/>
                <w:jc w:val="center"/>
              </w:trPr>
              <w:tc>
                <w:tcPr>
                  <w:tcW w:w="1040" w:type="dxa"/>
                  <w:vMerge w:val="continue"/>
                  <w:noWrap w:val="0"/>
                  <w:vAlign w:val="center"/>
                </w:tcPr>
                <w:p w14:paraId="42BB74E5">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6C94E55">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pacing w:val="0"/>
                      <w:kern w:val="2"/>
                      <w:sz w:val="21"/>
                      <w:szCs w:val="21"/>
                      <w:highlight w:val="none"/>
                    </w:rPr>
                    <w:t>Cl</w:t>
                  </w:r>
                  <w:r>
                    <w:rPr>
                      <w:rFonts w:hint="default" w:ascii="Times New Roman" w:hAnsi="Times New Roman" w:eastAsia="宋体" w:cs="Times New Roman"/>
                      <w:color w:val="auto"/>
                      <w:spacing w:val="0"/>
                      <w:kern w:val="2"/>
                      <w:sz w:val="21"/>
                      <w:szCs w:val="21"/>
                      <w:highlight w:val="none"/>
                      <w:vertAlign w:val="superscript"/>
                    </w:rPr>
                    <w:t>-</w:t>
                  </w:r>
                </w:p>
              </w:tc>
              <w:tc>
                <w:tcPr>
                  <w:tcW w:w="941" w:type="dxa"/>
                  <w:noWrap w:val="0"/>
                  <w:vAlign w:val="center"/>
                </w:tcPr>
                <w:p w14:paraId="74DDA50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53874C0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27</w:t>
                  </w:r>
                </w:p>
              </w:tc>
              <w:tc>
                <w:tcPr>
                  <w:tcW w:w="1407" w:type="dxa"/>
                  <w:noWrap w:val="0"/>
                  <w:vAlign w:val="center"/>
                </w:tcPr>
                <w:p w14:paraId="13FAB125">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shd w:val="clear" w:color="auto" w:fill="auto"/>
                      <w:lang w:val="en-US" w:eastAsia="zh-CN"/>
                    </w:rPr>
                    <w:t>250</w:t>
                  </w:r>
                </w:p>
              </w:tc>
              <w:tc>
                <w:tcPr>
                  <w:tcW w:w="1003" w:type="dxa"/>
                  <w:noWrap w:val="0"/>
                  <w:vAlign w:val="center"/>
                </w:tcPr>
                <w:p w14:paraId="207DEBF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0.11</w:t>
                  </w:r>
                </w:p>
              </w:tc>
              <w:tc>
                <w:tcPr>
                  <w:tcW w:w="882" w:type="dxa"/>
                  <w:noWrap w:val="0"/>
                  <w:vAlign w:val="center"/>
                </w:tcPr>
                <w:p w14:paraId="636E0B2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符合</w:t>
                  </w:r>
                </w:p>
              </w:tc>
            </w:tr>
            <w:tr w14:paraId="71DE7C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665F1F4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62988752">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pacing w:val="0"/>
                      <w:kern w:val="2"/>
                      <w:sz w:val="21"/>
                      <w:szCs w:val="21"/>
                      <w:highlight w:val="none"/>
                    </w:rPr>
                    <w:t>SO</w:t>
                  </w:r>
                  <w:r>
                    <w:rPr>
                      <w:rFonts w:hint="default" w:ascii="Times New Roman" w:hAnsi="Times New Roman" w:eastAsia="宋体" w:cs="Times New Roman"/>
                      <w:color w:val="auto"/>
                      <w:spacing w:val="0"/>
                      <w:kern w:val="2"/>
                      <w:sz w:val="21"/>
                      <w:szCs w:val="21"/>
                      <w:highlight w:val="none"/>
                      <w:vertAlign w:val="subscript"/>
                    </w:rPr>
                    <w:t>4</w:t>
                  </w:r>
                  <w:r>
                    <w:rPr>
                      <w:rFonts w:hint="default" w:ascii="Times New Roman" w:hAnsi="Times New Roman" w:eastAsia="宋体" w:cs="Times New Roman"/>
                      <w:color w:val="auto"/>
                      <w:spacing w:val="0"/>
                      <w:kern w:val="2"/>
                      <w:sz w:val="21"/>
                      <w:szCs w:val="21"/>
                      <w:highlight w:val="none"/>
                      <w:vertAlign w:val="superscript"/>
                    </w:rPr>
                    <w:t>2-</w:t>
                  </w:r>
                </w:p>
              </w:tc>
              <w:tc>
                <w:tcPr>
                  <w:tcW w:w="941" w:type="dxa"/>
                  <w:noWrap w:val="0"/>
                  <w:vAlign w:val="center"/>
                </w:tcPr>
                <w:p w14:paraId="35069BA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mg/L</w:t>
                  </w:r>
                </w:p>
              </w:tc>
              <w:tc>
                <w:tcPr>
                  <w:tcW w:w="1181" w:type="dxa"/>
                  <w:noWrap w:val="0"/>
                  <w:vAlign w:val="center"/>
                </w:tcPr>
                <w:p w14:paraId="3781212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34</w:t>
                  </w:r>
                </w:p>
              </w:tc>
              <w:tc>
                <w:tcPr>
                  <w:tcW w:w="1407" w:type="dxa"/>
                  <w:noWrap w:val="0"/>
                  <w:vAlign w:val="center"/>
                </w:tcPr>
                <w:p w14:paraId="17190305">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shd w:val="clear" w:color="auto" w:fill="auto"/>
                      <w:lang w:val="en-US" w:eastAsia="zh-CN"/>
                    </w:rPr>
                    <w:t>250</w:t>
                  </w:r>
                </w:p>
              </w:tc>
              <w:tc>
                <w:tcPr>
                  <w:tcW w:w="1003" w:type="dxa"/>
                  <w:noWrap w:val="0"/>
                  <w:vAlign w:val="center"/>
                </w:tcPr>
                <w:p w14:paraId="65BFC00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0.14</w:t>
                  </w:r>
                </w:p>
              </w:tc>
              <w:tc>
                <w:tcPr>
                  <w:tcW w:w="882" w:type="dxa"/>
                  <w:noWrap w:val="0"/>
                  <w:vAlign w:val="center"/>
                </w:tcPr>
                <w:p w14:paraId="714A489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符合</w:t>
                  </w:r>
                </w:p>
              </w:tc>
            </w:tr>
            <w:tr w14:paraId="07AD3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040" w:type="dxa"/>
                  <w:vMerge w:val="continue"/>
                  <w:noWrap w:val="0"/>
                  <w:vAlign w:val="center"/>
                </w:tcPr>
                <w:p w14:paraId="22B52F92">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35449BCD">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pH值</w:t>
                  </w:r>
                </w:p>
              </w:tc>
              <w:tc>
                <w:tcPr>
                  <w:tcW w:w="941" w:type="dxa"/>
                  <w:noWrap w:val="0"/>
                  <w:vAlign w:val="center"/>
                </w:tcPr>
                <w:p w14:paraId="621AD65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无量纲</w:t>
                  </w:r>
                </w:p>
              </w:tc>
              <w:tc>
                <w:tcPr>
                  <w:tcW w:w="1181" w:type="dxa"/>
                  <w:noWrap w:val="0"/>
                  <w:vAlign w:val="center"/>
                </w:tcPr>
                <w:p w14:paraId="588F042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7.4</w:t>
                  </w:r>
                  <w:r>
                    <w:rPr>
                      <w:rFonts w:hint="eastAsia" w:ascii="Times New Roman" w:hAnsi="Times New Roman" w:cs="Times New Roman"/>
                      <w:color w:val="auto"/>
                      <w:sz w:val="21"/>
                      <w:szCs w:val="21"/>
                      <w:highlight w:val="none"/>
                      <w:shd w:val="clear" w:color="auto" w:fill="auto"/>
                      <w:lang w:val="en-US" w:eastAsia="zh-CN"/>
                    </w:rPr>
                    <w:t>（</w:t>
                  </w:r>
                  <w:r>
                    <w:rPr>
                      <w:rFonts w:hint="default" w:ascii="Times New Roman" w:hAnsi="Times New Roman" w:cs="Times New Roman"/>
                      <w:color w:val="auto"/>
                      <w:sz w:val="21"/>
                      <w:szCs w:val="21"/>
                      <w:highlight w:val="none"/>
                      <w:shd w:val="clear" w:color="auto" w:fill="auto"/>
                      <w:lang w:val="en-US" w:eastAsia="zh-CN"/>
                    </w:rPr>
                    <w:t>15.1</w:t>
                  </w:r>
                  <w:r>
                    <w:rPr>
                      <w:rFonts w:hint="default" w:ascii="Times New Roman" w:hAnsi="Times New Roman" w:cs="Times New Roman"/>
                      <w:i w:val="0"/>
                      <w:iCs w:val="0"/>
                      <w:color w:val="auto"/>
                      <w:kern w:val="0"/>
                      <w:sz w:val="21"/>
                      <w:szCs w:val="21"/>
                      <w:highlight w:val="none"/>
                      <w:u w:val="none"/>
                      <w:lang w:val="en-US" w:eastAsia="zh-CN" w:bidi="ar"/>
                    </w:rPr>
                    <w:t>℃</w:t>
                  </w:r>
                  <w:r>
                    <w:rPr>
                      <w:rFonts w:hint="eastAsia" w:ascii="Times New Roman" w:hAnsi="Times New Roman" w:cs="Times New Roman"/>
                      <w:color w:val="auto"/>
                      <w:sz w:val="21"/>
                      <w:szCs w:val="21"/>
                      <w:highlight w:val="none"/>
                      <w:shd w:val="clear" w:color="auto" w:fill="auto"/>
                      <w:lang w:val="en-US" w:eastAsia="zh-CN"/>
                    </w:rPr>
                    <w:t>）</w:t>
                  </w:r>
                </w:p>
              </w:tc>
              <w:tc>
                <w:tcPr>
                  <w:tcW w:w="1407" w:type="dxa"/>
                  <w:noWrap w:val="0"/>
                  <w:vAlign w:val="center"/>
                </w:tcPr>
                <w:p w14:paraId="7EEA846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6.5≤pH≤8.5</w:t>
                  </w:r>
                </w:p>
              </w:tc>
              <w:tc>
                <w:tcPr>
                  <w:tcW w:w="1003" w:type="dxa"/>
                  <w:noWrap w:val="0"/>
                  <w:vAlign w:val="center"/>
                </w:tcPr>
                <w:p w14:paraId="783A50BF">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0.40</w:t>
                  </w:r>
                </w:p>
              </w:tc>
              <w:tc>
                <w:tcPr>
                  <w:tcW w:w="882" w:type="dxa"/>
                  <w:noWrap w:val="0"/>
                  <w:vAlign w:val="center"/>
                </w:tcPr>
                <w:p w14:paraId="441AA41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3DC3B1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91F242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3A9B70A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浑浊度</w:t>
                  </w:r>
                </w:p>
              </w:tc>
              <w:tc>
                <w:tcPr>
                  <w:tcW w:w="941" w:type="dxa"/>
                  <w:noWrap w:val="0"/>
                  <w:vAlign w:val="center"/>
                </w:tcPr>
                <w:p w14:paraId="3D68331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NTU</w:t>
                  </w:r>
                </w:p>
              </w:tc>
              <w:tc>
                <w:tcPr>
                  <w:tcW w:w="1181" w:type="dxa"/>
                  <w:noWrap w:val="0"/>
                  <w:vAlign w:val="center"/>
                </w:tcPr>
                <w:p w14:paraId="107C6B6D">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2.2</w:t>
                  </w:r>
                </w:p>
              </w:tc>
              <w:tc>
                <w:tcPr>
                  <w:tcW w:w="1407" w:type="dxa"/>
                  <w:noWrap w:val="0"/>
                  <w:vAlign w:val="center"/>
                </w:tcPr>
                <w:p w14:paraId="5F325BB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w:t>
                  </w:r>
                </w:p>
              </w:tc>
              <w:tc>
                <w:tcPr>
                  <w:tcW w:w="1003" w:type="dxa"/>
                  <w:noWrap w:val="0"/>
                  <w:vAlign w:val="center"/>
                </w:tcPr>
                <w:p w14:paraId="1612F68B">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64EBACE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符合</w:t>
                  </w:r>
                </w:p>
              </w:tc>
            </w:tr>
            <w:tr w14:paraId="6D6FD5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486C377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18CF16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氨氮</w:t>
                  </w:r>
                </w:p>
              </w:tc>
              <w:tc>
                <w:tcPr>
                  <w:tcW w:w="941" w:type="dxa"/>
                  <w:noWrap w:val="0"/>
                  <w:vAlign w:val="center"/>
                </w:tcPr>
                <w:p w14:paraId="639EFDD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67FF316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0.142</w:t>
                  </w:r>
                </w:p>
              </w:tc>
              <w:tc>
                <w:tcPr>
                  <w:tcW w:w="1407" w:type="dxa"/>
                  <w:noWrap w:val="0"/>
                  <w:vAlign w:val="center"/>
                </w:tcPr>
                <w:p w14:paraId="6B08D2D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0.5</w:t>
                  </w:r>
                </w:p>
              </w:tc>
              <w:tc>
                <w:tcPr>
                  <w:tcW w:w="1003" w:type="dxa"/>
                  <w:noWrap w:val="0"/>
                  <w:vAlign w:val="center"/>
                </w:tcPr>
                <w:p w14:paraId="0783BB2A">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0.28</w:t>
                  </w:r>
                </w:p>
              </w:tc>
              <w:tc>
                <w:tcPr>
                  <w:tcW w:w="882" w:type="dxa"/>
                  <w:noWrap w:val="0"/>
                  <w:vAlign w:val="center"/>
                </w:tcPr>
                <w:p w14:paraId="20DF2A9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31302A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30FAC0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213B26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硝酸盐（以N计）</w:t>
                  </w:r>
                </w:p>
              </w:tc>
              <w:tc>
                <w:tcPr>
                  <w:tcW w:w="941" w:type="dxa"/>
                  <w:noWrap w:val="0"/>
                  <w:vAlign w:val="center"/>
                </w:tcPr>
                <w:p w14:paraId="2A672EF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3A20A5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6.08</w:t>
                  </w:r>
                </w:p>
              </w:tc>
              <w:tc>
                <w:tcPr>
                  <w:tcW w:w="1407" w:type="dxa"/>
                  <w:noWrap w:val="0"/>
                  <w:vAlign w:val="center"/>
                </w:tcPr>
                <w:p w14:paraId="76E5742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20.0</w:t>
                  </w:r>
                </w:p>
              </w:tc>
              <w:tc>
                <w:tcPr>
                  <w:tcW w:w="1003" w:type="dxa"/>
                  <w:noWrap w:val="0"/>
                  <w:vAlign w:val="center"/>
                </w:tcPr>
                <w:p w14:paraId="4D1AEC0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0.30</w:t>
                  </w:r>
                </w:p>
              </w:tc>
              <w:tc>
                <w:tcPr>
                  <w:tcW w:w="882" w:type="dxa"/>
                  <w:noWrap w:val="0"/>
                  <w:vAlign w:val="center"/>
                </w:tcPr>
                <w:p w14:paraId="02EF12B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06A1E0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B8B79B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7BC8787F">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亚硝酸盐（以N计）</w:t>
                  </w:r>
                </w:p>
              </w:tc>
              <w:tc>
                <w:tcPr>
                  <w:tcW w:w="941" w:type="dxa"/>
                  <w:noWrap w:val="0"/>
                  <w:vAlign w:val="center"/>
                </w:tcPr>
                <w:p w14:paraId="49078B5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441902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0.082</w:t>
                  </w:r>
                </w:p>
              </w:tc>
              <w:tc>
                <w:tcPr>
                  <w:tcW w:w="1407" w:type="dxa"/>
                  <w:noWrap w:val="0"/>
                  <w:vAlign w:val="center"/>
                </w:tcPr>
                <w:p w14:paraId="55686A9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1.00</w:t>
                  </w:r>
                </w:p>
              </w:tc>
              <w:tc>
                <w:tcPr>
                  <w:tcW w:w="1003" w:type="dxa"/>
                  <w:noWrap w:val="0"/>
                  <w:vAlign w:val="center"/>
                </w:tcPr>
                <w:p w14:paraId="0094198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0.08</w:t>
                  </w:r>
                </w:p>
              </w:tc>
              <w:tc>
                <w:tcPr>
                  <w:tcW w:w="882" w:type="dxa"/>
                  <w:noWrap w:val="0"/>
                  <w:vAlign w:val="center"/>
                </w:tcPr>
                <w:p w14:paraId="0E802D8C">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6B2B15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69F3D16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E60E99D">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挥发酚</w:t>
                  </w:r>
                </w:p>
              </w:tc>
              <w:tc>
                <w:tcPr>
                  <w:tcW w:w="941" w:type="dxa"/>
                  <w:noWrap w:val="0"/>
                  <w:vAlign w:val="center"/>
                </w:tcPr>
                <w:p w14:paraId="057EC0D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3224440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0.0003L</w:t>
                  </w:r>
                </w:p>
              </w:tc>
              <w:tc>
                <w:tcPr>
                  <w:tcW w:w="1407" w:type="dxa"/>
                  <w:noWrap w:val="0"/>
                  <w:vAlign w:val="center"/>
                </w:tcPr>
                <w:p w14:paraId="5C99C98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0.002</w:t>
                  </w:r>
                </w:p>
              </w:tc>
              <w:tc>
                <w:tcPr>
                  <w:tcW w:w="1003" w:type="dxa"/>
                  <w:noWrap w:val="0"/>
                  <w:vAlign w:val="center"/>
                </w:tcPr>
                <w:p w14:paraId="3A2BDE0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5CA7ECA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7BD80D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6A180C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232A86E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氰化物</w:t>
                  </w:r>
                </w:p>
              </w:tc>
              <w:tc>
                <w:tcPr>
                  <w:tcW w:w="941" w:type="dxa"/>
                  <w:noWrap w:val="0"/>
                  <w:vAlign w:val="center"/>
                </w:tcPr>
                <w:p w14:paraId="1B01E37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16B6764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&lt;0.002</w:t>
                  </w:r>
                </w:p>
              </w:tc>
              <w:tc>
                <w:tcPr>
                  <w:tcW w:w="1407" w:type="dxa"/>
                  <w:noWrap w:val="0"/>
                  <w:vAlign w:val="center"/>
                </w:tcPr>
                <w:p w14:paraId="3703801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0.05</w:t>
                  </w:r>
                </w:p>
              </w:tc>
              <w:tc>
                <w:tcPr>
                  <w:tcW w:w="1003" w:type="dxa"/>
                  <w:noWrap w:val="0"/>
                  <w:vAlign w:val="center"/>
                </w:tcPr>
                <w:p w14:paraId="4611444C">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6638331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52466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570655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A7DC04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砷</w:t>
                  </w:r>
                </w:p>
              </w:tc>
              <w:tc>
                <w:tcPr>
                  <w:tcW w:w="941" w:type="dxa"/>
                  <w:noWrap w:val="0"/>
                  <w:vAlign w:val="center"/>
                </w:tcPr>
                <w:p w14:paraId="0F23B958">
                  <w:pPr>
                    <w:keepNext w:val="0"/>
                    <w:keepLines w:val="0"/>
                    <w:pageBreakBefore w:val="0"/>
                    <w:kinsoku/>
                    <w:wordWrap/>
                    <w:overflowPunct/>
                    <w:topLinePunct w:val="0"/>
                    <w:autoSpaceDE/>
                    <w:autoSpaceDN/>
                    <w:bidi w:val="0"/>
                    <w:snapToGrid/>
                    <w:spacing w:before="0" w:after="0" w:line="240" w:lineRule="auto"/>
                    <w:ind w:left="0" w:leftChars="0" w:firstLine="210" w:firstLineChars="100"/>
                    <w:jc w:val="both"/>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2875AA1F">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0.3L</w:t>
                  </w:r>
                </w:p>
              </w:tc>
              <w:tc>
                <w:tcPr>
                  <w:tcW w:w="1407" w:type="dxa"/>
                  <w:noWrap w:val="0"/>
                  <w:vAlign w:val="center"/>
                </w:tcPr>
                <w:p w14:paraId="1DEEDE5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eastAsia" w:cs="Times New Roman"/>
                      <w:color w:val="auto"/>
                      <w:sz w:val="21"/>
                      <w:szCs w:val="21"/>
                      <w:highlight w:val="none"/>
                      <w:lang w:val="en-US" w:eastAsia="zh-CN"/>
                    </w:rPr>
                    <w:t>10</w:t>
                  </w:r>
                </w:p>
              </w:tc>
              <w:tc>
                <w:tcPr>
                  <w:tcW w:w="1003" w:type="dxa"/>
                  <w:noWrap w:val="0"/>
                  <w:vAlign w:val="center"/>
                </w:tcPr>
                <w:p w14:paraId="0ACFA094">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456F3060">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267165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374869D">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A86205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汞</w:t>
                  </w:r>
                </w:p>
              </w:tc>
              <w:tc>
                <w:tcPr>
                  <w:tcW w:w="941" w:type="dxa"/>
                  <w:noWrap w:val="0"/>
                  <w:vAlign w:val="center"/>
                </w:tcPr>
                <w:p w14:paraId="547089A7">
                  <w:pPr>
                    <w:keepNext w:val="0"/>
                    <w:keepLines w:val="0"/>
                    <w:pageBreakBefore w:val="0"/>
                    <w:kinsoku/>
                    <w:wordWrap/>
                    <w:overflowPunct/>
                    <w:topLinePunct w:val="0"/>
                    <w:autoSpaceDE/>
                    <w:autoSpaceDN/>
                    <w:bidi w:val="0"/>
                    <w:snapToGrid/>
                    <w:spacing w:before="0" w:after="0" w:line="240" w:lineRule="auto"/>
                    <w:ind w:left="0" w:leftChars="0" w:firstLine="210" w:firstLineChars="100"/>
                    <w:jc w:val="both"/>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36773B94">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0.04L</w:t>
                  </w:r>
                </w:p>
              </w:tc>
              <w:tc>
                <w:tcPr>
                  <w:tcW w:w="1407" w:type="dxa"/>
                  <w:noWrap w:val="0"/>
                  <w:vAlign w:val="center"/>
                </w:tcPr>
                <w:p w14:paraId="569CF5E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eastAsia" w:cs="Times New Roman"/>
                      <w:color w:val="auto"/>
                      <w:sz w:val="21"/>
                      <w:szCs w:val="21"/>
                      <w:highlight w:val="none"/>
                      <w:lang w:val="en-US" w:eastAsia="zh-CN"/>
                    </w:rPr>
                    <w:t>1</w:t>
                  </w:r>
                </w:p>
              </w:tc>
              <w:tc>
                <w:tcPr>
                  <w:tcW w:w="1003" w:type="dxa"/>
                  <w:noWrap w:val="0"/>
                  <w:vAlign w:val="center"/>
                </w:tcPr>
                <w:p w14:paraId="0BFC2F7D">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005B1D6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shd w:val="clear" w:color="auto" w:fill="auto"/>
                      <w:lang w:val="en-US" w:eastAsia="zh-CN"/>
                    </w:rPr>
                    <w:t>符合</w:t>
                  </w:r>
                </w:p>
              </w:tc>
            </w:tr>
            <w:tr w14:paraId="6FEEB1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76E0ED6A">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7D67812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铬</w:t>
                  </w:r>
                </w:p>
              </w:tc>
              <w:tc>
                <w:tcPr>
                  <w:tcW w:w="941" w:type="dxa"/>
                  <w:noWrap w:val="0"/>
                  <w:vAlign w:val="center"/>
                </w:tcPr>
                <w:p w14:paraId="686349B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0474B5C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0.03L</w:t>
                  </w:r>
                </w:p>
              </w:tc>
              <w:tc>
                <w:tcPr>
                  <w:tcW w:w="1407" w:type="dxa"/>
                  <w:noWrap w:val="0"/>
                  <w:vAlign w:val="center"/>
                </w:tcPr>
                <w:p w14:paraId="0D28474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w:t>
                  </w:r>
                </w:p>
              </w:tc>
              <w:tc>
                <w:tcPr>
                  <w:tcW w:w="1003" w:type="dxa"/>
                  <w:noWrap w:val="0"/>
                  <w:vAlign w:val="center"/>
                </w:tcPr>
                <w:p w14:paraId="2A7165E3">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2C4E2ADD">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2D55DA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AEFE8C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68EF76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六价铬</w:t>
                  </w:r>
                </w:p>
              </w:tc>
              <w:tc>
                <w:tcPr>
                  <w:tcW w:w="941" w:type="dxa"/>
                  <w:noWrap w:val="0"/>
                  <w:vAlign w:val="center"/>
                </w:tcPr>
                <w:p w14:paraId="418567F8">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90831E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&lt;0.004</w:t>
                  </w:r>
                </w:p>
              </w:tc>
              <w:tc>
                <w:tcPr>
                  <w:tcW w:w="1407" w:type="dxa"/>
                  <w:noWrap w:val="0"/>
                  <w:vAlign w:val="center"/>
                </w:tcPr>
                <w:p w14:paraId="55C36A58">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0.05</w:t>
                  </w:r>
                </w:p>
              </w:tc>
              <w:tc>
                <w:tcPr>
                  <w:tcW w:w="1003" w:type="dxa"/>
                  <w:noWrap w:val="0"/>
                  <w:vAlign w:val="center"/>
                </w:tcPr>
                <w:p w14:paraId="03C09D4D">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w:t>
                  </w:r>
                </w:p>
              </w:tc>
              <w:tc>
                <w:tcPr>
                  <w:tcW w:w="882" w:type="dxa"/>
                  <w:noWrap w:val="0"/>
                  <w:vAlign w:val="center"/>
                </w:tcPr>
                <w:p w14:paraId="76893E10">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w:t>
                  </w:r>
                </w:p>
              </w:tc>
            </w:tr>
            <w:tr w14:paraId="20B2F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72" w:hRule="atLeast"/>
                <w:jc w:val="center"/>
              </w:trPr>
              <w:tc>
                <w:tcPr>
                  <w:tcW w:w="1040" w:type="dxa"/>
                  <w:vMerge w:val="continue"/>
                  <w:noWrap w:val="0"/>
                  <w:vAlign w:val="center"/>
                </w:tcPr>
                <w:p w14:paraId="60465E1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2F62273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lang w:val="en-US"/>
                    </w:rPr>
                  </w:pPr>
                  <w:r>
                    <w:rPr>
                      <w:rFonts w:hint="default" w:ascii="Times New Roman" w:hAnsi="Times New Roman" w:eastAsia="宋体" w:cs="Times New Roman"/>
                      <w:color w:val="auto"/>
                      <w:sz w:val="21"/>
                      <w:szCs w:val="21"/>
                      <w:highlight w:val="none"/>
                      <w:lang w:val="en-US" w:eastAsia="zh-CN"/>
                    </w:rPr>
                    <w:t>总硬度</w:t>
                  </w:r>
                </w:p>
              </w:tc>
              <w:tc>
                <w:tcPr>
                  <w:tcW w:w="941" w:type="dxa"/>
                  <w:noWrap w:val="0"/>
                  <w:vAlign w:val="center"/>
                </w:tcPr>
                <w:p w14:paraId="08F63474">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22A8567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195</w:t>
                  </w:r>
                </w:p>
              </w:tc>
              <w:tc>
                <w:tcPr>
                  <w:tcW w:w="1407" w:type="dxa"/>
                  <w:noWrap w:val="0"/>
                  <w:vAlign w:val="center"/>
                </w:tcPr>
                <w:p w14:paraId="31376851">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450</w:t>
                  </w:r>
                </w:p>
              </w:tc>
              <w:tc>
                <w:tcPr>
                  <w:tcW w:w="1003" w:type="dxa"/>
                  <w:noWrap w:val="0"/>
                  <w:vAlign w:val="center"/>
                </w:tcPr>
                <w:p w14:paraId="4A141F1D">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0.43</w:t>
                  </w:r>
                </w:p>
              </w:tc>
              <w:tc>
                <w:tcPr>
                  <w:tcW w:w="882" w:type="dxa"/>
                  <w:shd w:val="clear" w:color="auto" w:fill="auto"/>
                  <w:noWrap w:val="0"/>
                  <w:vAlign w:val="center"/>
                </w:tcPr>
                <w:p w14:paraId="591EE0C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eastAsia="宋体" w:cs="Times New Roman"/>
                      <w:color w:val="auto"/>
                      <w:kern w:val="2"/>
                      <w:sz w:val="21"/>
                      <w:szCs w:val="21"/>
                      <w:highlight w:val="none"/>
                      <w:shd w:val="clear" w:color="auto" w:fill="auto"/>
                      <w:lang w:val="en-US" w:eastAsia="zh-CN" w:bidi="ar-SA"/>
                    </w:rPr>
                    <w:t>符合</w:t>
                  </w:r>
                </w:p>
              </w:tc>
            </w:tr>
            <w:tr w14:paraId="2387F9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4980A0C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329CBA1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铅</w:t>
                  </w:r>
                </w:p>
              </w:tc>
              <w:tc>
                <w:tcPr>
                  <w:tcW w:w="941" w:type="dxa"/>
                  <w:noWrap w:val="0"/>
                  <w:vAlign w:val="center"/>
                </w:tcPr>
                <w:p w14:paraId="009485C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6D23953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&lt;2.5</w:t>
                  </w:r>
                </w:p>
              </w:tc>
              <w:tc>
                <w:tcPr>
                  <w:tcW w:w="1407" w:type="dxa"/>
                  <w:noWrap w:val="0"/>
                  <w:vAlign w:val="center"/>
                </w:tcPr>
                <w:p w14:paraId="122CD758">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003" w:type="dxa"/>
                  <w:noWrap w:val="0"/>
                  <w:vAlign w:val="center"/>
                </w:tcPr>
                <w:p w14:paraId="47298BDE">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shd w:val="clear" w:color="auto" w:fill="auto"/>
                  <w:noWrap w:val="0"/>
                  <w:vAlign w:val="center"/>
                </w:tcPr>
                <w:p w14:paraId="3712F528">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eastAsia" w:eastAsia="宋体" w:cs="Times New Roman"/>
                      <w:color w:val="auto"/>
                      <w:kern w:val="2"/>
                      <w:sz w:val="21"/>
                      <w:szCs w:val="21"/>
                      <w:highlight w:val="none"/>
                      <w:shd w:val="clear" w:color="auto" w:fill="auto"/>
                      <w:lang w:val="en-US" w:eastAsia="zh-CN" w:bidi="ar-SA"/>
                    </w:rPr>
                    <w:t>符合</w:t>
                  </w:r>
                </w:p>
              </w:tc>
            </w:tr>
            <w:tr w14:paraId="17CDD5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571FE67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6CA294CF">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氟化物</w:t>
                  </w:r>
                </w:p>
              </w:tc>
              <w:tc>
                <w:tcPr>
                  <w:tcW w:w="941" w:type="dxa"/>
                  <w:noWrap w:val="0"/>
                  <w:vAlign w:val="center"/>
                </w:tcPr>
                <w:p w14:paraId="06AAAC0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2B64458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0.16</w:t>
                  </w:r>
                </w:p>
              </w:tc>
              <w:tc>
                <w:tcPr>
                  <w:tcW w:w="1407" w:type="dxa"/>
                  <w:noWrap w:val="0"/>
                  <w:vAlign w:val="center"/>
                </w:tcPr>
                <w:p w14:paraId="62AB81F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1.0</w:t>
                  </w:r>
                </w:p>
              </w:tc>
              <w:tc>
                <w:tcPr>
                  <w:tcW w:w="1003" w:type="dxa"/>
                  <w:noWrap w:val="0"/>
                  <w:vAlign w:val="center"/>
                </w:tcPr>
                <w:p w14:paraId="0ACA3DFA">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0.16</w:t>
                  </w:r>
                </w:p>
              </w:tc>
              <w:tc>
                <w:tcPr>
                  <w:tcW w:w="882" w:type="dxa"/>
                  <w:noWrap w:val="0"/>
                  <w:vAlign w:val="center"/>
                </w:tcPr>
                <w:p w14:paraId="0B8AE90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725736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1D25F77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ECAB035">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镉</w:t>
                  </w:r>
                </w:p>
              </w:tc>
              <w:tc>
                <w:tcPr>
                  <w:tcW w:w="941" w:type="dxa"/>
                  <w:noWrap w:val="0"/>
                  <w:vAlign w:val="center"/>
                </w:tcPr>
                <w:p w14:paraId="4BBA51B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6EE5E8CD">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&lt;0.5</w:t>
                  </w:r>
                </w:p>
              </w:tc>
              <w:tc>
                <w:tcPr>
                  <w:tcW w:w="1407" w:type="dxa"/>
                  <w:noWrap w:val="0"/>
                  <w:vAlign w:val="center"/>
                </w:tcPr>
                <w:p w14:paraId="26AF4A1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5</w:t>
                  </w:r>
                </w:p>
              </w:tc>
              <w:tc>
                <w:tcPr>
                  <w:tcW w:w="1003" w:type="dxa"/>
                  <w:noWrap w:val="0"/>
                  <w:vAlign w:val="center"/>
                </w:tcPr>
                <w:p w14:paraId="4DCEA07E">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1307B851">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774493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1E6D93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33AB50D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铁</w:t>
                  </w:r>
                </w:p>
              </w:tc>
              <w:tc>
                <w:tcPr>
                  <w:tcW w:w="941" w:type="dxa"/>
                  <w:noWrap w:val="0"/>
                  <w:vAlign w:val="center"/>
                </w:tcPr>
                <w:p w14:paraId="54FDCD3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406806B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0.03L</w:t>
                  </w:r>
                </w:p>
              </w:tc>
              <w:tc>
                <w:tcPr>
                  <w:tcW w:w="1407" w:type="dxa"/>
                  <w:noWrap w:val="0"/>
                  <w:vAlign w:val="center"/>
                </w:tcPr>
                <w:p w14:paraId="643A543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0.3</w:t>
                  </w:r>
                </w:p>
              </w:tc>
              <w:tc>
                <w:tcPr>
                  <w:tcW w:w="1003" w:type="dxa"/>
                  <w:noWrap w:val="0"/>
                  <w:vAlign w:val="center"/>
                </w:tcPr>
                <w:p w14:paraId="43A5940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6DA48804">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3B8CBA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3CC235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8CFDEC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锰</w:t>
                  </w:r>
                </w:p>
              </w:tc>
              <w:tc>
                <w:tcPr>
                  <w:tcW w:w="941" w:type="dxa"/>
                  <w:noWrap w:val="0"/>
                  <w:vAlign w:val="center"/>
                </w:tcPr>
                <w:p w14:paraId="0AC6996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6913BA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0.01L</w:t>
                  </w:r>
                </w:p>
              </w:tc>
              <w:tc>
                <w:tcPr>
                  <w:tcW w:w="1407" w:type="dxa"/>
                  <w:noWrap w:val="0"/>
                  <w:vAlign w:val="center"/>
                </w:tcPr>
                <w:p w14:paraId="38181B3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0.10</w:t>
                  </w:r>
                </w:p>
              </w:tc>
              <w:tc>
                <w:tcPr>
                  <w:tcW w:w="1003" w:type="dxa"/>
                  <w:noWrap w:val="0"/>
                  <w:vAlign w:val="center"/>
                </w:tcPr>
                <w:p w14:paraId="5182FF0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5177D55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06D74B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5DA5F5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3B0DC6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镍</w:t>
                  </w:r>
                </w:p>
              </w:tc>
              <w:tc>
                <w:tcPr>
                  <w:tcW w:w="941" w:type="dxa"/>
                  <w:noWrap w:val="0"/>
                  <w:vAlign w:val="center"/>
                </w:tcPr>
                <w:p w14:paraId="5C7C3FA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μg/L</w:t>
                  </w:r>
                </w:p>
              </w:tc>
              <w:tc>
                <w:tcPr>
                  <w:tcW w:w="1181" w:type="dxa"/>
                  <w:noWrap w:val="0"/>
                  <w:vAlign w:val="center"/>
                </w:tcPr>
                <w:p w14:paraId="11596E5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&lt;5</w:t>
                  </w:r>
                </w:p>
              </w:tc>
              <w:tc>
                <w:tcPr>
                  <w:tcW w:w="1407" w:type="dxa"/>
                  <w:noWrap w:val="0"/>
                  <w:vAlign w:val="center"/>
                </w:tcPr>
                <w:p w14:paraId="6FB626D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c>
                <w:tcPr>
                  <w:tcW w:w="1003" w:type="dxa"/>
                  <w:noWrap w:val="0"/>
                  <w:vAlign w:val="center"/>
                </w:tcPr>
                <w:p w14:paraId="3ED91E7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33B08E8B">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34C667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2233C72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26985A5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锌</w:t>
                  </w:r>
                </w:p>
              </w:tc>
              <w:tc>
                <w:tcPr>
                  <w:tcW w:w="941" w:type="dxa"/>
                  <w:noWrap w:val="0"/>
                  <w:vAlign w:val="center"/>
                </w:tcPr>
                <w:p w14:paraId="2B060B4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32E94DD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0.05L</w:t>
                  </w:r>
                </w:p>
              </w:tc>
              <w:tc>
                <w:tcPr>
                  <w:tcW w:w="1407" w:type="dxa"/>
                  <w:noWrap w:val="0"/>
                  <w:vAlign w:val="center"/>
                </w:tcPr>
                <w:p w14:paraId="28773E8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003" w:type="dxa"/>
                  <w:noWrap w:val="0"/>
                  <w:vAlign w:val="center"/>
                </w:tcPr>
                <w:p w14:paraId="6790E790">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25BC8ED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3D1BA6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146C1A4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55CA028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铜</w:t>
                  </w:r>
                </w:p>
              </w:tc>
              <w:tc>
                <w:tcPr>
                  <w:tcW w:w="941" w:type="dxa"/>
                  <w:noWrap w:val="0"/>
                  <w:vAlign w:val="center"/>
                </w:tcPr>
                <w:p w14:paraId="0E4A275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4B6D85F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i w:val="0"/>
                      <w:iCs w:val="0"/>
                      <w:color w:val="auto"/>
                      <w:sz w:val="21"/>
                      <w:szCs w:val="21"/>
                      <w:highlight w:val="none"/>
                      <w:lang w:val="en-US" w:eastAsia="zh-CN"/>
                    </w:rPr>
                  </w:pPr>
                  <w:r>
                    <w:rPr>
                      <w:rFonts w:hint="eastAsia" w:cs="Times New Roman"/>
                      <w:i w:val="0"/>
                      <w:iCs w:val="0"/>
                      <w:color w:val="auto"/>
                      <w:sz w:val="21"/>
                      <w:szCs w:val="21"/>
                      <w:highlight w:val="none"/>
                      <w:lang w:val="en-US" w:eastAsia="zh-CN"/>
                    </w:rPr>
                    <w:t>0.05L</w:t>
                  </w:r>
                </w:p>
              </w:tc>
              <w:tc>
                <w:tcPr>
                  <w:tcW w:w="1407" w:type="dxa"/>
                  <w:noWrap w:val="0"/>
                  <w:vAlign w:val="center"/>
                </w:tcPr>
                <w:p w14:paraId="062250E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003" w:type="dxa"/>
                  <w:noWrap w:val="0"/>
                  <w:vAlign w:val="center"/>
                </w:tcPr>
                <w:p w14:paraId="4E853B3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535F77E6">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0FD437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CA92B7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648BA7F2">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溶解性总固体</w:t>
                  </w:r>
                </w:p>
              </w:tc>
              <w:tc>
                <w:tcPr>
                  <w:tcW w:w="941" w:type="dxa"/>
                  <w:noWrap w:val="0"/>
                  <w:vAlign w:val="center"/>
                </w:tcPr>
                <w:p w14:paraId="4F5DE44F">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2F3552A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304</w:t>
                  </w:r>
                </w:p>
              </w:tc>
              <w:tc>
                <w:tcPr>
                  <w:tcW w:w="1407" w:type="dxa"/>
                  <w:noWrap w:val="0"/>
                  <w:vAlign w:val="center"/>
                </w:tcPr>
                <w:p w14:paraId="074D3B3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1000</w:t>
                  </w:r>
                </w:p>
              </w:tc>
              <w:tc>
                <w:tcPr>
                  <w:tcW w:w="1003" w:type="dxa"/>
                  <w:noWrap w:val="0"/>
                  <w:vAlign w:val="center"/>
                </w:tcPr>
                <w:p w14:paraId="5485D330">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0.30</w:t>
                  </w:r>
                </w:p>
              </w:tc>
              <w:tc>
                <w:tcPr>
                  <w:tcW w:w="882" w:type="dxa"/>
                  <w:noWrap w:val="0"/>
                  <w:vAlign w:val="center"/>
                </w:tcPr>
                <w:p w14:paraId="03EDFB2D">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0731F5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35935E0E">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1439F300">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lang w:val="en-US"/>
                    </w:rPr>
                  </w:pPr>
                  <w:r>
                    <w:rPr>
                      <w:rFonts w:hint="default" w:ascii="Times New Roman" w:hAnsi="Times New Roman" w:eastAsia="宋体" w:cs="Times New Roman"/>
                      <w:color w:val="auto"/>
                      <w:sz w:val="21"/>
                      <w:szCs w:val="21"/>
                      <w:highlight w:val="none"/>
                      <w:lang w:val="en-US" w:eastAsia="zh-CN"/>
                    </w:rPr>
                    <w:t>高锰酸盐指数（以O</w:t>
                  </w:r>
                  <w:r>
                    <w:rPr>
                      <w:rFonts w:hint="default" w:ascii="Times New Roman" w:hAnsi="Times New Roman" w:eastAsia="宋体" w:cs="Times New Roman"/>
                      <w:color w:val="auto"/>
                      <w:sz w:val="21"/>
                      <w:szCs w:val="21"/>
                      <w:highlight w:val="none"/>
                      <w:vertAlign w:val="subscript"/>
                      <w:lang w:val="en-US" w:eastAsia="zh-CN"/>
                    </w:rPr>
                    <w:t>2</w:t>
                  </w:r>
                  <w:r>
                    <w:rPr>
                      <w:rFonts w:hint="default" w:ascii="Times New Roman" w:hAnsi="Times New Roman" w:eastAsia="宋体" w:cs="Times New Roman"/>
                      <w:color w:val="auto"/>
                      <w:sz w:val="21"/>
                      <w:szCs w:val="21"/>
                      <w:highlight w:val="none"/>
                      <w:lang w:val="en-US" w:eastAsia="zh-CN"/>
                    </w:rPr>
                    <w:t>计）</w:t>
                  </w:r>
                </w:p>
              </w:tc>
              <w:tc>
                <w:tcPr>
                  <w:tcW w:w="941" w:type="dxa"/>
                  <w:noWrap w:val="0"/>
                  <w:vAlign w:val="center"/>
                </w:tcPr>
                <w:p w14:paraId="294E67C7">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mg/L</w:t>
                  </w:r>
                </w:p>
              </w:tc>
              <w:tc>
                <w:tcPr>
                  <w:tcW w:w="1181" w:type="dxa"/>
                  <w:noWrap w:val="0"/>
                  <w:vAlign w:val="center"/>
                </w:tcPr>
                <w:p w14:paraId="79FC127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0.8</w:t>
                  </w:r>
                </w:p>
              </w:tc>
              <w:tc>
                <w:tcPr>
                  <w:tcW w:w="1407" w:type="dxa"/>
                  <w:noWrap w:val="0"/>
                  <w:vAlign w:val="center"/>
                </w:tcPr>
                <w:p w14:paraId="6A82069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3.0</w:t>
                  </w:r>
                </w:p>
              </w:tc>
              <w:tc>
                <w:tcPr>
                  <w:tcW w:w="1003" w:type="dxa"/>
                  <w:noWrap w:val="0"/>
                  <w:vAlign w:val="center"/>
                </w:tcPr>
                <w:p w14:paraId="7834610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0.27</w:t>
                  </w:r>
                </w:p>
              </w:tc>
              <w:tc>
                <w:tcPr>
                  <w:tcW w:w="882" w:type="dxa"/>
                  <w:noWrap w:val="0"/>
                  <w:vAlign w:val="center"/>
                </w:tcPr>
                <w:p w14:paraId="6E10D29A">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50C122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729222C3">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0FEFABE4">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rPr>
                  </w:pPr>
                  <w:r>
                    <w:rPr>
                      <w:rFonts w:hint="default" w:ascii="Times New Roman" w:hAnsi="Times New Roman" w:eastAsia="宋体" w:cs="Times New Roman"/>
                      <w:color w:val="auto"/>
                      <w:sz w:val="21"/>
                      <w:szCs w:val="21"/>
                      <w:highlight w:val="none"/>
                      <w:lang w:val="en-US" w:eastAsia="zh-CN"/>
                    </w:rPr>
                    <w:t>总大肠菌群</w:t>
                  </w:r>
                </w:p>
              </w:tc>
              <w:tc>
                <w:tcPr>
                  <w:tcW w:w="941" w:type="dxa"/>
                  <w:noWrap w:val="0"/>
                  <w:vAlign w:val="center"/>
                </w:tcPr>
                <w:p w14:paraId="3855F9C6">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MPN/100mL</w:t>
                  </w:r>
                </w:p>
              </w:tc>
              <w:tc>
                <w:tcPr>
                  <w:tcW w:w="1181" w:type="dxa"/>
                  <w:noWrap w:val="0"/>
                  <w:vAlign w:val="center"/>
                </w:tcPr>
                <w:p w14:paraId="198DC8CC">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未检出</w:t>
                  </w:r>
                </w:p>
              </w:tc>
              <w:tc>
                <w:tcPr>
                  <w:tcW w:w="1407" w:type="dxa"/>
                  <w:noWrap w:val="0"/>
                  <w:vAlign w:val="center"/>
                </w:tcPr>
                <w:p w14:paraId="78C1BE4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3.0</w:t>
                  </w:r>
                </w:p>
              </w:tc>
              <w:tc>
                <w:tcPr>
                  <w:tcW w:w="1003" w:type="dxa"/>
                  <w:noWrap w:val="0"/>
                  <w:vAlign w:val="center"/>
                </w:tcPr>
                <w:p w14:paraId="147CBBA1">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3EA2385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0CBEB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0267551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noWrap w:val="0"/>
                  <w:vAlign w:val="center"/>
                </w:tcPr>
                <w:p w14:paraId="73DCC99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菌落</w:t>
                  </w:r>
                  <w:r>
                    <w:rPr>
                      <w:rFonts w:hint="default" w:ascii="Times New Roman" w:hAnsi="Times New Roman" w:eastAsia="宋体" w:cs="Times New Roman"/>
                      <w:color w:val="auto"/>
                      <w:sz w:val="21"/>
                      <w:szCs w:val="21"/>
                      <w:highlight w:val="none"/>
                    </w:rPr>
                    <w:t>总数</w:t>
                  </w:r>
                </w:p>
              </w:tc>
              <w:tc>
                <w:tcPr>
                  <w:tcW w:w="941" w:type="dxa"/>
                  <w:noWrap w:val="0"/>
                  <w:vAlign w:val="center"/>
                </w:tcPr>
                <w:p w14:paraId="7F7914A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lang w:val="en-US" w:eastAsia="zh-CN"/>
                    </w:rPr>
                    <w:t>CFU/mL</w:t>
                  </w:r>
                </w:p>
              </w:tc>
              <w:tc>
                <w:tcPr>
                  <w:tcW w:w="1181" w:type="dxa"/>
                  <w:noWrap w:val="0"/>
                  <w:vAlign w:val="center"/>
                </w:tcPr>
                <w:p w14:paraId="382E9ACC">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31</w:t>
                  </w:r>
                </w:p>
              </w:tc>
              <w:tc>
                <w:tcPr>
                  <w:tcW w:w="1407" w:type="dxa"/>
                  <w:noWrap w:val="0"/>
                  <w:vAlign w:val="center"/>
                </w:tcPr>
                <w:p w14:paraId="2EC98649">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100</w:t>
                  </w:r>
                </w:p>
              </w:tc>
              <w:tc>
                <w:tcPr>
                  <w:tcW w:w="1003" w:type="dxa"/>
                  <w:noWrap w:val="0"/>
                  <w:vAlign w:val="center"/>
                </w:tcPr>
                <w:p w14:paraId="3A88BB79">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882" w:type="dxa"/>
                  <w:noWrap w:val="0"/>
                  <w:vAlign w:val="center"/>
                </w:tcPr>
                <w:p w14:paraId="15D5B307">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kern w:val="2"/>
                      <w:sz w:val="21"/>
                      <w:szCs w:val="21"/>
                      <w:highlight w:val="none"/>
                      <w:shd w:val="clear" w:color="auto" w:fill="auto"/>
                      <w:lang w:val="en-US" w:eastAsia="zh-CN" w:bidi="ar-SA"/>
                    </w:rPr>
                    <w:t>符合</w:t>
                  </w:r>
                </w:p>
              </w:tc>
            </w:tr>
            <w:tr w14:paraId="673283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0" w:type="dxa"/>
                  <w:vMerge w:val="continue"/>
                  <w:noWrap w:val="0"/>
                  <w:vAlign w:val="center"/>
                </w:tcPr>
                <w:p w14:paraId="62164839">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shd w:val="clear" w:color="auto" w:fill="auto"/>
                      <w:lang w:val="en-US" w:eastAsia="zh-CN"/>
                    </w:rPr>
                  </w:pPr>
                </w:p>
              </w:tc>
              <w:tc>
                <w:tcPr>
                  <w:tcW w:w="1653" w:type="dxa"/>
                  <w:shd w:val="clear" w:color="auto" w:fill="auto"/>
                  <w:noWrap w:val="0"/>
                  <w:vAlign w:val="center"/>
                </w:tcPr>
                <w:p w14:paraId="65B51D3B">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石油类</w:t>
                  </w:r>
                </w:p>
              </w:tc>
              <w:tc>
                <w:tcPr>
                  <w:tcW w:w="941" w:type="dxa"/>
                  <w:shd w:val="clear" w:color="auto" w:fill="auto"/>
                  <w:noWrap w:val="0"/>
                  <w:vAlign w:val="center"/>
                </w:tcPr>
                <w:p w14:paraId="7DBAB9AE">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mg/L</w:t>
                  </w:r>
                </w:p>
              </w:tc>
              <w:tc>
                <w:tcPr>
                  <w:tcW w:w="1181" w:type="dxa"/>
                  <w:shd w:val="clear" w:color="auto" w:fill="auto"/>
                  <w:noWrap w:val="0"/>
                  <w:vAlign w:val="center"/>
                </w:tcPr>
                <w:p w14:paraId="517B2E53">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eastAsia" w:cs="Times New Roman"/>
                      <w:color w:val="auto"/>
                      <w:kern w:val="1"/>
                      <w:sz w:val="21"/>
                      <w:szCs w:val="21"/>
                      <w:highlight w:val="none"/>
                      <w:shd w:val="clear" w:color="auto" w:fill="auto"/>
                      <w:lang w:val="en-US" w:eastAsia="zh-CN" w:bidi="ar-SA"/>
                    </w:rPr>
                    <w:t>0.01L</w:t>
                  </w:r>
                </w:p>
              </w:tc>
              <w:tc>
                <w:tcPr>
                  <w:tcW w:w="1407" w:type="dxa"/>
                  <w:shd w:val="clear" w:color="auto" w:fill="auto"/>
                  <w:noWrap w:val="0"/>
                  <w:vAlign w:val="center"/>
                </w:tcPr>
                <w:p w14:paraId="3995D81A">
                  <w:pPr>
                    <w:pStyle w:val="35"/>
                    <w:keepNext w:val="0"/>
                    <w:keepLines w:val="0"/>
                    <w:pageBreakBefore w:val="0"/>
                    <w:kinsoku/>
                    <w:wordWrap/>
                    <w:overflowPunct/>
                    <w:topLinePunct w:val="0"/>
                    <w:autoSpaceDE/>
                    <w:autoSpaceDN/>
                    <w:bidi w:val="0"/>
                    <w:snapToGrid/>
                    <w:spacing w:before="0" w:after="0" w:line="240" w:lineRule="auto"/>
                    <w:ind w:firstLine="0" w:firstLineChars="0"/>
                    <w:rPr>
                      <w:rFonts w:hint="default" w:ascii="Times New Roman" w:hAnsi="Times New Roman" w:eastAsia="宋体" w:cs="Times New Roman"/>
                      <w:color w:val="auto"/>
                      <w:kern w:val="1"/>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lang w:val="en-US" w:eastAsia="zh-CN"/>
                    </w:rPr>
                    <w:t>0.05</w:t>
                  </w:r>
                </w:p>
              </w:tc>
              <w:tc>
                <w:tcPr>
                  <w:tcW w:w="1003" w:type="dxa"/>
                  <w:shd w:val="clear" w:color="auto" w:fill="auto"/>
                  <w:noWrap w:val="0"/>
                  <w:vAlign w:val="center"/>
                </w:tcPr>
                <w:p w14:paraId="72FAE490">
                  <w:pPr>
                    <w:pStyle w:val="35"/>
                    <w:keepNext w:val="0"/>
                    <w:keepLines w:val="0"/>
                    <w:pageBreakBefore w:val="0"/>
                    <w:kinsoku/>
                    <w:wordWrap/>
                    <w:overflowPunct/>
                    <w:topLinePunct w:val="0"/>
                    <w:autoSpaceDE/>
                    <w:autoSpaceDN/>
                    <w:bidi w:val="0"/>
                    <w:snapToGrid/>
                    <w:spacing w:before="0" w:after="0" w:line="240" w:lineRule="auto"/>
                    <w:ind w:firstLine="0" w:firstLineChars="0"/>
                    <w:jc w:val="center"/>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w:t>
                  </w:r>
                </w:p>
              </w:tc>
              <w:tc>
                <w:tcPr>
                  <w:tcW w:w="882" w:type="dxa"/>
                  <w:shd w:val="clear" w:color="auto" w:fill="auto"/>
                  <w:noWrap w:val="0"/>
                  <w:vAlign w:val="center"/>
                </w:tcPr>
                <w:p w14:paraId="26477D0F">
                  <w:pPr>
                    <w:pStyle w:val="51"/>
                    <w:keepNext w:val="0"/>
                    <w:keepLines w:val="0"/>
                    <w:pageBreakBefore w:val="0"/>
                    <w:shd w:val="clear" w:color="auto" w:fill="auto"/>
                    <w:kinsoku/>
                    <w:wordWrap/>
                    <w:overflowPunct/>
                    <w:topLinePunct w:val="0"/>
                    <w:autoSpaceDE/>
                    <w:autoSpaceDN/>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eastAsia="宋体" w:cs="Times New Roman"/>
                      <w:color w:val="auto"/>
                      <w:kern w:val="2"/>
                      <w:sz w:val="21"/>
                      <w:szCs w:val="21"/>
                      <w:highlight w:val="none"/>
                      <w:shd w:val="clear" w:color="auto" w:fill="auto"/>
                      <w:lang w:val="en-US" w:eastAsia="zh-CN" w:bidi="ar-SA"/>
                    </w:rPr>
                    <w:t>符合</w:t>
                  </w:r>
                </w:p>
              </w:tc>
            </w:tr>
          </w:tbl>
          <w:p w14:paraId="65EAD39A">
            <w:pPr>
              <w:bidi w:val="0"/>
              <w:rPr>
                <w:rFonts w:hint="default"/>
                <w:color w:val="auto"/>
                <w:highlight w:val="none"/>
                <w:lang w:val="en-US" w:eastAsia="zh-CN"/>
              </w:rPr>
            </w:pPr>
            <w:r>
              <w:rPr>
                <w:rFonts w:hint="eastAsia"/>
                <w:color w:val="auto"/>
                <w:highlight w:val="none"/>
                <w:lang w:val="en-US" w:eastAsia="zh-CN"/>
              </w:rPr>
              <w:t>根据检测结果可知</w:t>
            </w:r>
            <w:r>
              <w:rPr>
                <w:rFonts w:hint="eastAsia"/>
                <w:color w:val="auto"/>
                <w:sz w:val="24"/>
                <w:szCs w:val="24"/>
                <w:highlight w:val="none"/>
                <w:lang w:val="en-US" w:eastAsia="zh-CN"/>
              </w:rPr>
              <w:t>，地下水监测因子</w:t>
            </w:r>
            <w:r>
              <w:rPr>
                <w:rFonts w:hint="eastAsia" w:ascii="Times New Roman" w:hAnsi="Times New Roman" w:cs="Times New Roman"/>
                <w:color w:val="auto"/>
                <w:sz w:val="24"/>
                <w:szCs w:val="24"/>
                <w:highlight w:val="none"/>
                <w:lang w:val="en-US" w:eastAsia="zh-CN"/>
              </w:rPr>
              <w:t>监测值</w:t>
            </w:r>
            <w:r>
              <w:rPr>
                <w:rFonts w:hint="eastAsia" w:cs="Times New Roman"/>
                <w:color w:val="auto"/>
                <w:sz w:val="24"/>
                <w:szCs w:val="24"/>
                <w:highlight w:val="none"/>
                <w:lang w:val="en-US" w:eastAsia="zh-CN"/>
              </w:rPr>
              <w:t>满足</w:t>
            </w:r>
            <w:r>
              <w:rPr>
                <w:color w:val="auto"/>
                <w:sz w:val="24"/>
                <w:szCs w:val="24"/>
                <w:highlight w:val="none"/>
              </w:rPr>
              <w:t>《地下水质量标准》（GB</w:t>
            </w:r>
            <w:r>
              <w:rPr>
                <w:rFonts w:hint="eastAsia"/>
                <w:color w:val="auto"/>
                <w:sz w:val="24"/>
                <w:szCs w:val="24"/>
                <w:highlight w:val="none"/>
                <w:lang w:val="en-US" w:eastAsia="zh-CN"/>
              </w:rPr>
              <w:t xml:space="preserve">/T </w:t>
            </w:r>
            <w:r>
              <w:rPr>
                <w:color w:val="auto"/>
                <w:sz w:val="24"/>
                <w:szCs w:val="24"/>
                <w:highlight w:val="none"/>
              </w:rPr>
              <w:t>14848-2017）III类标准</w:t>
            </w:r>
            <w:r>
              <w:rPr>
                <w:rFonts w:hint="eastAsia" w:ascii="Times New Roman" w:hAnsi="Times New Roman"/>
                <w:color w:val="auto"/>
                <w:sz w:val="24"/>
                <w:szCs w:val="24"/>
                <w:highlight w:val="none"/>
                <w:lang w:eastAsia="zh-CN"/>
              </w:rPr>
              <w:t>。</w:t>
            </w:r>
            <w:r>
              <w:rPr>
                <w:rFonts w:hint="eastAsia"/>
                <w:color w:val="auto"/>
                <w:sz w:val="24"/>
                <w:szCs w:val="24"/>
                <w:highlight w:val="none"/>
                <w:lang w:val="en-US" w:eastAsia="zh-CN"/>
              </w:rPr>
              <w:t>石油类满足</w:t>
            </w:r>
            <w:r>
              <w:rPr>
                <w:rFonts w:hint="eastAsia"/>
                <w:color w:val="auto"/>
                <w:highlight w:val="none"/>
                <w:lang w:val="en-US" w:eastAsia="zh-CN"/>
              </w:rPr>
              <w:t>《地表水环境质量标准》（GB 3838-2002）</w:t>
            </w:r>
            <w:r>
              <w:rPr>
                <w:rFonts w:hint="default" w:ascii="Times New Roman" w:hAnsi="Times New Roman" w:cs="Times New Roman"/>
                <w:color w:val="auto"/>
                <w:highlight w:val="none"/>
                <w:lang w:val="en-US" w:eastAsia="zh-CN"/>
              </w:rPr>
              <w:t>Ⅲ</w:t>
            </w:r>
            <w:r>
              <w:rPr>
                <w:rFonts w:hint="eastAsia"/>
                <w:color w:val="auto"/>
                <w:highlight w:val="none"/>
                <w:lang w:val="en-US" w:eastAsia="zh-CN"/>
              </w:rPr>
              <w:t>类标准。</w:t>
            </w:r>
          </w:p>
          <w:p w14:paraId="14D88D5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5.土壤</w:t>
            </w:r>
            <w:r>
              <w:rPr>
                <w:rFonts w:hint="eastAsia" w:ascii="Times New Roman" w:hAnsi="Times New Roman" w:eastAsia="宋体" w:cs="Times New Roman"/>
                <w:b/>
                <w:bCs/>
                <w:color w:val="auto"/>
                <w:highlight w:val="none"/>
                <w:lang w:val="en-US" w:eastAsia="zh-CN"/>
              </w:rPr>
              <w:t>环境</w:t>
            </w:r>
          </w:p>
          <w:p w14:paraId="48D17740">
            <w:pPr>
              <w:keepNext w:val="0"/>
              <w:keepLines w:val="0"/>
              <w:pageBreakBefore w:val="0"/>
              <w:widowControl w:val="0"/>
              <w:kinsoku/>
              <w:wordWrap/>
              <w:overflowPunct/>
              <w:topLinePunct w:val="0"/>
              <w:autoSpaceDE/>
              <w:autoSpaceDN/>
              <w:bidi w:val="0"/>
              <w:adjustRightInd/>
              <w:snapToGrid/>
              <w:ind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根据《建设项目环境影响报告表编制技术指南（污染影响类）（试行）》，原则上不开展土壤环境质量现状调查。建设项目存在土壤环境污染途径的，应结合污染源、保护目标分布情况开展现状调查以留作背景值。本项目利用现有</w:t>
            </w:r>
            <w:r>
              <w:rPr>
                <w:rFonts w:hint="eastAsia"/>
                <w:color w:val="auto"/>
                <w:sz w:val="24"/>
                <w:szCs w:val="24"/>
                <w:highlight w:val="none"/>
                <w:lang w:val="en-US" w:eastAsia="zh-CN"/>
              </w:rPr>
              <w:t>废弃低洼坑塘</w:t>
            </w:r>
            <w:r>
              <w:rPr>
                <w:rFonts w:hint="eastAsia"/>
                <w:color w:val="auto"/>
                <w:highlight w:val="none"/>
                <w:lang w:val="en-US" w:eastAsia="zh-CN"/>
              </w:rPr>
              <w:t>堆填建筑垃圾，封场覆盖</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val="en-US" w:eastAsia="zh-CN"/>
              </w:rPr>
              <w:t>，为了解项目所在地土壤环境现状，</w:t>
            </w:r>
            <w:r>
              <w:rPr>
                <w:rFonts w:hint="eastAsia"/>
                <w:color w:val="auto"/>
                <w:highlight w:val="none"/>
                <w:u w:val="none"/>
                <w:lang w:val="en-US" w:eastAsia="zh-CN"/>
              </w:rPr>
              <w:t>迁安市瑞承祥科技有限公司</w:t>
            </w:r>
            <w:r>
              <w:rPr>
                <w:rFonts w:hint="eastAsia"/>
                <w:color w:val="auto"/>
                <w:highlight w:val="none"/>
                <w:lang w:val="en-US" w:eastAsia="zh-CN"/>
              </w:rPr>
              <w:t>委托唐山铭晁环境检测技术有限公司于2026年7月21日对项目</w:t>
            </w:r>
            <w:r>
              <w:rPr>
                <w:rFonts w:hint="eastAsia"/>
                <w:color w:val="auto"/>
                <w:sz w:val="24"/>
                <w:szCs w:val="24"/>
                <w:highlight w:val="none"/>
                <w:shd w:val="clear"/>
                <w:lang w:val="en-US" w:eastAsia="zh-CN"/>
              </w:rPr>
              <w:t>土壤</w:t>
            </w:r>
            <w:r>
              <w:rPr>
                <w:rFonts w:hint="eastAsia"/>
                <w:color w:val="auto"/>
                <w:highlight w:val="none"/>
                <w:lang w:val="en-US" w:eastAsia="zh-CN"/>
              </w:rPr>
              <w:t>环境质量现状进行了监测，并出具了检测报告（报告编号：TSMC/H字（2026）第023号）。</w:t>
            </w:r>
          </w:p>
          <w:p w14:paraId="65327DB6">
            <w:pPr>
              <w:numPr>
                <w:ilvl w:val="0"/>
                <w:numId w:val="23"/>
              </w:numPr>
              <w:bidi w:val="0"/>
              <w:rPr>
                <w:rFonts w:hint="eastAsia"/>
                <w:color w:val="auto"/>
                <w:highlight w:val="none"/>
                <w:lang w:val="en-US" w:eastAsia="zh-CN"/>
              </w:rPr>
            </w:pPr>
            <w:r>
              <w:rPr>
                <w:rFonts w:hint="eastAsia"/>
                <w:color w:val="auto"/>
                <w:highlight w:val="none"/>
                <w:lang w:val="en-US" w:eastAsia="zh-CN"/>
              </w:rPr>
              <w:t>监测点位</w:t>
            </w:r>
          </w:p>
          <w:p w14:paraId="049A6BF2">
            <w:pPr>
              <w:bidi w:val="0"/>
              <w:rPr>
                <w:rFonts w:hint="eastAsia"/>
                <w:color w:val="auto"/>
                <w:highlight w:val="none"/>
                <w:lang w:val="en-US" w:eastAsia="zh-CN"/>
              </w:rPr>
            </w:pPr>
            <w:r>
              <w:rPr>
                <w:rFonts w:hint="eastAsia"/>
                <w:color w:val="auto"/>
                <w:highlight w:val="none"/>
                <w:lang w:val="en-US" w:eastAsia="zh-CN"/>
              </w:rPr>
              <w:t>在场地外西南侧设置一个监测点位，在0.2m处取一个表层样品。</w:t>
            </w:r>
          </w:p>
          <w:p w14:paraId="50977C57">
            <w:pPr>
              <w:numPr>
                <w:ilvl w:val="0"/>
                <w:numId w:val="23"/>
              </w:numPr>
              <w:bidi w:val="0"/>
              <w:rPr>
                <w:rFonts w:hint="eastAsia"/>
                <w:color w:val="auto"/>
                <w:highlight w:val="none"/>
                <w:lang w:val="en-US" w:eastAsia="zh-CN"/>
              </w:rPr>
            </w:pPr>
            <w:r>
              <w:rPr>
                <w:rFonts w:hint="eastAsia"/>
                <w:color w:val="auto"/>
                <w:highlight w:val="none"/>
                <w:lang w:val="en-US" w:eastAsia="zh-CN"/>
              </w:rPr>
              <w:t>监测因子</w:t>
            </w:r>
          </w:p>
          <w:p w14:paraId="1756E7C1">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pH、镉、汞、砷、铅、铬、铜、镍、锌、</w:t>
            </w:r>
            <w:r>
              <w:rPr>
                <w:rFonts w:hint="default" w:ascii="Times New Roman" w:hAnsi="Times New Roman" w:cs="Times New Roman"/>
                <w:color w:val="auto"/>
                <w:sz w:val="24"/>
                <w:highlight w:val="none"/>
                <w:lang w:eastAsia="zh-CN"/>
              </w:rPr>
              <w:t>石油烃</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氨氮、氟化物</w:t>
            </w:r>
            <w:r>
              <w:rPr>
                <w:rFonts w:hint="default" w:ascii="Times New Roman" w:hAnsi="Times New Roman" w:cs="Times New Roman"/>
                <w:color w:val="auto"/>
                <w:sz w:val="24"/>
                <w:highlight w:val="none"/>
              </w:rPr>
              <w:t>。</w:t>
            </w:r>
          </w:p>
          <w:p w14:paraId="6DD84D5E">
            <w:pPr>
              <w:keepNext w:val="0"/>
              <w:keepLines w:val="0"/>
              <w:pageBreakBefore w:val="0"/>
              <w:widowControl w:val="0"/>
              <w:numPr>
                <w:ilvl w:val="0"/>
                <w:numId w:val="23"/>
              </w:numPr>
              <w:kinsoku/>
              <w:wordWrap/>
              <w:overflowPunct/>
              <w:topLinePunct w:val="0"/>
              <w:autoSpaceDE/>
              <w:autoSpaceDN/>
              <w:bidi w:val="0"/>
              <w:adjustRightInd/>
              <w:snapToGrid/>
              <w:ind w:left="0"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评价标准</w:t>
            </w:r>
          </w:p>
          <w:p w14:paraId="5543F5E0">
            <w:pPr>
              <w:bidi w:val="0"/>
              <w:rPr>
                <w:rFonts w:hint="default"/>
                <w:color w:val="auto"/>
                <w:highlight w:val="none"/>
                <w:lang w:val="en-US" w:eastAsia="zh-CN"/>
              </w:rPr>
            </w:pPr>
            <w:r>
              <w:rPr>
                <w:rFonts w:hint="default"/>
                <w:color w:val="auto"/>
                <w:highlight w:val="none"/>
                <w:lang w:val="en-US" w:eastAsia="zh-CN"/>
              </w:rPr>
              <w:t xml:space="preserve">土壤环境质量执行《土壤环境质量 </w:t>
            </w:r>
            <w:r>
              <w:rPr>
                <w:rFonts w:hint="eastAsia"/>
                <w:color w:val="auto"/>
                <w:highlight w:val="none"/>
                <w:lang w:val="en-US" w:eastAsia="zh-CN"/>
              </w:rPr>
              <w:t>农用地土壤污染风险管控标准（试行）</w:t>
            </w:r>
            <w:r>
              <w:rPr>
                <w:rFonts w:hint="default"/>
                <w:color w:val="auto"/>
                <w:highlight w:val="none"/>
                <w:lang w:val="en-US" w:eastAsia="zh-CN"/>
              </w:rPr>
              <w:t>》（GB</w:t>
            </w:r>
            <w:r>
              <w:rPr>
                <w:rFonts w:hint="eastAsia"/>
                <w:color w:val="auto"/>
                <w:highlight w:val="none"/>
                <w:lang w:val="en-US" w:eastAsia="zh-CN"/>
              </w:rPr>
              <w:t>15618-</w:t>
            </w:r>
            <w:r>
              <w:rPr>
                <w:rFonts w:hint="default"/>
                <w:color w:val="auto"/>
                <w:highlight w:val="none"/>
                <w:lang w:val="en-US" w:eastAsia="zh-CN"/>
              </w:rPr>
              <w:t>2018</w:t>
            </w:r>
            <w:r>
              <w:rPr>
                <w:rFonts w:hint="eastAsia"/>
                <w:color w:val="auto"/>
                <w:highlight w:val="none"/>
                <w:lang w:val="en-US" w:eastAsia="zh-CN"/>
              </w:rPr>
              <w:t>）中风险</w:t>
            </w:r>
            <w:r>
              <w:rPr>
                <w:rFonts w:hint="default"/>
                <w:color w:val="auto"/>
                <w:highlight w:val="none"/>
                <w:lang w:val="en-US" w:eastAsia="zh-CN"/>
              </w:rPr>
              <w:t>筛选值</w:t>
            </w:r>
            <w:r>
              <w:rPr>
                <w:rFonts w:hint="eastAsia"/>
                <w:color w:val="auto"/>
                <w:highlight w:val="none"/>
                <w:lang w:val="en-US" w:eastAsia="zh-CN"/>
              </w:rPr>
              <w:t>，同时参照执行《土壤环境质量 建设用地土壤污染风险管控标准（试行）》（GB36600-2018）中第一类用地筛选值、《建设用地土壤污染物风险筛选值》（DB13/T 5216-2022）中第一类用地筛选值</w:t>
            </w:r>
            <w:r>
              <w:rPr>
                <w:rFonts w:hint="default"/>
                <w:color w:val="auto"/>
                <w:highlight w:val="none"/>
                <w:lang w:val="en-US" w:eastAsia="zh-CN"/>
              </w:rPr>
              <w:t>标准。</w:t>
            </w:r>
          </w:p>
          <w:p w14:paraId="68874876">
            <w:pPr>
              <w:keepNext w:val="0"/>
              <w:keepLines w:val="0"/>
              <w:pageBreakBefore w:val="0"/>
              <w:widowControl w:val="0"/>
              <w:numPr>
                <w:ilvl w:val="0"/>
                <w:numId w:val="23"/>
              </w:numPr>
              <w:kinsoku/>
              <w:wordWrap/>
              <w:overflowPunct/>
              <w:topLinePunct w:val="0"/>
              <w:autoSpaceDE/>
              <w:autoSpaceDN/>
              <w:bidi w:val="0"/>
              <w:adjustRightInd/>
              <w:snapToGrid/>
              <w:ind w:left="0"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监测方法</w:t>
            </w:r>
          </w:p>
          <w:p w14:paraId="143BF2F3">
            <w:pPr>
              <w:bidi w:val="0"/>
              <w:rPr>
                <w:rFonts w:hint="default"/>
                <w:color w:val="auto"/>
                <w:highlight w:val="none"/>
                <w:lang w:val="en-US" w:eastAsia="zh-CN"/>
              </w:rPr>
            </w:pPr>
            <w:r>
              <w:rPr>
                <w:rFonts w:hint="default"/>
                <w:color w:val="auto"/>
                <w:highlight w:val="none"/>
                <w:lang w:val="en-US" w:eastAsia="zh-CN"/>
              </w:rPr>
              <w:t>按</w:t>
            </w:r>
            <w:r>
              <w:rPr>
                <w:rFonts w:hint="eastAsia"/>
                <w:color w:val="auto"/>
                <w:highlight w:val="none"/>
                <w:lang w:val="en-US" w:eastAsia="zh-CN"/>
              </w:rPr>
              <w:t>照</w:t>
            </w:r>
            <w:r>
              <w:rPr>
                <w:rFonts w:hint="default"/>
                <w:color w:val="auto"/>
                <w:highlight w:val="none"/>
                <w:lang w:val="en-US" w:eastAsia="zh-CN"/>
              </w:rPr>
              <w:t xml:space="preserve">《土壤环境质量 </w:t>
            </w:r>
            <w:r>
              <w:rPr>
                <w:rFonts w:hint="eastAsia"/>
                <w:color w:val="auto"/>
                <w:highlight w:val="none"/>
                <w:lang w:val="en-US" w:eastAsia="zh-CN"/>
              </w:rPr>
              <w:t>农用地土壤污染风险管控标准（试行）</w:t>
            </w:r>
            <w:r>
              <w:rPr>
                <w:rFonts w:hint="default"/>
                <w:color w:val="auto"/>
                <w:highlight w:val="none"/>
                <w:lang w:val="en-US" w:eastAsia="zh-CN"/>
              </w:rPr>
              <w:t>》（GB</w:t>
            </w:r>
            <w:r>
              <w:rPr>
                <w:rFonts w:hint="eastAsia"/>
                <w:color w:val="auto"/>
                <w:highlight w:val="none"/>
                <w:lang w:val="en-US" w:eastAsia="zh-CN"/>
              </w:rPr>
              <w:t>15618-</w:t>
            </w:r>
            <w:r>
              <w:rPr>
                <w:rFonts w:hint="default"/>
                <w:color w:val="auto"/>
                <w:highlight w:val="none"/>
                <w:lang w:val="en-US" w:eastAsia="zh-CN"/>
              </w:rPr>
              <w:t>2018</w:t>
            </w:r>
            <w:r>
              <w:rPr>
                <w:rFonts w:hint="eastAsia"/>
                <w:color w:val="auto"/>
                <w:highlight w:val="none"/>
                <w:lang w:val="en-US" w:eastAsia="zh-CN"/>
              </w:rPr>
              <w:t>）、《土壤环境质量 建设用地土壤污染风险管控标准（试行）》（GB36600-2018）、《建设用地土壤污染物风险筛选值》（DB13/T 5216-2022）</w:t>
            </w:r>
            <w:r>
              <w:rPr>
                <w:rFonts w:hint="default"/>
                <w:color w:val="auto"/>
                <w:highlight w:val="none"/>
                <w:lang w:val="en-US" w:eastAsia="zh-CN"/>
              </w:rPr>
              <w:t>规定的监测分析方法监测分析。</w:t>
            </w:r>
          </w:p>
          <w:p w14:paraId="431B3EFE">
            <w:pPr>
              <w:keepNext w:val="0"/>
              <w:keepLines w:val="0"/>
              <w:pageBreakBefore w:val="0"/>
              <w:widowControl w:val="0"/>
              <w:numPr>
                <w:ilvl w:val="0"/>
                <w:numId w:val="23"/>
              </w:numPr>
              <w:kinsoku/>
              <w:wordWrap/>
              <w:overflowPunct/>
              <w:topLinePunct w:val="0"/>
              <w:autoSpaceDE/>
              <w:autoSpaceDN/>
              <w:bidi w:val="0"/>
              <w:adjustRightInd/>
              <w:snapToGrid/>
              <w:ind w:left="0"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评价结果</w:t>
            </w:r>
          </w:p>
          <w:p w14:paraId="7BFE277E">
            <w:pPr>
              <w:pStyle w:val="14"/>
              <w:keepNext w:val="0"/>
              <w:keepLines w:val="0"/>
              <w:pageBreakBefore w:val="0"/>
              <w:widowControl w:val="0"/>
              <w:numPr>
                <w:ilvl w:val="0"/>
                <w:numId w:val="0"/>
              </w:numPr>
              <w:kinsoku/>
              <w:wordWrap/>
              <w:overflowPunct/>
              <w:topLinePunct w:val="0"/>
              <w:autoSpaceDE/>
              <w:autoSpaceDN/>
              <w:bidi w:val="0"/>
              <w:adjustRightInd/>
              <w:snapToGrid/>
              <w:spacing w:after="0"/>
              <w:ind w:leftChars="0" w:right="0" w:rightChars="0" w:firstLine="480" w:firstLineChars="200"/>
              <w:textAlignment w:val="auto"/>
              <w:rPr>
                <w:rFonts w:hint="eastAsia"/>
                <w:color w:val="auto"/>
                <w:highlight w:val="none"/>
                <w:lang w:val="en-US" w:eastAsia="zh-CN"/>
              </w:rPr>
            </w:pPr>
            <w:r>
              <w:rPr>
                <w:rFonts w:hint="eastAsia"/>
                <w:color w:val="auto"/>
                <w:highlight w:val="none"/>
                <w:lang w:val="en-US" w:eastAsia="zh-CN"/>
              </w:rPr>
              <w:t>土壤监测数据与评价见下表。</w:t>
            </w:r>
          </w:p>
          <w:p w14:paraId="4690EBFF">
            <w:pPr>
              <w:keepNext w:val="0"/>
              <w:keepLines w:val="0"/>
              <w:pageBreakBefore w:val="0"/>
              <w:widowControl w:val="0"/>
              <w:numPr>
                <w:ilvl w:val="0"/>
                <w:numId w:val="21"/>
              </w:numPr>
              <w:kinsoku/>
              <w:wordWrap/>
              <w:overflowPunct/>
              <w:topLinePunct w:val="0"/>
              <w:autoSpaceDE w:val="0"/>
              <w:autoSpaceDN w:val="0"/>
              <w:bidi w:val="0"/>
              <w:adjustRightInd w:val="0"/>
              <w:snapToGrid w:val="0"/>
              <w:spacing w:line="480" w:lineRule="exact"/>
              <w:ind w:left="0" w:leftChars="0" w:firstLine="0" w:firstLineChars="0"/>
              <w:jc w:val="center"/>
              <w:textAlignment w:val="auto"/>
              <w:rPr>
                <w:rFonts w:hint="default" w:ascii="Times New Roman" w:hAnsi="Times New Roman" w:eastAsia="宋体" w:cs="Times New Roman"/>
                <w:b/>
                <w:snapToGrid w:val="0"/>
                <w:color w:val="auto"/>
                <w:kern w:val="0"/>
                <w:sz w:val="21"/>
                <w:szCs w:val="21"/>
                <w:highlight w:val="none"/>
                <w:shd w:val="clear" w:color="auto" w:fill="auto"/>
                <w:lang w:val="en-US" w:eastAsia="zh-CN"/>
              </w:rPr>
            </w:pPr>
            <w:r>
              <w:rPr>
                <w:rFonts w:hint="eastAsia" w:ascii="Times New Roman" w:hAnsi="Times New Roman" w:eastAsia="宋体" w:cs="Times New Roman"/>
                <w:b/>
                <w:color w:val="auto"/>
                <w:spacing w:val="0"/>
                <w:kern w:val="0"/>
                <w:position w:val="0"/>
                <w:sz w:val="21"/>
                <w:szCs w:val="21"/>
                <w:highlight w:val="none"/>
                <w:shd w:val="clear" w:color="auto" w:fill="auto"/>
                <w:lang w:val="en-US" w:eastAsia="zh-CN"/>
              </w:rPr>
              <w:t>土壤环境现状监测结果</w:t>
            </w:r>
            <w:r>
              <w:rPr>
                <w:rFonts w:hint="eastAsia" w:cs="Times New Roman"/>
                <w:b/>
                <w:color w:val="auto"/>
                <w:spacing w:val="0"/>
                <w:kern w:val="0"/>
                <w:position w:val="0"/>
                <w:sz w:val="21"/>
                <w:szCs w:val="21"/>
                <w:highlight w:val="none"/>
                <w:shd w:val="clear" w:color="auto" w:fill="auto"/>
                <w:lang w:val="en-US" w:eastAsia="zh-CN"/>
              </w:rPr>
              <w:t>一览表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58"/>
              <w:gridCol w:w="1280"/>
              <w:gridCol w:w="1467"/>
              <w:gridCol w:w="1215"/>
              <w:gridCol w:w="1134"/>
              <w:gridCol w:w="1253"/>
            </w:tblGrid>
            <w:tr w14:paraId="61669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758" w:type="dxa"/>
                  <w:tcBorders>
                    <w:tl2br w:val="nil"/>
                    <w:tr2bl w:val="nil"/>
                  </w:tcBorders>
                  <w:vAlign w:val="center"/>
                </w:tcPr>
                <w:p w14:paraId="16DED9B4">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检测项目</w:t>
                  </w:r>
                </w:p>
              </w:tc>
              <w:tc>
                <w:tcPr>
                  <w:tcW w:w="1280" w:type="dxa"/>
                  <w:tcBorders>
                    <w:tl2br w:val="nil"/>
                    <w:tr2bl w:val="nil"/>
                  </w:tcBorders>
                  <w:vAlign w:val="center"/>
                </w:tcPr>
                <w:p w14:paraId="7EF295E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单位</w:t>
                  </w:r>
                </w:p>
              </w:tc>
              <w:tc>
                <w:tcPr>
                  <w:tcW w:w="1467" w:type="dxa"/>
                  <w:tcBorders>
                    <w:tl2br w:val="nil"/>
                    <w:tr2bl w:val="nil"/>
                  </w:tcBorders>
                  <w:vAlign w:val="center"/>
                </w:tcPr>
                <w:p w14:paraId="7380E46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筛选值限值</w:t>
                  </w:r>
                </w:p>
              </w:tc>
              <w:tc>
                <w:tcPr>
                  <w:tcW w:w="1215" w:type="dxa"/>
                  <w:tcBorders>
                    <w:tl2br w:val="nil"/>
                    <w:tr2bl w:val="nil"/>
                  </w:tcBorders>
                  <w:vAlign w:val="center"/>
                </w:tcPr>
                <w:p w14:paraId="4868E29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监测结果</w:t>
                  </w:r>
                </w:p>
              </w:tc>
              <w:tc>
                <w:tcPr>
                  <w:tcW w:w="1134" w:type="dxa"/>
                  <w:tcBorders>
                    <w:tl2br w:val="nil"/>
                    <w:tr2bl w:val="nil"/>
                  </w:tcBorders>
                  <w:vAlign w:val="center"/>
                </w:tcPr>
                <w:p w14:paraId="0D96733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标准指数</w:t>
                  </w:r>
                </w:p>
              </w:tc>
              <w:tc>
                <w:tcPr>
                  <w:tcW w:w="1253" w:type="dxa"/>
                  <w:tcBorders>
                    <w:tl2br w:val="nil"/>
                    <w:tr2bl w:val="nil"/>
                  </w:tcBorders>
                  <w:vAlign w:val="center"/>
                </w:tcPr>
                <w:p w14:paraId="342B5F5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符合性</w:t>
                  </w:r>
                </w:p>
              </w:tc>
            </w:tr>
            <w:tr w14:paraId="04DA3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758" w:type="dxa"/>
                  <w:tcBorders>
                    <w:tl2br w:val="nil"/>
                    <w:tr2bl w:val="nil"/>
                  </w:tcBorders>
                  <w:vAlign w:val="center"/>
                </w:tcPr>
                <w:p w14:paraId="79A4CB4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pH</w:t>
                  </w:r>
                </w:p>
              </w:tc>
              <w:tc>
                <w:tcPr>
                  <w:tcW w:w="1280" w:type="dxa"/>
                  <w:tcBorders>
                    <w:tl2br w:val="nil"/>
                    <w:tr2bl w:val="nil"/>
                  </w:tcBorders>
                  <w:vAlign w:val="center"/>
                </w:tcPr>
                <w:p w14:paraId="2425641B">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无量纲</w:t>
                  </w:r>
                </w:p>
              </w:tc>
              <w:tc>
                <w:tcPr>
                  <w:tcW w:w="1467" w:type="dxa"/>
                  <w:tcBorders>
                    <w:tl2br w:val="nil"/>
                    <w:tr2bl w:val="nil"/>
                  </w:tcBorders>
                  <w:vAlign w:val="center"/>
                </w:tcPr>
                <w:p w14:paraId="040E0B9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215" w:type="dxa"/>
                  <w:tcBorders>
                    <w:tl2br w:val="nil"/>
                    <w:tr2bl w:val="nil"/>
                  </w:tcBorders>
                  <w:vAlign w:val="center"/>
                </w:tcPr>
                <w:p w14:paraId="3268883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7.23</w:t>
                  </w:r>
                </w:p>
              </w:tc>
              <w:tc>
                <w:tcPr>
                  <w:tcW w:w="1134" w:type="dxa"/>
                  <w:tcBorders>
                    <w:tl2br w:val="nil"/>
                    <w:tr2bl w:val="nil"/>
                  </w:tcBorders>
                  <w:vAlign w:val="center"/>
                </w:tcPr>
                <w:p w14:paraId="2DFE2719">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253" w:type="dxa"/>
                  <w:tcBorders>
                    <w:tl2br w:val="nil"/>
                    <w:tr2bl w:val="nil"/>
                  </w:tcBorders>
                  <w:vAlign w:val="center"/>
                </w:tcPr>
                <w:p w14:paraId="2B04E240">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366EC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758" w:type="dxa"/>
                  <w:tcBorders>
                    <w:tl2br w:val="nil"/>
                    <w:tr2bl w:val="nil"/>
                  </w:tcBorders>
                  <w:vAlign w:val="center"/>
                </w:tcPr>
                <w:p w14:paraId="798C94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镉</w:t>
                  </w:r>
                </w:p>
              </w:tc>
              <w:tc>
                <w:tcPr>
                  <w:tcW w:w="1280" w:type="dxa"/>
                  <w:tcBorders>
                    <w:tl2br w:val="nil"/>
                    <w:tr2bl w:val="nil"/>
                  </w:tcBorders>
                  <w:shd w:val="clear" w:color="auto" w:fill="auto"/>
                  <w:vAlign w:val="center"/>
                </w:tcPr>
                <w:p w14:paraId="26A130E1">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59BA7EF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0.3</w:t>
                  </w:r>
                </w:p>
              </w:tc>
              <w:tc>
                <w:tcPr>
                  <w:tcW w:w="1215" w:type="dxa"/>
                  <w:tcBorders>
                    <w:tl2br w:val="nil"/>
                    <w:tr2bl w:val="nil"/>
                  </w:tcBorders>
                  <w:vAlign w:val="center"/>
                </w:tcPr>
                <w:p w14:paraId="58E87D2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0.06</w:t>
                  </w:r>
                </w:p>
              </w:tc>
              <w:tc>
                <w:tcPr>
                  <w:tcW w:w="1134" w:type="dxa"/>
                  <w:tcBorders>
                    <w:tl2br w:val="nil"/>
                    <w:tr2bl w:val="nil"/>
                  </w:tcBorders>
                  <w:vAlign w:val="center"/>
                </w:tcPr>
                <w:p w14:paraId="1AB51274">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0.200 </w:t>
                  </w:r>
                </w:p>
              </w:tc>
              <w:tc>
                <w:tcPr>
                  <w:tcW w:w="1253" w:type="dxa"/>
                  <w:tcBorders>
                    <w:tl2br w:val="nil"/>
                    <w:tr2bl w:val="nil"/>
                  </w:tcBorders>
                  <w:vAlign w:val="center"/>
                </w:tcPr>
                <w:p w14:paraId="5D2AA87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831CB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58" w:type="dxa"/>
                  <w:tcBorders>
                    <w:tl2br w:val="nil"/>
                    <w:tr2bl w:val="nil"/>
                  </w:tcBorders>
                  <w:vAlign w:val="center"/>
                </w:tcPr>
                <w:p w14:paraId="6EB495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汞</w:t>
                  </w:r>
                </w:p>
              </w:tc>
              <w:tc>
                <w:tcPr>
                  <w:tcW w:w="1280" w:type="dxa"/>
                  <w:tcBorders>
                    <w:tl2br w:val="nil"/>
                    <w:tr2bl w:val="nil"/>
                  </w:tcBorders>
                  <w:shd w:val="clear" w:color="auto" w:fill="auto"/>
                  <w:vAlign w:val="center"/>
                </w:tcPr>
                <w:p w14:paraId="09E035E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6A1BA10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2.4</w:t>
                  </w:r>
                </w:p>
              </w:tc>
              <w:tc>
                <w:tcPr>
                  <w:tcW w:w="1215" w:type="dxa"/>
                  <w:tcBorders>
                    <w:tl2br w:val="nil"/>
                    <w:tr2bl w:val="nil"/>
                  </w:tcBorders>
                  <w:vAlign w:val="center"/>
                </w:tcPr>
                <w:p w14:paraId="52313BA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0.172</w:t>
                  </w:r>
                </w:p>
              </w:tc>
              <w:tc>
                <w:tcPr>
                  <w:tcW w:w="1134" w:type="dxa"/>
                  <w:tcBorders>
                    <w:tl2br w:val="nil"/>
                    <w:tr2bl w:val="nil"/>
                  </w:tcBorders>
                  <w:vAlign w:val="center"/>
                </w:tcPr>
                <w:p w14:paraId="2FB7F2CB">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0.072 </w:t>
                  </w:r>
                </w:p>
              </w:tc>
              <w:tc>
                <w:tcPr>
                  <w:tcW w:w="1253" w:type="dxa"/>
                  <w:tcBorders>
                    <w:tl2br w:val="nil"/>
                    <w:tr2bl w:val="nil"/>
                  </w:tcBorders>
                  <w:vAlign w:val="center"/>
                </w:tcPr>
                <w:p w14:paraId="0343B92E">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EC6C4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758" w:type="dxa"/>
                  <w:tcBorders>
                    <w:tl2br w:val="nil"/>
                    <w:tr2bl w:val="nil"/>
                  </w:tcBorders>
                  <w:vAlign w:val="center"/>
                </w:tcPr>
                <w:p w14:paraId="5AFDB0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砷</w:t>
                  </w:r>
                </w:p>
              </w:tc>
              <w:tc>
                <w:tcPr>
                  <w:tcW w:w="1280" w:type="dxa"/>
                  <w:tcBorders>
                    <w:tl2br w:val="nil"/>
                    <w:tr2bl w:val="nil"/>
                  </w:tcBorders>
                  <w:shd w:val="clear" w:color="auto" w:fill="auto"/>
                  <w:vAlign w:val="center"/>
                </w:tcPr>
                <w:p w14:paraId="206706A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4F28D2D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w:t>
                  </w:r>
                </w:p>
              </w:tc>
              <w:tc>
                <w:tcPr>
                  <w:tcW w:w="1215" w:type="dxa"/>
                  <w:tcBorders>
                    <w:tl2br w:val="nil"/>
                    <w:tr2bl w:val="nil"/>
                  </w:tcBorders>
                  <w:vAlign w:val="center"/>
                </w:tcPr>
                <w:p w14:paraId="332C1841">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2.38</w:t>
                  </w:r>
                </w:p>
              </w:tc>
              <w:tc>
                <w:tcPr>
                  <w:tcW w:w="1134" w:type="dxa"/>
                  <w:tcBorders>
                    <w:tl2br w:val="nil"/>
                    <w:tr2bl w:val="nil"/>
                  </w:tcBorders>
                  <w:vAlign w:val="center"/>
                </w:tcPr>
                <w:p w14:paraId="06C923F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0.079 </w:t>
                  </w:r>
                </w:p>
              </w:tc>
              <w:tc>
                <w:tcPr>
                  <w:tcW w:w="1253" w:type="dxa"/>
                  <w:tcBorders>
                    <w:tl2br w:val="nil"/>
                    <w:tr2bl w:val="nil"/>
                  </w:tcBorders>
                  <w:vAlign w:val="center"/>
                </w:tcPr>
                <w:p w14:paraId="1DB69D23">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6AB2D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758" w:type="dxa"/>
                  <w:tcBorders>
                    <w:tl2br w:val="nil"/>
                    <w:tr2bl w:val="nil"/>
                  </w:tcBorders>
                  <w:vAlign w:val="center"/>
                </w:tcPr>
                <w:p w14:paraId="172B42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铅</w:t>
                  </w:r>
                </w:p>
              </w:tc>
              <w:tc>
                <w:tcPr>
                  <w:tcW w:w="1280" w:type="dxa"/>
                  <w:tcBorders>
                    <w:tl2br w:val="nil"/>
                    <w:tr2bl w:val="nil"/>
                  </w:tcBorders>
                  <w:shd w:val="clear" w:color="auto" w:fill="auto"/>
                  <w:vAlign w:val="center"/>
                </w:tcPr>
                <w:p w14:paraId="24EBD3F9">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401C9E4F">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120</w:t>
                  </w:r>
                </w:p>
              </w:tc>
              <w:tc>
                <w:tcPr>
                  <w:tcW w:w="1215" w:type="dxa"/>
                  <w:tcBorders>
                    <w:tl2br w:val="nil"/>
                    <w:tr2bl w:val="nil"/>
                  </w:tcBorders>
                  <w:vAlign w:val="center"/>
                </w:tcPr>
                <w:p w14:paraId="175839DF">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16</w:t>
                  </w:r>
                </w:p>
              </w:tc>
              <w:tc>
                <w:tcPr>
                  <w:tcW w:w="1134" w:type="dxa"/>
                  <w:tcBorders>
                    <w:tl2br w:val="nil"/>
                    <w:tr2bl w:val="nil"/>
                  </w:tcBorders>
                  <w:vAlign w:val="center"/>
                </w:tcPr>
                <w:p w14:paraId="5E93E850">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0.133 </w:t>
                  </w:r>
                </w:p>
              </w:tc>
              <w:tc>
                <w:tcPr>
                  <w:tcW w:w="1253" w:type="dxa"/>
                  <w:tcBorders>
                    <w:tl2br w:val="nil"/>
                    <w:tr2bl w:val="nil"/>
                  </w:tcBorders>
                  <w:vAlign w:val="center"/>
                </w:tcPr>
                <w:p w14:paraId="2AB2567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4C99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758" w:type="dxa"/>
                  <w:tcBorders>
                    <w:tl2br w:val="nil"/>
                    <w:tr2bl w:val="nil"/>
                  </w:tcBorders>
                  <w:vAlign w:val="center"/>
                </w:tcPr>
                <w:p w14:paraId="393787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铬</w:t>
                  </w:r>
                </w:p>
              </w:tc>
              <w:tc>
                <w:tcPr>
                  <w:tcW w:w="1280" w:type="dxa"/>
                  <w:tcBorders>
                    <w:tl2br w:val="nil"/>
                    <w:tr2bl w:val="nil"/>
                  </w:tcBorders>
                  <w:shd w:val="clear" w:color="auto" w:fill="auto"/>
                  <w:vAlign w:val="center"/>
                </w:tcPr>
                <w:p w14:paraId="6F074436">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3F17746E">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200</w:t>
                  </w:r>
                </w:p>
              </w:tc>
              <w:tc>
                <w:tcPr>
                  <w:tcW w:w="1215" w:type="dxa"/>
                  <w:tcBorders>
                    <w:tl2br w:val="nil"/>
                    <w:tr2bl w:val="nil"/>
                  </w:tcBorders>
                  <w:vAlign w:val="center"/>
                </w:tcPr>
                <w:p w14:paraId="523B1D5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58</w:t>
                  </w:r>
                </w:p>
              </w:tc>
              <w:tc>
                <w:tcPr>
                  <w:tcW w:w="1134" w:type="dxa"/>
                  <w:tcBorders>
                    <w:tl2br w:val="nil"/>
                    <w:tr2bl w:val="nil"/>
                  </w:tcBorders>
                  <w:vAlign w:val="center"/>
                </w:tcPr>
                <w:p w14:paraId="7199DB4E">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0.290 </w:t>
                  </w:r>
                </w:p>
              </w:tc>
              <w:tc>
                <w:tcPr>
                  <w:tcW w:w="1253" w:type="dxa"/>
                  <w:tcBorders>
                    <w:tl2br w:val="nil"/>
                    <w:tr2bl w:val="nil"/>
                  </w:tcBorders>
                  <w:vAlign w:val="center"/>
                </w:tcPr>
                <w:p w14:paraId="5513FAE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3E0672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758" w:type="dxa"/>
                  <w:tcBorders>
                    <w:tl2br w:val="nil"/>
                    <w:tr2bl w:val="nil"/>
                  </w:tcBorders>
                  <w:vAlign w:val="center"/>
                </w:tcPr>
                <w:p w14:paraId="41375B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铜</w:t>
                  </w:r>
                </w:p>
              </w:tc>
              <w:tc>
                <w:tcPr>
                  <w:tcW w:w="1280" w:type="dxa"/>
                  <w:tcBorders>
                    <w:tl2br w:val="nil"/>
                    <w:tr2bl w:val="nil"/>
                  </w:tcBorders>
                  <w:shd w:val="clear" w:color="auto" w:fill="auto"/>
                  <w:vAlign w:val="center"/>
                </w:tcPr>
                <w:p w14:paraId="5B6035B6">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7C3D507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215" w:type="dxa"/>
                  <w:tcBorders>
                    <w:tl2br w:val="nil"/>
                    <w:tr2bl w:val="nil"/>
                  </w:tcBorders>
                  <w:vAlign w:val="center"/>
                </w:tcPr>
                <w:p w14:paraId="220EEE31">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31</w:t>
                  </w:r>
                </w:p>
              </w:tc>
              <w:tc>
                <w:tcPr>
                  <w:tcW w:w="1134" w:type="dxa"/>
                  <w:tcBorders>
                    <w:tl2br w:val="nil"/>
                    <w:tr2bl w:val="nil"/>
                  </w:tcBorders>
                  <w:vAlign w:val="center"/>
                </w:tcPr>
                <w:p w14:paraId="254F314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0.310 </w:t>
                  </w:r>
                </w:p>
              </w:tc>
              <w:tc>
                <w:tcPr>
                  <w:tcW w:w="1253" w:type="dxa"/>
                  <w:tcBorders>
                    <w:tl2br w:val="nil"/>
                    <w:tr2bl w:val="nil"/>
                  </w:tcBorders>
                  <w:vAlign w:val="center"/>
                </w:tcPr>
                <w:p w14:paraId="10547A0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C0F2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758" w:type="dxa"/>
                  <w:tcBorders>
                    <w:tl2br w:val="nil"/>
                    <w:tr2bl w:val="nil"/>
                  </w:tcBorders>
                  <w:vAlign w:val="center"/>
                </w:tcPr>
                <w:p w14:paraId="0B4F03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镍</w:t>
                  </w:r>
                </w:p>
              </w:tc>
              <w:tc>
                <w:tcPr>
                  <w:tcW w:w="1280" w:type="dxa"/>
                  <w:tcBorders>
                    <w:tl2br w:val="nil"/>
                    <w:tr2bl w:val="nil"/>
                  </w:tcBorders>
                  <w:shd w:val="clear" w:color="auto" w:fill="auto"/>
                  <w:vAlign w:val="center"/>
                </w:tcPr>
                <w:p w14:paraId="2C6A626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318CEA0C">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1215" w:type="dxa"/>
                  <w:tcBorders>
                    <w:tl2br w:val="nil"/>
                    <w:tr2bl w:val="nil"/>
                  </w:tcBorders>
                  <w:vAlign w:val="center"/>
                </w:tcPr>
                <w:p w14:paraId="1B69C59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42</w:t>
                  </w:r>
                </w:p>
              </w:tc>
              <w:tc>
                <w:tcPr>
                  <w:tcW w:w="1134" w:type="dxa"/>
                  <w:tcBorders>
                    <w:tl2br w:val="nil"/>
                    <w:tr2bl w:val="nil"/>
                  </w:tcBorders>
                  <w:vAlign w:val="center"/>
                </w:tcPr>
                <w:p w14:paraId="330858E6">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0.420 </w:t>
                  </w:r>
                </w:p>
              </w:tc>
              <w:tc>
                <w:tcPr>
                  <w:tcW w:w="1253" w:type="dxa"/>
                  <w:tcBorders>
                    <w:tl2br w:val="nil"/>
                    <w:tr2bl w:val="nil"/>
                  </w:tcBorders>
                  <w:vAlign w:val="center"/>
                </w:tcPr>
                <w:p w14:paraId="59CF58EA">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11C52A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8" w:type="dxa"/>
                  <w:tcBorders>
                    <w:tl2br w:val="nil"/>
                    <w:tr2bl w:val="nil"/>
                  </w:tcBorders>
                  <w:vAlign w:val="center"/>
                </w:tcPr>
                <w:p w14:paraId="419A841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default" w:ascii="Times New Roman" w:hAnsi="Times New Roman" w:eastAsia="宋体" w:cs="Times New Roman"/>
                      <w:smallCaps w:val="0"/>
                      <w:color w:val="auto"/>
                      <w:spacing w:val="0"/>
                      <w:kern w:val="2"/>
                      <w:position w:val="0"/>
                      <w:sz w:val="21"/>
                      <w:szCs w:val="21"/>
                      <w:highlight w:val="none"/>
                      <w:lang w:val="en-US" w:eastAsia="zh-CN" w:bidi="ar-SA"/>
                    </w:rPr>
                    <w:t>锌</w:t>
                  </w:r>
                </w:p>
              </w:tc>
              <w:tc>
                <w:tcPr>
                  <w:tcW w:w="1280" w:type="dxa"/>
                  <w:tcBorders>
                    <w:tl2br w:val="nil"/>
                    <w:tr2bl w:val="nil"/>
                  </w:tcBorders>
                  <w:shd w:val="clear" w:color="auto" w:fill="auto"/>
                  <w:vAlign w:val="center"/>
                </w:tcPr>
                <w:p w14:paraId="5120459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1007E274">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250</w:t>
                  </w:r>
                </w:p>
              </w:tc>
              <w:tc>
                <w:tcPr>
                  <w:tcW w:w="1215" w:type="dxa"/>
                  <w:tcBorders>
                    <w:tl2br w:val="nil"/>
                    <w:tr2bl w:val="nil"/>
                  </w:tcBorders>
                  <w:vAlign w:val="center"/>
                </w:tcPr>
                <w:p w14:paraId="7BBC1FBE">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49</w:t>
                  </w:r>
                </w:p>
              </w:tc>
              <w:tc>
                <w:tcPr>
                  <w:tcW w:w="1134" w:type="dxa"/>
                  <w:tcBorders>
                    <w:tl2br w:val="nil"/>
                    <w:tr2bl w:val="nil"/>
                  </w:tcBorders>
                  <w:vAlign w:val="center"/>
                </w:tcPr>
                <w:p w14:paraId="27AD576A">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0.196 </w:t>
                  </w:r>
                </w:p>
              </w:tc>
              <w:tc>
                <w:tcPr>
                  <w:tcW w:w="1253" w:type="dxa"/>
                  <w:tcBorders>
                    <w:tl2br w:val="nil"/>
                    <w:tr2bl w:val="nil"/>
                  </w:tcBorders>
                  <w:vAlign w:val="center"/>
                </w:tcPr>
                <w:p w14:paraId="1131DD2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5BDCA8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8" w:type="dxa"/>
                  <w:tcBorders>
                    <w:tl2br w:val="nil"/>
                    <w:tr2bl w:val="nil"/>
                  </w:tcBorders>
                  <w:vAlign w:val="center"/>
                </w:tcPr>
                <w:p w14:paraId="6E1A20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eastAsia" w:ascii="Times New Roman" w:hAnsi="Times New Roman" w:eastAsia="宋体" w:cs="Times New Roman"/>
                      <w:smallCaps w:val="0"/>
                      <w:color w:val="auto"/>
                      <w:spacing w:val="0"/>
                      <w:kern w:val="2"/>
                      <w:position w:val="0"/>
                      <w:sz w:val="21"/>
                      <w:szCs w:val="21"/>
                      <w:highlight w:val="none"/>
                      <w:lang w:val="en-US" w:eastAsia="zh-CN" w:bidi="ar-SA"/>
                    </w:rPr>
                    <w:t>石油烃</w:t>
                  </w:r>
                  <w:r>
                    <w:rPr>
                      <w:rFonts w:hint="default" w:ascii="Times New Roman" w:hAnsi="Times New Roman" w:eastAsia="宋体" w:cs="Times New Roman"/>
                      <w:i w:val="0"/>
                      <w:iCs w:val="0"/>
                      <w:color w:val="auto"/>
                      <w:kern w:val="0"/>
                      <w:sz w:val="21"/>
                      <w:szCs w:val="21"/>
                      <w:highlight w:val="none"/>
                      <w:u w:val="none"/>
                      <w:lang w:val="en-US" w:eastAsia="zh-CN" w:bidi="ar"/>
                    </w:rPr>
                    <w:t>（C</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10</w:t>
                  </w:r>
                  <w:r>
                    <w:rPr>
                      <w:rFonts w:hint="default" w:ascii="Times New Roman" w:hAnsi="Times New Roman"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C</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40</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280" w:type="dxa"/>
                  <w:tcBorders>
                    <w:tl2br w:val="nil"/>
                    <w:tr2bl w:val="nil"/>
                  </w:tcBorders>
                  <w:vAlign w:val="center"/>
                </w:tcPr>
                <w:p w14:paraId="14C6501A">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456909B0">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826</w:t>
                  </w:r>
                </w:p>
              </w:tc>
              <w:tc>
                <w:tcPr>
                  <w:tcW w:w="1215" w:type="dxa"/>
                  <w:tcBorders>
                    <w:tl2br w:val="nil"/>
                    <w:tr2bl w:val="nil"/>
                  </w:tcBorders>
                  <w:vAlign w:val="center"/>
                </w:tcPr>
                <w:p w14:paraId="1D0B4D7F">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108</w:t>
                  </w:r>
                </w:p>
              </w:tc>
              <w:tc>
                <w:tcPr>
                  <w:tcW w:w="1134" w:type="dxa"/>
                  <w:tcBorders>
                    <w:tl2br w:val="nil"/>
                    <w:tr2bl w:val="nil"/>
                  </w:tcBorders>
                  <w:vAlign w:val="center"/>
                </w:tcPr>
                <w:p w14:paraId="03884ED0">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0.131 </w:t>
                  </w:r>
                </w:p>
              </w:tc>
              <w:tc>
                <w:tcPr>
                  <w:tcW w:w="1253" w:type="dxa"/>
                  <w:tcBorders>
                    <w:tl2br w:val="nil"/>
                    <w:tr2bl w:val="nil"/>
                  </w:tcBorders>
                  <w:vAlign w:val="center"/>
                </w:tcPr>
                <w:p w14:paraId="03215F0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248EFD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8" w:type="dxa"/>
                  <w:tcBorders>
                    <w:tl2br w:val="nil"/>
                    <w:tr2bl w:val="nil"/>
                  </w:tcBorders>
                  <w:vAlign w:val="center"/>
                </w:tcPr>
                <w:p w14:paraId="3B340A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eastAsia" w:ascii="Times New Roman" w:hAnsi="Times New Roman" w:eastAsia="宋体" w:cs="Times New Roman"/>
                      <w:smallCaps w:val="0"/>
                      <w:color w:val="auto"/>
                      <w:spacing w:val="0"/>
                      <w:kern w:val="2"/>
                      <w:position w:val="0"/>
                      <w:sz w:val="21"/>
                      <w:szCs w:val="21"/>
                      <w:highlight w:val="none"/>
                      <w:lang w:val="en-US" w:eastAsia="zh-CN" w:bidi="ar-SA"/>
                    </w:rPr>
                    <w:t>氨氮</w:t>
                  </w:r>
                </w:p>
              </w:tc>
              <w:tc>
                <w:tcPr>
                  <w:tcW w:w="1280" w:type="dxa"/>
                  <w:tcBorders>
                    <w:tl2br w:val="nil"/>
                    <w:tr2bl w:val="nil"/>
                  </w:tcBorders>
                  <w:vAlign w:val="center"/>
                </w:tcPr>
                <w:p w14:paraId="0D826DB6">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2D953D2F">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960</w:t>
                  </w:r>
                </w:p>
              </w:tc>
              <w:tc>
                <w:tcPr>
                  <w:tcW w:w="1215" w:type="dxa"/>
                  <w:tcBorders>
                    <w:tl2br w:val="nil"/>
                    <w:tr2bl w:val="nil"/>
                  </w:tcBorders>
                  <w:vAlign w:val="center"/>
                </w:tcPr>
                <w:p w14:paraId="27365575">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3.19</w:t>
                  </w:r>
                </w:p>
              </w:tc>
              <w:tc>
                <w:tcPr>
                  <w:tcW w:w="1134" w:type="dxa"/>
                  <w:tcBorders>
                    <w:tl2br w:val="nil"/>
                    <w:tr2bl w:val="nil"/>
                  </w:tcBorders>
                  <w:vAlign w:val="center"/>
                </w:tcPr>
                <w:p w14:paraId="250243E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0.003 </w:t>
                  </w:r>
                </w:p>
              </w:tc>
              <w:tc>
                <w:tcPr>
                  <w:tcW w:w="1253" w:type="dxa"/>
                  <w:tcBorders>
                    <w:tl2br w:val="nil"/>
                    <w:tr2bl w:val="nil"/>
                  </w:tcBorders>
                  <w:vAlign w:val="center"/>
                </w:tcPr>
                <w:p w14:paraId="155DB357">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r w14:paraId="41A2A1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758" w:type="dxa"/>
                  <w:tcBorders>
                    <w:tl2br w:val="nil"/>
                    <w:tr2bl w:val="nil"/>
                  </w:tcBorders>
                  <w:vAlign w:val="center"/>
                </w:tcPr>
                <w:p w14:paraId="4181E0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mallCaps w:val="0"/>
                      <w:color w:val="auto"/>
                      <w:spacing w:val="0"/>
                      <w:kern w:val="2"/>
                      <w:position w:val="0"/>
                      <w:sz w:val="21"/>
                      <w:szCs w:val="21"/>
                      <w:highlight w:val="none"/>
                      <w:lang w:val="en-US" w:eastAsia="zh-CN" w:bidi="ar-SA"/>
                    </w:rPr>
                  </w:pPr>
                  <w:r>
                    <w:rPr>
                      <w:rFonts w:hint="eastAsia" w:ascii="Times New Roman" w:hAnsi="Times New Roman" w:eastAsia="宋体" w:cs="Times New Roman"/>
                      <w:smallCaps w:val="0"/>
                      <w:color w:val="auto"/>
                      <w:spacing w:val="0"/>
                      <w:kern w:val="2"/>
                      <w:position w:val="0"/>
                      <w:sz w:val="21"/>
                      <w:szCs w:val="21"/>
                      <w:highlight w:val="none"/>
                      <w:lang w:val="en-US" w:eastAsia="zh-CN" w:bidi="ar-SA"/>
                    </w:rPr>
                    <w:t>氟化物</w:t>
                  </w:r>
                </w:p>
              </w:tc>
              <w:tc>
                <w:tcPr>
                  <w:tcW w:w="1280" w:type="dxa"/>
                  <w:tcBorders>
                    <w:tl2br w:val="nil"/>
                    <w:tr2bl w:val="nil"/>
                  </w:tcBorders>
                  <w:vAlign w:val="center"/>
                </w:tcPr>
                <w:p w14:paraId="64BA7772">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mg/kg</w:t>
                  </w:r>
                </w:p>
              </w:tc>
              <w:tc>
                <w:tcPr>
                  <w:tcW w:w="1467" w:type="dxa"/>
                  <w:tcBorders>
                    <w:tl2br w:val="nil"/>
                    <w:tr2bl w:val="nil"/>
                  </w:tcBorders>
                  <w:vAlign w:val="center"/>
                </w:tcPr>
                <w:p w14:paraId="04355A7B">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1950</w:t>
                  </w:r>
                </w:p>
              </w:tc>
              <w:tc>
                <w:tcPr>
                  <w:tcW w:w="1215" w:type="dxa"/>
                  <w:tcBorders>
                    <w:tl2br w:val="nil"/>
                    <w:tr2bl w:val="nil"/>
                  </w:tcBorders>
                  <w:vAlign w:val="center"/>
                </w:tcPr>
                <w:p w14:paraId="48CEADAA">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3.4</w:t>
                  </w:r>
                </w:p>
              </w:tc>
              <w:tc>
                <w:tcPr>
                  <w:tcW w:w="1134" w:type="dxa"/>
                  <w:tcBorders>
                    <w:tl2br w:val="nil"/>
                    <w:tr2bl w:val="nil"/>
                  </w:tcBorders>
                  <w:vAlign w:val="center"/>
                </w:tcPr>
                <w:p w14:paraId="5680A1DD">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 xml:space="preserve">0.002 </w:t>
                  </w:r>
                </w:p>
              </w:tc>
              <w:tc>
                <w:tcPr>
                  <w:tcW w:w="1253" w:type="dxa"/>
                  <w:tcBorders>
                    <w:tl2br w:val="nil"/>
                    <w:tr2bl w:val="nil"/>
                  </w:tcBorders>
                  <w:vAlign w:val="center"/>
                </w:tcPr>
                <w:p w14:paraId="70E65F08">
                  <w:pPr>
                    <w:pStyle w:val="35"/>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符合</w:t>
                  </w:r>
                </w:p>
              </w:tc>
            </w:tr>
          </w:tbl>
          <w:p w14:paraId="30AFE8B5">
            <w:pPr>
              <w:bidi w:val="0"/>
              <w:rPr>
                <w:rFonts w:hint="eastAsia"/>
                <w:color w:val="auto"/>
                <w:highlight w:val="none"/>
                <w:lang w:val="en-US" w:eastAsia="zh-CN"/>
              </w:rPr>
            </w:pPr>
            <w:r>
              <w:rPr>
                <w:rFonts w:hint="default"/>
                <w:color w:val="auto"/>
                <w:highlight w:val="none"/>
                <w:lang w:val="en-US" w:eastAsia="zh-CN"/>
              </w:rPr>
              <w:t xml:space="preserve">由上表分析可知，项目所在地土壤环境质量现状满足《土壤环境质量 </w:t>
            </w:r>
            <w:r>
              <w:rPr>
                <w:rFonts w:hint="eastAsia"/>
                <w:color w:val="auto"/>
                <w:highlight w:val="none"/>
                <w:lang w:val="en-US" w:eastAsia="zh-CN"/>
              </w:rPr>
              <w:t>农用地土壤污染风险管控标准（试行）</w:t>
            </w:r>
            <w:r>
              <w:rPr>
                <w:rFonts w:hint="default"/>
                <w:color w:val="auto"/>
                <w:highlight w:val="none"/>
                <w:lang w:val="en-US" w:eastAsia="zh-CN"/>
              </w:rPr>
              <w:t>》（GB</w:t>
            </w:r>
            <w:r>
              <w:rPr>
                <w:rFonts w:hint="eastAsia"/>
                <w:color w:val="auto"/>
                <w:highlight w:val="none"/>
                <w:lang w:val="en-US" w:eastAsia="zh-CN"/>
              </w:rPr>
              <w:t>15618-</w:t>
            </w:r>
            <w:r>
              <w:rPr>
                <w:rFonts w:hint="default"/>
                <w:color w:val="auto"/>
                <w:highlight w:val="none"/>
                <w:lang w:val="en-US" w:eastAsia="zh-CN"/>
              </w:rPr>
              <w:t>2018</w:t>
            </w:r>
            <w:r>
              <w:rPr>
                <w:rFonts w:hint="eastAsia"/>
                <w:color w:val="auto"/>
                <w:highlight w:val="none"/>
                <w:lang w:val="en-US" w:eastAsia="zh-CN"/>
              </w:rPr>
              <w:t>）中风险</w:t>
            </w:r>
            <w:r>
              <w:rPr>
                <w:rFonts w:hint="default"/>
                <w:color w:val="auto"/>
                <w:highlight w:val="none"/>
                <w:lang w:val="en-US" w:eastAsia="zh-CN"/>
              </w:rPr>
              <w:t>筛选值</w:t>
            </w:r>
            <w:r>
              <w:rPr>
                <w:rFonts w:hint="eastAsia"/>
                <w:color w:val="auto"/>
                <w:highlight w:val="none"/>
                <w:lang w:val="en-US" w:eastAsia="zh-CN"/>
              </w:rPr>
              <w:t>、《土壤环境质量 建设用地土壤污染风险管控标准（试行）》（GB36600-2018）中第一类用地筛选值、《建设用地土壤污染物风险筛选值》（DB13/T 5216-2022）中第一类用地筛选值标准要求</w:t>
            </w:r>
            <w:r>
              <w:rPr>
                <w:rFonts w:hint="default"/>
                <w:color w:val="auto"/>
                <w:highlight w:val="none"/>
                <w:lang w:val="en-US" w:eastAsia="zh-CN"/>
              </w:rPr>
              <w:t>。</w:t>
            </w:r>
          </w:p>
          <w:p w14:paraId="6EA40479">
            <w:pPr>
              <w:keepNext w:val="0"/>
              <w:keepLines w:val="0"/>
              <w:pageBreakBefore w:val="0"/>
              <w:widowControl w:val="0"/>
              <w:kinsoku/>
              <w:wordWrap/>
              <w:overflowPunct/>
              <w:topLinePunct w:val="0"/>
              <w:autoSpaceDE/>
              <w:autoSpaceDN/>
              <w:bidi w:val="0"/>
              <w:adjustRightInd/>
              <w:snapToGrid/>
              <w:ind w:firstLine="0" w:firstLineChars="0"/>
              <w:textAlignment w:val="auto"/>
              <w:rPr>
                <w:b/>
                <w:bCs/>
                <w:color w:val="auto"/>
                <w:highlight w:val="none"/>
              </w:rPr>
            </w:pPr>
            <w:r>
              <w:rPr>
                <w:rFonts w:hint="eastAsia"/>
                <w:b/>
                <w:bCs/>
                <w:color w:val="auto"/>
                <w:highlight w:val="none"/>
                <w:lang w:val="en-US" w:eastAsia="zh-CN"/>
              </w:rPr>
              <w:t>5</w:t>
            </w:r>
            <w:r>
              <w:rPr>
                <w:rFonts w:hint="eastAsia"/>
                <w:b/>
                <w:bCs/>
                <w:color w:val="auto"/>
                <w:highlight w:val="none"/>
                <w:lang w:eastAsia="zh-CN"/>
              </w:rPr>
              <w:t>.</w:t>
            </w:r>
            <w:r>
              <w:rPr>
                <w:b/>
                <w:bCs/>
                <w:color w:val="auto"/>
                <w:highlight w:val="none"/>
              </w:rPr>
              <w:t>生态</w:t>
            </w:r>
          </w:p>
          <w:p w14:paraId="33335CBA">
            <w:pPr>
              <w:bidi w:val="0"/>
              <w:rPr>
                <w:rFonts w:hint="eastAsia"/>
                <w:color w:val="auto"/>
                <w:highlight w:val="none"/>
                <w:lang w:val="en-US" w:eastAsia="zh-CN"/>
              </w:rPr>
            </w:pPr>
            <w:r>
              <w:rPr>
                <w:rFonts w:hint="eastAsia"/>
                <w:color w:val="auto"/>
                <w:kern w:val="0"/>
                <w:sz w:val="24"/>
                <w:highlight w:val="none"/>
                <w:lang w:val="en-US" w:eastAsia="zh-CN" w:bidi="ar"/>
              </w:rPr>
              <w:t>本</w:t>
            </w:r>
            <w:r>
              <w:rPr>
                <w:rFonts w:hint="eastAsia"/>
                <w:color w:val="auto"/>
                <w:kern w:val="0"/>
                <w:sz w:val="24"/>
                <w:highlight w:val="none"/>
                <w:lang w:bidi="ar"/>
              </w:rPr>
              <w:t>项目占地及评价范围内不涉及国家公园、自然保护区、自然公园等自然保护地、世界自然遗产、生态保护红线等区域，重要物种的天然集中分布区、栖息地，重要水生生物的产卵场、索饵场、越冬场和洄游通道，迁徙鸟类的重要繁殖地、停歇地、越冬地以及野生动物迁徙通道等。</w:t>
            </w:r>
          </w:p>
          <w:p w14:paraId="431BBB91">
            <w:pPr>
              <w:adjustRightInd w:val="0"/>
              <w:snapToGrid w:val="0"/>
              <w:spacing w:line="480" w:lineRule="exact"/>
              <w:ind w:firstLine="480" w:firstLineChars="200"/>
              <w:jc w:val="left"/>
              <w:rPr>
                <w:color w:val="auto"/>
                <w:highlight w:val="none"/>
              </w:rPr>
            </w:pPr>
            <w:r>
              <w:rPr>
                <w:rFonts w:hint="eastAsia"/>
                <w:color w:val="auto"/>
                <w:kern w:val="0"/>
                <w:sz w:val="24"/>
                <w:highlight w:val="none"/>
                <w:lang w:bidi="ar"/>
              </w:rPr>
              <w:t>项目占地为</w:t>
            </w:r>
            <w:r>
              <w:rPr>
                <w:rFonts w:hint="eastAsia"/>
                <w:color w:val="auto"/>
                <w:kern w:val="0"/>
                <w:sz w:val="24"/>
                <w:highlight w:val="none"/>
                <w:lang w:val="en-US" w:eastAsia="zh-CN" w:bidi="ar"/>
              </w:rPr>
              <w:t>废弃坑塘（属于农业用地范畴）</w:t>
            </w:r>
            <w:r>
              <w:rPr>
                <w:rFonts w:hint="eastAsia"/>
                <w:color w:val="auto"/>
                <w:kern w:val="0"/>
                <w:sz w:val="24"/>
                <w:highlight w:val="none"/>
                <w:lang w:bidi="ar"/>
              </w:rPr>
              <w:t>，项目周边主要土地利用类型为</w:t>
            </w:r>
            <w:r>
              <w:rPr>
                <w:rFonts w:hint="eastAsia"/>
                <w:color w:val="auto"/>
                <w:kern w:val="0"/>
                <w:sz w:val="24"/>
                <w:highlight w:val="none"/>
                <w:lang w:val="en-US" w:eastAsia="zh-CN" w:bidi="ar"/>
              </w:rPr>
              <w:t>农用地和企业用地</w:t>
            </w:r>
            <w:r>
              <w:rPr>
                <w:rFonts w:hint="eastAsia"/>
                <w:color w:val="auto"/>
                <w:kern w:val="0"/>
                <w:sz w:val="24"/>
                <w:highlight w:val="none"/>
                <w:lang w:bidi="ar"/>
              </w:rPr>
              <w:t>。</w:t>
            </w:r>
            <w:r>
              <w:rPr>
                <w:rFonts w:hint="eastAsia"/>
                <w:color w:val="auto"/>
                <w:highlight w:val="none"/>
                <w:lang w:val="en-US" w:eastAsia="zh-CN"/>
              </w:rPr>
              <w:t>本项目利用现有</w:t>
            </w:r>
            <w:r>
              <w:rPr>
                <w:rFonts w:hint="eastAsia"/>
                <w:color w:val="auto"/>
                <w:sz w:val="24"/>
                <w:szCs w:val="24"/>
                <w:highlight w:val="none"/>
                <w:lang w:val="en-US" w:eastAsia="zh-CN"/>
              </w:rPr>
              <w:t>废弃低洼坑塘</w:t>
            </w:r>
            <w:r>
              <w:rPr>
                <w:rFonts w:hint="eastAsia"/>
                <w:color w:val="auto"/>
                <w:highlight w:val="none"/>
                <w:lang w:val="en-US" w:eastAsia="zh-CN"/>
              </w:rPr>
              <w:t>堆填建筑垃圾，封场覆盖后用于</w:t>
            </w:r>
            <w:r>
              <w:rPr>
                <w:rFonts w:hint="eastAsia" w:ascii="宋体" w:hAnsi="宋体" w:cs="宋体"/>
                <w:color w:val="auto"/>
                <w:sz w:val="24"/>
                <w:szCs w:val="24"/>
                <w:highlight w:val="none"/>
                <w:lang w:val="en-US" w:eastAsia="zh-CN"/>
              </w:rPr>
              <w:t>农业开发（养殖、种植、苗圃、园艺等）。用地周边</w:t>
            </w:r>
            <w:r>
              <w:rPr>
                <w:rFonts w:hint="eastAsia"/>
                <w:color w:val="auto"/>
                <w:highlight w:val="none"/>
                <w:lang w:val="en-US" w:eastAsia="zh-CN"/>
              </w:rPr>
              <w:t>现状植物主要为钻天杨、旱柳、国槐、榆树等乔木，荆条、酸枣等灌木，狗尾草、</w:t>
            </w:r>
            <w:r>
              <w:rPr>
                <w:rFonts w:ascii="宋体" w:hAnsi="宋体" w:eastAsia="宋体" w:cs="宋体"/>
                <w:color w:val="auto"/>
                <w:sz w:val="24"/>
                <w:szCs w:val="24"/>
                <w:highlight w:val="none"/>
              </w:rPr>
              <w:t>藜、苋类</w:t>
            </w:r>
            <w:r>
              <w:rPr>
                <w:rFonts w:hint="eastAsia" w:ascii="宋体" w:hAnsi="宋体" w:eastAsia="宋体" w:cs="宋体"/>
                <w:color w:val="auto"/>
                <w:sz w:val="24"/>
                <w:szCs w:val="24"/>
                <w:highlight w:val="none"/>
                <w:lang w:val="en-US" w:eastAsia="zh-CN"/>
              </w:rPr>
              <w:t>等杂草</w:t>
            </w:r>
            <w:r>
              <w:rPr>
                <w:rFonts w:hint="eastAsia" w:ascii="宋体" w:hAnsi="宋体" w:cs="宋体"/>
                <w:color w:val="auto"/>
                <w:sz w:val="24"/>
                <w:szCs w:val="24"/>
                <w:highlight w:val="none"/>
                <w:lang w:val="en-US" w:eastAsia="zh-CN"/>
              </w:rPr>
              <w:t>；动物</w:t>
            </w:r>
            <w:r>
              <w:rPr>
                <w:color w:val="auto"/>
                <w:kern w:val="0"/>
                <w:sz w:val="24"/>
                <w:highlight w:val="none"/>
                <w:lang w:bidi="ar"/>
              </w:rPr>
              <w:t>均为常见动物种类</w:t>
            </w:r>
            <w:r>
              <w:rPr>
                <w:rFonts w:hint="eastAsia"/>
                <w:color w:val="auto"/>
                <w:kern w:val="0"/>
                <w:sz w:val="24"/>
                <w:highlight w:val="none"/>
                <w:lang w:eastAsia="zh-CN" w:bidi="ar"/>
              </w:rPr>
              <w:t>，</w:t>
            </w:r>
            <w:r>
              <w:rPr>
                <w:rFonts w:hint="eastAsia"/>
                <w:color w:val="auto"/>
                <w:kern w:val="0"/>
                <w:sz w:val="24"/>
                <w:highlight w:val="none"/>
                <w:lang w:val="en-US" w:eastAsia="zh-CN" w:bidi="ar"/>
              </w:rPr>
              <w:t>主要为</w:t>
            </w:r>
            <w:r>
              <w:rPr>
                <w:rFonts w:ascii="宋体" w:hAnsi="宋体" w:eastAsia="宋体" w:cs="宋体"/>
                <w:color w:val="auto"/>
                <w:sz w:val="24"/>
                <w:szCs w:val="24"/>
                <w:highlight w:val="none"/>
              </w:rPr>
              <w:t>哺乳类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w:t>
            </w:r>
            <w:r>
              <w:rPr>
                <w:rFonts w:ascii="宋体" w:hAnsi="宋体" w:eastAsia="宋体" w:cs="宋体"/>
                <w:color w:val="auto"/>
                <w:sz w:val="24"/>
                <w:szCs w:val="24"/>
                <w:highlight w:val="none"/>
              </w:rPr>
              <w:t>褐家鼠、小家鼠、黑线仓鼠、大仓鼠等广布啮齿类</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昆虫类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如</w:t>
            </w:r>
            <w:r>
              <w:rPr>
                <w:rFonts w:ascii="宋体" w:hAnsi="宋体" w:eastAsia="宋体" w:cs="宋体"/>
                <w:color w:val="auto"/>
                <w:sz w:val="24"/>
                <w:szCs w:val="24"/>
                <w:highlight w:val="none"/>
              </w:rPr>
              <w:t>蝗虫、蟋蟀、金龟子、各类蛾蝶幼虫等</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还有</w:t>
            </w:r>
            <w:r>
              <w:rPr>
                <w:rFonts w:ascii="宋体" w:hAnsi="宋体" w:eastAsia="宋体" w:cs="宋体"/>
                <w:color w:val="auto"/>
                <w:sz w:val="24"/>
                <w:szCs w:val="24"/>
                <w:highlight w:val="none"/>
              </w:rPr>
              <w:t>蚯蚓、蜗牛、潮虫、蜘蛛</w:t>
            </w:r>
            <w:r>
              <w:rPr>
                <w:rFonts w:hint="eastAsia" w:ascii="宋体" w:hAnsi="宋体" w:eastAsia="宋体" w:cs="宋体"/>
                <w:color w:val="auto"/>
                <w:sz w:val="24"/>
                <w:szCs w:val="24"/>
                <w:highlight w:val="none"/>
                <w:lang w:val="en-US" w:eastAsia="zh-CN"/>
              </w:rPr>
              <w:t>等。</w:t>
            </w:r>
            <w:r>
              <w:rPr>
                <w:rFonts w:hint="eastAsia"/>
                <w:color w:val="auto"/>
                <w:highlight w:val="none"/>
                <w:lang w:val="en-US" w:eastAsia="zh-CN"/>
              </w:rPr>
              <w:t>用地范围内无重要物种、生态敏感区以及其他需要保护的物种、种群、生物群落及生态空间等生态保护目标，无需进行生态环境现状调查</w:t>
            </w:r>
            <w:r>
              <w:rPr>
                <w:color w:val="auto"/>
                <w:highlight w:val="none"/>
              </w:rPr>
              <w:t xml:space="preserve">。 </w:t>
            </w:r>
          </w:p>
          <w:p w14:paraId="6405543E">
            <w:pPr>
              <w:keepNext w:val="0"/>
              <w:keepLines w:val="0"/>
              <w:pageBreakBefore w:val="0"/>
              <w:widowControl w:val="0"/>
              <w:kinsoku/>
              <w:wordWrap/>
              <w:overflowPunct/>
              <w:topLinePunct w:val="0"/>
              <w:autoSpaceDE/>
              <w:autoSpaceDN/>
              <w:bidi w:val="0"/>
              <w:adjustRightInd/>
              <w:snapToGrid/>
              <w:spacing w:line="480" w:lineRule="atLeast"/>
              <w:ind w:firstLine="0" w:firstLineChars="0"/>
              <w:textAlignment w:val="auto"/>
              <w:rPr>
                <w:rFonts w:hint="eastAsia" w:ascii="Times New Roman" w:hAnsi="Times New Roman" w:eastAsia="宋体" w:cs="Times New Roman"/>
                <w:b/>
                <w:color w:val="auto"/>
                <w:sz w:val="24"/>
                <w:highlight w:val="none"/>
                <w:shd w:val="clear" w:color="auto" w:fill="auto"/>
                <w:lang w:val="en-US" w:eastAsia="zh-CN"/>
              </w:rPr>
            </w:pPr>
            <w:r>
              <w:rPr>
                <w:rFonts w:hint="eastAsia" w:ascii="Times New Roman" w:hAnsi="Times New Roman" w:eastAsia="宋体" w:cs="Times New Roman"/>
                <w:b/>
                <w:color w:val="auto"/>
                <w:sz w:val="24"/>
                <w:highlight w:val="none"/>
                <w:shd w:val="clear" w:color="auto" w:fill="auto"/>
                <w:lang w:val="en-US" w:eastAsia="zh-CN"/>
              </w:rPr>
              <w:t>6</w:t>
            </w:r>
            <w:r>
              <w:rPr>
                <w:rFonts w:hint="eastAsia" w:cs="Times New Roman"/>
                <w:b/>
                <w:color w:val="auto"/>
                <w:sz w:val="24"/>
                <w:highlight w:val="none"/>
                <w:shd w:val="clear" w:color="auto" w:fill="auto"/>
                <w:lang w:val="en-US" w:eastAsia="zh-CN"/>
              </w:rPr>
              <w:t>.</w:t>
            </w:r>
            <w:r>
              <w:rPr>
                <w:rFonts w:hint="eastAsia" w:ascii="Times New Roman" w:hAnsi="Times New Roman" w:eastAsia="宋体" w:cs="Times New Roman"/>
                <w:b/>
                <w:color w:val="auto"/>
                <w:sz w:val="24"/>
                <w:highlight w:val="none"/>
                <w:shd w:val="clear" w:color="auto" w:fill="auto"/>
                <w:lang w:val="en-US" w:eastAsia="zh-CN"/>
              </w:rPr>
              <w:t>电磁辐射</w:t>
            </w:r>
          </w:p>
          <w:p w14:paraId="07413A95">
            <w:pPr>
              <w:keepNext w:val="0"/>
              <w:keepLines w:val="0"/>
              <w:pageBreakBefore w:val="0"/>
              <w:widowControl w:val="0"/>
              <w:kinsoku/>
              <w:wordWrap/>
              <w:overflowPunct/>
              <w:topLinePunct w:val="0"/>
              <w:autoSpaceDE/>
              <w:autoSpaceDN/>
              <w:bidi w:val="0"/>
              <w:adjustRightInd/>
              <w:snapToGrid/>
              <w:spacing w:line="480" w:lineRule="atLeas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w:t>
            </w:r>
            <w:r>
              <w:rPr>
                <w:rFonts w:hint="eastAsia" w:cs="Times New Roman"/>
                <w:color w:val="auto"/>
                <w:sz w:val="24"/>
                <w:highlight w:val="none"/>
                <w:lang w:val="en-US" w:eastAsia="zh-CN"/>
              </w:rPr>
              <w:t>不属于新建或改建、扩建广播电台、差转台、电视塔台、卫星地球上行站、雷达等电磁辐射类项目，无需开展电磁辐射现状监测与评价</w:t>
            </w:r>
            <w:r>
              <w:rPr>
                <w:rFonts w:hint="eastAsia" w:ascii="Times New Roman" w:hAnsi="Times New Roman" w:eastAsia="宋体" w:cs="Times New Roman"/>
                <w:color w:val="auto"/>
                <w:sz w:val="24"/>
                <w:highlight w:val="none"/>
                <w:lang w:val="en-US" w:eastAsia="zh-CN"/>
              </w:rPr>
              <w:t>。</w:t>
            </w:r>
          </w:p>
        </w:tc>
      </w:tr>
      <w:tr w14:paraId="18697E0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937" w:hRule="atLeast"/>
          <w:jc w:val="center"/>
        </w:trPr>
        <w:tc>
          <w:tcPr>
            <w:tcW w:w="731" w:type="dxa"/>
            <w:tcBorders>
              <w:tl2br w:val="nil"/>
              <w:tr2bl w:val="nil"/>
            </w:tcBorders>
            <w:noWrap w:val="0"/>
            <w:vAlign w:val="center"/>
          </w:tcPr>
          <w:p w14:paraId="24CC9F7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环境</w:t>
            </w:r>
          </w:p>
          <w:p w14:paraId="0B092EC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保护</w:t>
            </w:r>
          </w:p>
          <w:p w14:paraId="2462BF36">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目标</w:t>
            </w:r>
          </w:p>
        </w:tc>
        <w:tc>
          <w:tcPr>
            <w:tcW w:w="8350" w:type="dxa"/>
            <w:tcBorders>
              <w:tl2br w:val="nil"/>
              <w:tr2bl w:val="nil"/>
            </w:tcBorders>
            <w:noWrap w:val="0"/>
            <w:vAlign w:val="center"/>
          </w:tcPr>
          <w:p w14:paraId="4ED29C10">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left"/>
              <w:textAlignment w:val="auto"/>
              <w:outlineLvl w:val="9"/>
              <w:rPr>
                <w:rFonts w:hint="default"/>
                <w:color w:val="auto"/>
                <w:highlight w:val="none"/>
                <w:lang w:val="en-US" w:eastAsia="zh-CN"/>
              </w:rPr>
            </w:pPr>
            <w:r>
              <w:rPr>
                <w:rFonts w:hint="eastAsia"/>
                <w:color w:val="auto"/>
                <w:highlight w:val="none"/>
                <w:lang w:val="en-US" w:eastAsia="zh-CN"/>
              </w:rPr>
              <w:t>大气环境：场界外500m范围内无大气环境保护目标；</w:t>
            </w:r>
          </w:p>
          <w:p w14:paraId="19B332A3">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left"/>
              <w:textAlignment w:val="auto"/>
              <w:outlineLvl w:val="9"/>
              <w:rPr>
                <w:rFonts w:hint="eastAsia"/>
                <w:color w:val="auto"/>
                <w:highlight w:val="none"/>
                <w:lang w:val="en-US" w:eastAsia="zh-CN"/>
              </w:rPr>
            </w:pPr>
            <w:r>
              <w:rPr>
                <w:rFonts w:hint="eastAsia"/>
                <w:color w:val="auto"/>
                <w:highlight w:val="none"/>
                <w:lang w:val="en-US" w:eastAsia="zh-CN"/>
              </w:rPr>
              <w:t>声环境：场界外50m范围内无声环境保护目标；</w:t>
            </w:r>
          </w:p>
          <w:p w14:paraId="045A540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left"/>
              <w:textAlignment w:val="auto"/>
              <w:outlineLvl w:val="9"/>
              <w:rPr>
                <w:rFonts w:hint="eastAsia"/>
                <w:color w:val="auto"/>
                <w:highlight w:val="none"/>
                <w:lang w:val="en-US" w:eastAsia="zh-CN"/>
              </w:rPr>
            </w:pPr>
            <w:r>
              <w:rPr>
                <w:rFonts w:hint="eastAsia"/>
                <w:color w:val="auto"/>
                <w:highlight w:val="none"/>
                <w:lang w:val="en-US" w:eastAsia="zh-CN"/>
              </w:rPr>
              <w:t>地下水环境：场界外500m范围内无地下水集中式饮用水水源和热水、矿泉水、温泉等特殊地下水资源，地下水环境保护目标主要为占地范围内的潜水含水层；</w:t>
            </w:r>
          </w:p>
          <w:p w14:paraId="10C38AF1">
            <w:pPr>
              <w:keepNext w:val="0"/>
              <w:keepLines w:val="0"/>
              <w:pageBreakBefore w:val="0"/>
              <w:widowControl w:val="0"/>
              <w:kinsoku/>
              <w:wordWrap/>
              <w:overflowPunct/>
              <w:topLinePunct/>
              <w:autoSpaceDE/>
              <w:autoSpaceDN/>
              <w:bidi w:val="0"/>
              <w:adjustRightInd w:val="0"/>
              <w:snapToGrid/>
              <w:spacing w:before="0" w:line="480" w:lineRule="exact"/>
              <w:ind w:firstLine="480" w:firstLineChars="200"/>
              <w:jc w:val="left"/>
              <w:textAlignment w:val="auto"/>
              <w:rPr>
                <w:rFonts w:hint="eastAsia"/>
                <w:color w:val="auto"/>
                <w:highlight w:val="none"/>
                <w:lang w:val="en-US" w:eastAsia="zh-CN"/>
              </w:rPr>
            </w:pPr>
            <w:r>
              <w:rPr>
                <w:rFonts w:hint="eastAsia"/>
                <w:color w:val="auto"/>
                <w:highlight w:val="none"/>
                <w:lang w:val="en-US" w:eastAsia="zh-CN"/>
              </w:rPr>
              <w:t>生态环境：本项目用地范围内无生态环境保护目标。</w:t>
            </w:r>
          </w:p>
        </w:tc>
      </w:tr>
      <w:tr w14:paraId="75EC70F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1" w:type="dxa"/>
            <w:tcBorders>
              <w:tl2br w:val="nil"/>
              <w:tr2bl w:val="nil"/>
            </w:tcBorders>
            <w:noWrap w:val="0"/>
            <w:vAlign w:val="center"/>
          </w:tcPr>
          <w:p w14:paraId="0355BF4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污染</w:t>
            </w:r>
          </w:p>
          <w:p w14:paraId="402B59C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物排</w:t>
            </w:r>
          </w:p>
          <w:p w14:paraId="16EB557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放控</w:t>
            </w:r>
          </w:p>
          <w:p w14:paraId="4951071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制标</w:t>
            </w:r>
          </w:p>
          <w:p w14:paraId="3D3DE4B8">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4"/>
                <w:szCs w:val="24"/>
                <w:highlight w:val="none"/>
              </w:rPr>
            </w:pPr>
            <w:r>
              <w:rPr>
                <w:rFonts w:hint="eastAsia"/>
                <w:color w:val="auto"/>
                <w:sz w:val="24"/>
                <w:szCs w:val="24"/>
                <w:highlight w:val="none"/>
              </w:rPr>
              <w:t>准</w:t>
            </w:r>
          </w:p>
        </w:tc>
        <w:tc>
          <w:tcPr>
            <w:tcW w:w="8350" w:type="dxa"/>
            <w:tcBorders>
              <w:tl2br w:val="nil"/>
              <w:tr2bl w:val="nil"/>
            </w:tcBorders>
            <w:noWrap w:val="0"/>
            <w:vAlign w:val="center"/>
          </w:tcPr>
          <w:p w14:paraId="3393DFD3">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施工期：</w:t>
            </w:r>
          </w:p>
          <w:p w14:paraId="5B13C24B">
            <w:pPr>
              <w:keepNext w:val="0"/>
              <w:keepLines w:val="0"/>
              <w:pageBreakBefore w:val="0"/>
              <w:widowControl w:val="0"/>
              <w:numPr>
                <w:ilvl w:val="0"/>
                <w:numId w:val="24"/>
              </w:numPr>
              <w:kinsoku/>
              <w:wordWrap/>
              <w:overflowPunct/>
              <w:topLinePunct w:val="0"/>
              <w:autoSpaceDE/>
              <w:autoSpaceDN/>
              <w:bidi w:val="0"/>
              <w:adjustRightInd/>
              <w:snapToGrid/>
              <w:ind w:leftChars="0" w:firstLine="480" w:firstLineChars="200"/>
              <w:textAlignment w:val="auto"/>
              <w:rPr>
                <w:rFonts w:hint="eastAsia"/>
                <w:color w:val="auto"/>
                <w:sz w:val="24"/>
                <w:szCs w:val="24"/>
                <w:highlight w:val="none"/>
                <w:lang w:eastAsia="zh-CN"/>
              </w:rPr>
            </w:pPr>
            <w:r>
              <w:rPr>
                <w:rFonts w:hint="eastAsia"/>
                <w:color w:val="auto"/>
                <w:sz w:val="24"/>
                <w:szCs w:val="24"/>
                <w:highlight w:val="none"/>
                <w:lang w:val="en-US" w:eastAsia="zh-CN"/>
              </w:rPr>
              <w:t>施工扬尘（PM</w:t>
            </w:r>
            <w:r>
              <w:rPr>
                <w:rFonts w:hint="eastAsia"/>
                <w:color w:val="auto"/>
                <w:sz w:val="24"/>
                <w:szCs w:val="24"/>
                <w:highlight w:val="none"/>
                <w:vertAlign w:val="subscript"/>
                <w:lang w:val="en-US" w:eastAsia="zh-CN"/>
              </w:rPr>
              <w:t>10</w:t>
            </w:r>
            <w:r>
              <w:rPr>
                <w:rFonts w:hint="eastAsia"/>
                <w:color w:val="auto"/>
                <w:sz w:val="24"/>
                <w:szCs w:val="24"/>
                <w:highlight w:val="none"/>
                <w:lang w:val="en-US" w:eastAsia="zh-CN"/>
              </w:rPr>
              <w:t>）执行《施工场地扬尘排放标准》（DB13/2934</w:t>
            </w:r>
            <w:r>
              <w:rPr>
                <w:color w:val="auto"/>
                <w:sz w:val="24"/>
                <w:szCs w:val="24"/>
                <w:highlight w:val="none"/>
              </w:rPr>
              <w:t>-</w:t>
            </w:r>
            <w:r>
              <w:rPr>
                <w:rFonts w:hint="eastAsia"/>
                <w:color w:val="auto"/>
                <w:sz w:val="24"/>
                <w:szCs w:val="24"/>
                <w:highlight w:val="none"/>
                <w:lang w:val="en-US" w:eastAsia="zh-CN"/>
              </w:rPr>
              <w:t>2019）表1中：PM</w:t>
            </w:r>
            <w:r>
              <w:rPr>
                <w:rFonts w:hint="eastAsia"/>
                <w:color w:val="auto"/>
                <w:sz w:val="24"/>
                <w:szCs w:val="24"/>
                <w:highlight w:val="none"/>
                <w:vertAlign w:val="subscript"/>
                <w:lang w:val="en-US" w:eastAsia="zh-CN"/>
              </w:rPr>
              <w:t>10</w:t>
            </w:r>
            <w:r>
              <w:rPr>
                <w:rFonts w:hint="eastAsia"/>
                <w:color w:val="auto"/>
                <w:sz w:val="24"/>
                <w:szCs w:val="24"/>
                <w:highlight w:val="none"/>
                <w:lang w:val="en-US" w:eastAsia="zh-CN"/>
              </w:rPr>
              <w:t>小时平均浓度实测值与同时段所属县（市、区）小时平均浓度的差值80</w:t>
            </w:r>
            <w:r>
              <w:rPr>
                <w:rFonts w:hint="default" w:ascii="Times New Roman" w:hAnsi="Times New Roman" w:cs="Times New Roman"/>
                <w:color w:val="auto"/>
                <w:sz w:val="24"/>
                <w:szCs w:val="24"/>
                <w:highlight w:val="none"/>
                <w:lang w:val="en-US" w:eastAsia="zh-CN"/>
              </w:rPr>
              <w:t>μ</w:t>
            </w:r>
            <w:r>
              <w:rPr>
                <w:rFonts w:hint="eastAsia"/>
                <w:color w:val="auto"/>
                <w:sz w:val="24"/>
                <w:szCs w:val="24"/>
                <w:highlight w:val="none"/>
                <w:lang w:val="en-US" w:eastAsia="zh-CN"/>
              </w:rPr>
              <w:t>g/m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，当</w:t>
            </w:r>
            <w:r>
              <w:rPr>
                <w:rFonts w:hint="eastAsia"/>
                <w:color w:val="auto"/>
                <w:sz w:val="24"/>
                <w:szCs w:val="24"/>
                <w:highlight w:val="none"/>
                <w:lang w:val="en-US" w:eastAsia="zh-CN"/>
              </w:rPr>
              <w:t>县（市、区）小时平均浓度值大于150</w:t>
            </w:r>
            <w:r>
              <w:rPr>
                <w:rFonts w:hint="default" w:ascii="Times New Roman" w:hAnsi="Times New Roman" w:cs="Times New Roman"/>
                <w:color w:val="auto"/>
                <w:sz w:val="24"/>
                <w:szCs w:val="24"/>
                <w:highlight w:val="none"/>
                <w:lang w:val="en-US" w:eastAsia="zh-CN"/>
              </w:rPr>
              <w:t>μ</w:t>
            </w:r>
            <w:r>
              <w:rPr>
                <w:rFonts w:hint="eastAsia"/>
                <w:color w:val="auto"/>
                <w:sz w:val="24"/>
                <w:szCs w:val="24"/>
                <w:highlight w:val="none"/>
                <w:lang w:val="en-US" w:eastAsia="zh-CN"/>
              </w:rPr>
              <w:t>g/m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时，以150</w:t>
            </w:r>
            <w:r>
              <w:rPr>
                <w:rFonts w:hint="default" w:ascii="Times New Roman" w:hAnsi="Times New Roman" w:cs="Times New Roman"/>
                <w:color w:val="auto"/>
                <w:sz w:val="24"/>
                <w:szCs w:val="24"/>
                <w:highlight w:val="none"/>
                <w:lang w:val="en-US" w:eastAsia="zh-CN"/>
              </w:rPr>
              <w:t>μ</w:t>
            </w:r>
            <w:r>
              <w:rPr>
                <w:rFonts w:hint="eastAsia"/>
                <w:color w:val="auto"/>
                <w:sz w:val="24"/>
                <w:szCs w:val="24"/>
                <w:highlight w:val="none"/>
                <w:lang w:val="en-US" w:eastAsia="zh-CN"/>
              </w:rPr>
              <w:t>g/m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计，达标判定依据</w:t>
            </w:r>
            <w:r>
              <w:rPr>
                <w:rFonts w:hint="default" w:ascii="Arial" w:hAnsi="Arial" w:cs="Arial"/>
                <w:color w:val="auto"/>
                <w:sz w:val="24"/>
                <w:szCs w:val="24"/>
                <w:highlight w:val="none"/>
                <w:vertAlign w:val="baseline"/>
                <w:lang w:val="en-US" w:eastAsia="zh-CN"/>
              </w:rPr>
              <w:t>≤</w:t>
            </w:r>
            <w:r>
              <w:rPr>
                <w:rFonts w:hint="eastAsia"/>
                <w:color w:val="auto"/>
                <w:sz w:val="24"/>
                <w:szCs w:val="24"/>
                <w:highlight w:val="none"/>
                <w:vertAlign w:val="baseline"/>
                <w:lang w:val="en-US" w:eastAsia="zh-CN"/>
              </w:rPr>
              <w:t>2次/天</w:t>
            </w:r>
            <w:r>
              <w:rPr>
                <w:rFonts w:hint="eastAsia"/>
                <w:color w:val="auto"/>
                <w:sz w:val="24"/>
                <w:szCs w:val="24"/>
                <w:highlight w:val="none"/>
                <w:lang w:val="en-US" w:eastAsia="zh-CN"/>
              </w:rPr>
              <w:t>。</w:t>
            </w:r>
          </w:p>
          <w:p w14:paraId="6FDC16FE">
            <w:pPr>
              <w:keepNext w:val="0"/>
              <w:keepLines w:val="0"/>
              <w:pageBreakBefore w:val="0"/>
              <w:widowControl w:val="0"/>
              <w:numPr>
                <w:ilvl w:val="0"/>
                <w:numId w:val="24"/>
              </w:numPr>
              <w:kinsoku/>
              <w:wordWrap/>
              <w:overflowPunct/>
              <w:topLinePunct w:val="0"/>
              <w:autoSpaceDE/>
              <w:autoSpaceDN/>
              <w:bidi w:val="0"/>
              <w:adjustRightInd/>
              <w:snapToGrid/>
              <w:ind w:leftChars="0" w:firstLine="480" w:firstLineChars="200"/>
              <w:textAlignment w:val="auto"/>
              <w:rPr>
                <w:rFonts w:hint="eastAsia"/>
                <w:color w:val="auto"/>
                <w:sz w:val="24"/>
                <w:szCs w:val="24"/>
                <w:highlight w:val="none"/>
                <w:lang w:eastAsia="zh-CN"/>
              </w:rPr>
            </w:pPr>
            <w:r>
              <w:rPr>
                <w:rFonts w:hint="eastAsia"/>
                <w:color w:val="auto"/>
                <w:highlight w:val="none"/>
                <w:lang w:val="en-US" w:eastAsia="zh-CN"/>
              </w:rPr>
              <w:t>噪声执行《建筑施工噪声排放标准》（GB12523-2025）中表1建筑施工场界噪声排放限值，昼间：70dB（A），夜间：55dB（A）</w:t>
            </w:r>
            <w:r>
              <w:rPr>
                <w:rFonts w:hint="eastAsia"/>
                <w:color w:val="auto"/>
                <w:sz w:val="24"/>
                <w:szCs w:val="24"/>
                <w:highlight w:val="none"/>
                <w:lang w:val="en-US" w:eastAsia="zh-CN"/>
              </w:rPr>
              <w:t>。</w:t>
            </w:r>
          </w:p>
          <w:p w14:paraId="46D6CCD5">
            <w:pPr>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运营期：</w:t>
            </w:r>
          </w:p>
          <w:p w14:paraId="57AA22FD">
            <w:pPr>
              <w:keepNext w:val="0"/>
              <w:keepLines w:val="0"/>
              <w:pageBreakBefore w:val="0"/>
              <w:widowControl w:val="0"/>
              <w:numPr>
                <w:ilvl w:val="0"/>
                <w:numId w:val="25"/>
              </w:numPr>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eastAsia="zh-CN"/>
              </w:rPr>
            </w:pPr>
            <w:r>
              <w:rPr>
                <w:rFonts w:hint="eastAsia"/>
                <w:color w:val="auto"/>
                <w:sz w:val="24"/>
                <w:szCs w:val="24"/>
                <w:highlight w:val="none"/>
                <w:lang w:val="en-US" w:eastAsia="zh-CN"/>
              </w:rPr>
              <w:t>颗粒物</w:t>
            </w:r>
            <w:r>
              <w:rPr>
                <w:rFonts w:hint="eastAsia"/>
                <w:snapToGrid w:val="0"/>
                <w:color w:val="auto"/>
                <w:sz w:val="24"/>
                <w:szCs w:val="24"/>
                <w:highlight w:val="none"/>
                <w:vertAlign w:val="baseline"/>
                <w:lang w:val="en-US" w:eastAsia="zh-CN"/>
              </w:rPr>
              <w:t>无组织排放执行</w:t>
            </w:r>
            <w:r>
              <w:rPr>
                <w:rFonts w:hint="eastAsia" w:ascii="Times New Roman" w:eastAsia="宋体"/>
                <w:color w:val="auto"/>
                <w:highlight w:val="none"/>
                <w:lang w:val="en-US" w:eastAsia="zh-CN"/>
              </w:rPr>
              <w:t>《大气污染物综合排放标准》（</w:t>
            </w:r>
            <w:r>
              <w:rPr>
                <w:rFonts w:hint="eastAsia"/>
                <w:color w:val="auto"/>
                <w:highlight w:val="none"/>
                <w:lang w:val="en-US" w:eastAsia="zh-CN"/>
              </w:rPr>
              <w:t>GB16297</w:t>
            </w:r>
            <w:r>
              <w:rPr>
                <w:rFonts w:hint="eastAsia" w:ascii="Times New Roman" w:eastAsia="宋体"/>
                <w:color w:val="auto"/>
                <w:highlight w:val="none"/>
                <w:lang w:val="en-US" w:eastAsia="zh-CN"/>
              </w:rPr>
              <w:t>-</w:t>
            </w:r>
            <w:r>
              <w:rPr>
                <w:rFonts w:hint="eastAsia"/>
                <w:color w:val="auto"/>
                <w:highlight w:val="none"/>
                <w:lang w:val="en-US" w:eastAsia="zh-CN"/>
              </w:rPr>
              <w:t>1996</w:t>
            </w:r>
            <w:r>
              <w:rPr>
                <w:rFonts w:hint="eastAsia" w:ascii="Times New Roman" w:eastAsia="宋体"/>
                <w:color w:val="auto"/>
                <w:highlight w:val="none"/>
                <w:lang w:val="en-US" w:eastAsia="zh-CN"/>
              </w:rPr>
              <w:t>）表</w:t>
            </w:r>
            <w:r>
              <w:rPr>
                <w:rFonts w:hint="eastAsia"/>
                <w:color w:val="auto"/>
                <w:highlight w:val="none"/>
                <w:lang w:val="en-US" w:eastAsia="zh-CN"/>
              </w:rPr>
              <w:t>2中</w:t>
            </w:r>
            <w:r>
              <w:rPr>
                <w:rFonts w:hint="eastAsia" w:ascii="Times New Roman" w:eastAsia="宋体"/>
                <w:color w:val="auto"/>
                <w:highlight w:val="none"/>
                <w:lang w:val="en-US" w:eastAsia="zh-CN"/>
              </w:rPr>
              <w:t>颗粒物</w:t>
            </w:r>
            <w:r>
              <w:rPr>
                <w:rFonts w:hint="eastAsia"/>
                <w:color w:val="auto"/>
                <w:highlight w:val="none"/>
                <w:lang w:val="en-US" w:eastAsia="zh-CN"/>
              </w:rPr>
              <w:t>无组织排放浓度</w:t>
            </w:r>
            <w:r>
              <w:rPr>
                <w:rFonts w:hint="eastAsia" w:ascii="Times New Roman" w:eastAsia="宋体"/>
                <w:color w:val="auto"/>
                <w:highlight w:val="none"/>
                <w:lang w:val="en-US" w:eastAsia="zh-CN"/>
              </w:rPr>
              <w:t>限值</w:t>
            </w:r>
            <w:r>
              <w:rPr>
                <w:rFonts w:hint="eastAsia"/>
                <w:color w:val="auto"/>
                <w:highlight w:val="none"/>
                <w:lang w:val="en-US" w:eastAsia="zh-CN"/>
              </w:rPr>
              <w:t>1</w:t>
            </w:r>
            <w:r>
              <w:rPr>
                <w:rFonts w:hint="eastAsia" w:ascii="Times New Roman" w:eastAsia="宋体"/>
                <w:color w:val="auto"/>
                <w:highlight w:val="none"/>
                <w:lang w:val="en-US" w:eastAsia="zh-CN"/>
              </w:rPr>
              <w:t>.0mg/m</w:t>
            </w:r>
            <w:r>
              <w:rPr>
                <w:rFonts w:hint="eastAsia" w:ascii="Times New Roman" w:eastAsia="宋体"/>
                <w:color w:val="auto"/>
                <w:highlight w:val="none"/>
                <w:vertAlign w:val="superscript"/>
                <w:lang w:val="en-US" w:eastAsia="zh-CN"/>
              </w:rPr>
              <w:t>3</w:t>
            </w:r>
            <w:r>
              <w:rPr>
                <w:rFonts w:hint="eastAsia" w:ascii="Times New Roman" w:eastAsia="宋体"/>
                <w:color w:val="auto"/>
                <w:highlight w:val="none"/>
                <w:vertAlign w:val="baseline"/>
                <w:lang w:val="en-US" w:eastAsia="zh-CN"/>
              </w:rPr>
              <w:t>。</w:t>
            </w:r>
          </w:p>
          <w:p w14:paraId="4CB36E99">
            <w:pPr>
              <w:keepNext w:val="0"/>
              <w:keepLines w:val="0"/>
              <w:pageBreakBefore w:val="0"/>
              <w:widowControl w:val="0"/>
              <w:numPr>
                <w:ilvl w:val="0"/>
                <w:numId w:val="25"/>
              </w:numPr>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场</w:t>
            </w:r>
            <w:r>
              <w:rPr>
                <w:color w:val="auto"/>
                <w:highlight w:val="none"/>
              </w:rPr>
              <w:t>界噪声执行《工业企业厂界环境噪声排放标准》（GB12348-2008）</w:t>
            </w:r>
            <w:r>
              <w:rPr>
                <w:rFonts w:hint="eastAsia"/>
                <w:color w:val="auto"/>
                <w:highlight w:val="none"/>
                <w:lang w:val="en-US" w:eastAsia="zh-CN"/>
              </w:rPr>
              <w:t>2</w:t>
            </w:r>
            <w:r>
              <w:rPr>
                <w:color w:val="auto"/>
                <w:highlight w:val="none"/>
              </w:rPr>
              <w:t>类标准</w:t>
            </w:r>
            <w:r>
              <w:rPr>
                <w:rFonts w:hint="eastAsia"/>
                <w:color w:val="auto"/>
                <w:highlight w:val="none"/>
                <w:lang w:eastAsia="zh-CN"/>
              </w:rPr>
              <w:t>，</w:t>
            </w:r>
            <w:r>
              <w:rPr>
                <w:rFonts w:hint="eastAsia"/>
                <w:color w:val="auto"/>
                <w:highlight w:val="none"/>
                <w:lang w:val="en-US" w:eastAsia="zh-CN"/>
              </w:rPr>
              <w:t>昼间60dB（A）。</w:t>
            </w:r>
          </w:p>
          <w:p w14:paraId="70100B03">
            <w:pPr>
              <w:numPr>
                <w:ilvl w:val="0"/>
                <w:numId w:val="25"/>
              </w:numPr>
              <w:bidi w:val="0"/>
              <w:ind w:left="0" w:leftChars="0" w:firstLine="480" w:firstLineChars="200"/>
              <w:rPr>
                <w:rFonts w:hint="eastAsia"/>
                <w:color w:val="auto"/>
                <w:highlight w:val="none"/>
                <w:lang w:val="en-US" w:eastAsia="zh-CN"/>
              </w:rPr>
            </w:pPr>
            <w:r>
              <w:rPr>
                <w:rFonts w:hint="default"/>
                <w:color w:val="auto"/>
                <w:highlight w:val="none"/>
              </w:rPr>
              <w:t>一般固体废物</w:t>
            </w:r>
            <w:r>
              <w:rPr>
                <w:rFonts w:hint="eastAsia"/>
                <w:color w:val="auto"/>
                <w:highlight w:val="none"/>
                <w:lang w:val="en-US" w:eastAsia="zh-CN"/>
              </w:rPr>
              <w:t>参照</w:t>
            </w:r>
            <w:r>
              <w:rPr>
                <w:rFonts w:hint="default"/>
                <w:color w:val="auto"/>
                <w:highlight w:val="none"/>
              </w:rPr>
              <w:t>执行《</w:t>
            </w:r>
            <w:r>
              <w:rPr>
                <w:rFonts w:hint="eastAsia"/>
                <w:color w:val="auto"/>
                <w:highlight w:val="none"/>
              </w:rPr>
              <w:t>中华人民共和国生态环境法典</w:t>
            </w:r>
            <w:r>
              <w:rPr>
                <w:rFonts w:hint="default"/>
                <w:color w:val="auto"/>
                <w:highlight w:val="none"/>
              </w:rPr>
              <w:t>》中第</w:t>
            </w:r>
            <w:r>
              <w:rPr>
                <w:rFonts w:hint="eastAsia"/>
                <w:color w:val="auto"/>
                <w:highlight w:val="none"/>
                <w:lang w:val="en-US" w:eastAsia="zh-CN"/>
              </w:rPr>
              <w:t>四百七十五</w:t>
            </w:r>
            <w:r>
              <w:rPr>
                <w:rFonts w:hint="default"/>
                <w:color w:val="auto"/>
                <w:highlight w:val="none"/>
              </w:rPr>
              <w:t>条：产生、收集、贮存、运输、利用、处置固体废物的单位和其他生产经营者，应当采取防扬散、防流失、防渗漏或者其他防止污染环境的措施，不得擅自倾倒、堆放、丢弃、抛撒、遗撒或者焚烧固体废物。</w:t>
            </w:r>
            <w:r>
              <w:rPr>
                <w:rFonts w:hint="default" w:ascii="Times New Roman" w:hAnsi="Times New Roman" w:eastAsia="宋体" w:cs="Times New Roman"/>
                <w:color w:val="auto"/>
                <w:kern w:val="24"/>
                <w:sz w:val="24"/>
                <w:highlight w:val="none"/>
              </w:rPr>
              <w:t>营运期生活垃圾处置参照执行</w:t>
            </w:r>
            <w:r>
              <w:rPr>
                <w:rFonts w:hint="default"/>
                <w:color w:val="auto"/>
                <w:highlight w:val="none"/>
              </w:rPr>
              <w:t>《</w:t>
            </w:r>
            <w:r>
              <w:rPr>
                <w:rFonts w:hint="eastAsia"/>
                <w:color w:val="auto"/>
                <w:highlight w:val="none"/>
              </w:rPr>
              <w:t>中华人民共和国生态环境法典</w:t>
            </w:r>
            <w:r>
              <w:rPr>
                <w:rFonts w:hint="default"/>
                <w:color w:val="auto"/>
                <w:highlight w:val="none"/>
              </w:rPr>
              <w:t>》</w:t>
            </w:r>
            <w:r>
              <w:rPr>
                <w:rFonts w:hint="eastAsia" w:ascii="宋体" w:hAnsi="宋体" w:eastAsia="宋体" w:cs="宋体"/>
                <w:color w:val="auto"/>
                <w:kern w:val="24"/>
                <w:sz w:val="24"/>
                <w:highlight w:val="none"/>
                <w:lang w:eastAsia="zh-CN"/>
              </w:rPr>
              <w:t>“</w:t>
            </w:r>
            <w:r>
              <w:rPr>
                <w:rFonts w:hint="eastAsia" w:ascii="宋体" w:hAnsi="宋体" w:eastAsia="宋体" w:cs="宋体"/>
                <w:color w:val="auto"/>
                <w:kern w:val="24"/>
                <w:sz w:val="24"/>
                <w:highlight w:val="none"/>
              </w:rPr>
              <w:t>第</w:t>
            </w:r>
            <w:r>
              <w:rPr>
                <w:rFonts w:hint="eastAsia" w:ascii="宋体" w:hAnsi="宋体" w:cs="宋体"/>
                <w:color w:val="auto"/>
                <w:kern w:val="24"/>
                <w:sz w:val="24"/>
                <w:highlight w:val="none"/>
                <w:lang w:val="en-US" w:eastAsia="zh-CN"/>
              </w:rPr>
              <w:t>二十一</w:t>
            </w:r>
            <w:r>
              <w:rPr>
                <w:rFonts w:hint="eastAsia" w:ascii="宋体" w:hAnsi="宋体" w:eastAsia="宋体" w:cs="宋体"/>
                <w:color w:val="auto"/>
                <w:kern w:val="24"/>
                <w:sz w:val="24"/>
                <w:highlight w:val="none"/>
              </w:rPr>
              <w:t>章生活垃圾</w:t>
            </w:r>
            <w:r>
              <w:rPr>
                <w:rFonts w:hint="eastAsia" w:ascii="宋体" w:hAnsi="宋体" w:eastAsia="宋体" w:cs="宋体"/>
                <w:color w:val="auto"/>
                <w:kern w:val="24"/>
                <w:sz w:val="24"/>
                <w:highlight w:val="none"/>
                <w:lang w:eastAsia="zh-CN"/>
              </w:rPr>
              <w:t>”</w:t>
            </w:r>
            <w:r>
              <w:rPr>
                <w:rFonts w:hint="eastAsia" w:ascii="宋体" w:hAnsi="宋体" w:eastAsia="宋体" w:cs="宋体"/>
                <w:color w:val="auto"/>
                <w:kern w:val="24"/>
                <w:sz w:val="24"/>
                <w:highlight w:val="none"/>
              </w:rPr>
              <w:t>的相关规定</w:t>
            </w:r>
            <w:r>
              <w:rPr>
                <w:rFonts w:hint="eastAsia" w:ascii="宋体" w:hAnsi="宋体" w:eastAsia="宋体" w:cs="宋体"/>
                <w:color w:val="auto"/>
                <w:kern w:val="24"/>
                <w:sz w:val="24"/>
                <w:highlight w:val="none"/>
                <w:lang w:eastAsia="zh-CN"/>
              </w:rPr>
              <w:t>。</w:t>
            </w:r>
          </w:p>
          <w:p w14:paraId="32206193">
            <w:pPr>
              <w:bidi w:val="0"/>
              <w:rPr>
                <w:rFonts w:hint="default"/>
                <w:color w:val="auto"/>
                <w:highlight w:val="none"/>
                <w:lang w:val="en-US" w:eastAsia="zh-CN"/>
              </w:rPr>
            </w:pPr>
            <w:r>
              <w:rPr>
                <w:rFonts w:hint="eastAsia"/>
                <w:color w:val="auto"/>
                <w:highlight w:val="none"/>
                <w:lang w:val="en-US" w:eastAsia="zh-CN"/>
              </w:rPr>
              <w:t>（4）建筑垃圾堆填过程执行《建筑垃圾处理技术标准》（CJJ/T 134-2019）、《建筑垃圾堆砌地建设标准》（DB13（J）T8464-2022）中相关要求。</w:t>
            </w:r>
          </w:p>
        </w:tc>
      </w:tr>
      <w:tr w14:paraId="2C345F4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31" w:type="dxa"/>
            <w:tcBorders>
              <w:tl2br w:val="nil"/>
              <w:tr2bl w:val="nil"/>
            </w:tcBorders>
            <w:noWrap w:val="0"/>
            <w:vAlign w:val="center"/>
          </w:tcPr>
          <w:p w14:paraId="268E8CA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总量</w:t>
            </w:r>
          </w:p>
          <w:p w14:paraId="2341540C">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控制</w:t>
            </w:r>
          </w:p>
          <w:p w14:paraId="084F8CD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highlight w:val="none"/>
              </w:rPr>
            </w:pPr>
            <w:r>
              <w:rPr>
                <w:rFonts w:hint="eastAsia"/>
                <w:color w:val="auto"/>
                <w:sz w:val="24"/>
                <w:szCs w:val="24"/>
                <w:highlight w:val="none"/>
              </w:rPr>
              <w:t>指标</w:t>
            </w:r>
          </w:p>
        </w:tc>
        <w:tc>
          <w:tcPr>
            <w:tcW w:w="8350" w:type="dxa"/>
            <w:tcBorders>
              <w:tl2br w:val="nil"/>
              <w:tr2bl w:val="nil"/>
            </w:tcBorders>
            <w:noWrap w:val="0"/>
            <w:vAlign w:val="center"/>
          </w:tcPr>
          <w:p w14:paraId="76701B9D">
            <w:pPr>
              <w:pStyle w:val="11"/>
              <w:rPr>
                <w:rFonts w:hint="default"/>
                <w:color w:val="auto"/>
                <w:highlight w:val="none"/>
              </w:rPr>
            </w:pPr>
            <w:r>
              <w:rPr>
                <w:rFonts w:hint="default"/>
                <w:color w:val="auto"/>
                <w:highlight w:val="none"/>
              </w:rPr>
              <w:t>根据</w:t>
            </w:r>
            <w:r>
              <w:rPr>
                <w:rFonts w:hint="eastAsia"/>
                <w:color w:val="auto"/>
                <w:highlight w:val="none"/>
                <w:lang w:val="en-US" w:eastAsia="zh-CN"/>
              </w:rPr>
              <w:t>国家总量控制相关要求</w:t>
            </w:r>
            <w:r>
              <w:rPr>
                <w:rFonts w:hint="default"/>
                <w:color w:val="auto"/>
                <w:highlight w:val="none"/>
              </w:rPr>
              <w:t>，同时根据</w:t>
            </w:r>
            <w:r>
              <w:rPr>
                <w:rFonts w:hint="default"/>
                <w:color w:val="auto"/>
                <w:highlight w:val="none"/>
                <w:lang w:eastAsia="zh-CN"/>
              </w:rPr>
              <w:t>河北</w:t>
            </w:r>
            <w:r>
              <w:rPr>
                <w:rFonts w:hint="default"/>
                <w:color w:val="auto"/>
                <w:highlight w:val="none"/>
              </w:rPr>
              <w:t>省</w:t>
            </w:r>
            <w:r>
              <w:rPr>
                <w:rFonts w:hint="eastAsia"/>
                <w:color w:val="auto"/>
                <w:highlight w:val="none"/>
                <w:lang w:val="en-US" w:eastAsia="zh-CN"/>
              </w:rPr>
              <w:t>生态环境</w:t>
            </w:r>
            <w:r>
              <w:rPr>
                <w:rFonts w:hint="default"/>
                <w:color w:val="auto"/>
                <w:highlight w:val="none"/>
              </w:rPr>
              <w:t>厅的要求，以及项目厂址区域环境质量现状、外排污染物特征，确定总量控制因子为：</w:t>
            </w:r>
          </w:p>
          <w:p w14:paraId="7586A6D5">
            <w:pPr>
              <w:bidi w:val="0"/>
              <w:rPr>
                <w:rFonts w:hint="default"/>
                <w:color w:val="auto"/>
                <w:highlight w:val="none"/>
              </w:rPr>
            </w:pPr>
            <w:r>
              <w:rPr>
                <w:rFonts w:hint="default"/>
                <w:color w:val="auto"/>
                <w:highlight w:val="none"/>
              </w:rPr>
              <w:t>废气：SO</w:t>
            </w:r>
            <w:r>
              <w:rPr>
                <w:rFonts w:hint="default"/>
                <w:color w:val="auto"/>
                <w:highlight w:val="none"/>
                <w:vertAlign w:val="subscript"/>
              </w:rPr>
              <w:t>2</w:t>
            </w:r>
            <w:r>
              <w:rPr>
                <w:rFonts w:hint="default"/>
                <w:color w:val="auto"/>
                <w:highlight w:val="none"/>
              </w:rPr>
              <w:t>、NO</w:t>
            </w:r>
            <w:r>
              <w:rPr>
                <w:rFonts w:hint="default"/>
                <w:color w:val="auto"/>
                <w:highlight w:val="none"/>
                <w:vertAlign w:val="subscript"/>
              </w:rPr>
              <w:t>X</w:t>
            </w:r>
            <w:r>
              <w:rPr>
                <w:rFonts w:hint="default"/>
                <w:color w:val="auto"/>
                <w:highlight w:val="none"/>
              </w:rPr>
              <w:t>；</w:t>
            </w:r>
            <w:bookmarkStart w:id="10" w:name="_GoBack"/>
            <w:bookmarkEnd w:id="10"/>
          </w:p>
          <w:p w14:paraId="5CB9F5D7">
            <w:pPr>
              <w:bidi w:val="0"/>
              <w:rPr>
                <w:rFonts w:hint="default"/>
                <w:color w:val="auto"/>
                <w:highlight w:val="none"/>
              </w:rPr>
            </w:pPr>
            <w:r>
              <w:rPr>
                <w:rFonts w:hint="default"/>
                <w:color w:val="auto"/>
                <w:highlight w:val="none"/>
              </w:rPr>
              <w:t>废水：COD、氨氮</w:t>
            </w:r>
            <w:r>
              <w:rPr>
                <w:rFonts w:hint="eastAsia"/>
                <w:color w:val="auto"/>
                <w:highlight w:val="none"/>
                <w:lang w:eastAsia="zh-CN"/>
              </w:rPr>
              <w:t>、</w:t>
            </w:r>
            <w:r>
              <w:rPr>
                <w:rFonts w:hint="eastAsia"/>
                <w:color w:val="auto"/>
                <w:highlight w:val="none"/>
                <w:lang w:val="en-US" w:eastAsia="zh-CN"/>
              </w:rPr>
              <w:t>总氮</w:t>
            </w:r>
            <w:r>
              <w:rPr>
                <w:rFonts w:hint="default"/>
                <w:color w:val="auto"/>
                <w:highlight w:val="none"/>
              </w:rPr>
              <w:t>；</w:t>
            </w:r>
          </w:p>
          <w:p w14:paraId="64E3F344">
            <w:pPr>
              <w:bidi w:val="0"/>
              <w:rPr>
                <w:rFonts w:hint="eastAsia"/>
                <w:color w:val="auto"/>
                <w:highlight w:val="none"/>
                <w:lang w:eastAsia="zh-CN"/>
              </w:rPr>
            </w:pPr>
            <w:r>
              <w:rPr>
                <w:rFonts w:hint="default" w:ascii="Times New Roman" w:hAnsi="Times New Roman" w:cs="Times New Roman"/>
                <w:color w:val="auto"/>
                <w:highlight w:val="none"/>
              </w:rPr>
              <w:t>根据《关于印发&lt;建设项目主要污染物排放总量指标审核及管理暂行办法〉的通知》（环发[2014]197号）中指标审核规定</w:t>
            </w:r>
            <w:r>
              <w:rPr>
                <w:rFonts w:hint="eastAsia" w:ascii="宋体" w:hAnsi="宋体" w:eastAsia="宋体" w:cs="宋体"/>
                <w:color w:val="auto"/>
                <w:highlight w:val="none"/>
              </w:rPr>
              <w:t>“火电、钢铁、水泥、造纸、印染行业建设项目所需替代的主要污染物排放总量指标采用绩效方法核定，其他行业依照国家或地方污染物排放标准及单位产品基准排水量（行业最高允许排水量）、烟气量等予以核定”。</w:t>
            </w:r>
            <w:r>
              <w:rPr>
                <w:rFonts w:hint="eastAsia"/>
                <w:color w:val="auto"/>
                <w:highlight w:val="none"/>
                <w:lang w:val="en-US" w:eastAsia="zh-CN"/>
              </w:rPr>
              <w:t>本项目建成后污染物总量控制指标为</w:t>
            </w:r>
            <w:r>
              <w:rPr>
                <w:rFonts w:hint="eastAsia"/>
                <w:color w:val="auto"/>
                <w:highlight w:val="none"/>
                <w:lang w:eastAsia="zh-CN"/>
              </w:rPr>
              <w:t>：</w:t>
            </w:r>
          </w:p>
          <w:p w14:paraId="6BFB6594">
            <w:pPr>
              <w:bidi w:val="0"/>
              <w:rPr>
                <w:rFonts w:hint="eastAsia"/>
                <w:color w:val="auto"/>
                <w:highlight w:val="none"/>
                <w:lang w:val="en-US" w:eastAsia="zh-CN"/>
              </w:rPr>
            </w:pPr>
            <w:r>
              <w:rPr>
                <w:rFonts w:hint="eastAsia"/>
                <w:color w:val="auto"/>
                <w:highlight w:val="none"/>
                <w:lang w:val="en-US" w:eastAsia="zh-CN"/>
              </w:rPr>
              <w:t>（1）废水</w:t>
            </w:r>
          </w:p>
          <w:p w14:paraId="5DF98E4B">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color w:val="auto"/>
                <w:spacing w:val="0"/>
                <w:kern w:val="0"/>
                <w:sz w:val="24"/>
                <w:szCs w:val="24"/>
                <w:highlight w:val="none"/>
                <w:lang w:val="en-US" w:eastAsia="zh-CN" w:bidi="ar"/>
              </w:rPr>
            </w:pPr>
            <w:r>
              <w:rPr>
                <w:rFonts w:hint="eastAsia"/>
                <w:color w:val="auto"/>
                <w:highlight w:val="none"/>
                <w:lang w:val="en-US" w:eastAsia="zh-CN"/>
              </w:rPr>
              <w:t>本项目洗车废水沉淀后循环使用，生活污水泼洒抑尘，无废水外排，</w:t>
            </w:r>
            <w:r>
              <w:rPr>
                <w:rFonts w:hint="default"/>
                <w:color w:val="auto"/>
                <w:highlight w:val="none"/>
              </w:rPr>
              <w:t>COD、氨氮</w:t>
            </w:r>
            <w:r>
              <w:rPr>
                <w:rFonts w:hint="eastAsia"/>
                <w:color w:val="auto"/>
                <w:highlight w:val="none"/>
                <w:lang w:eastAsia="zh-CN"/>
              </w:rPr>
              <w:t>、</w:t>
            </w:r>
            <w:r>
              <w:rPr>
                <w:rFonts w:hint="eastAsia"/>
                <w:color w:val="auto"/>
                <w:highlight w:val="none"/>
                <w:lang w:val="en-US" w:eastAsia="zh-CN"/>
              </w:rPr>
              <w:t>总氮总量控制指标均为0t/a</w:t>
            </w:r>
            <w:r>
              <w:rPr>
                <w:rFonts w:hint="default" w:ascii="Times New Roman" w:hAnsi="Times New Roman" w:eastAsia="宋体" w:cs="Times New Roman"/>
                <w:color w:val="auto"/>
                <w:spacing w:val="0"/>
                <w:kern w:val="0"/>
                <w:sz w:val="24"/>
                <w:szCs w:val="24"/>
                <w:highlight w:val="none"/>
                <w:lang w:val="en-US" w:eastAsia="zh-CN" w:bidi="ar"/>
              </w:rPr>
              <w:t>；</w:t>
            </w:r>
          </w:p>
          <w:p w14:paraId="4DCBFBA7">
            <w:pPr>
              <w:bidi w:val="0"/>
              <w:rPr>
                <w:rFonts w:hint="default" w:ascii="Times New Roman" w:hAnsi="Times New Roman" w:eastAsia="宋体" w:cs="Times New Roman"/>
                <w:color w:val="auto"/>
                <w:szCs w:val="24"/>
                <w:highlight w:val="none"/>
              </w:rPr>
            </w:pPr>
            <w:r>
              <w:rPr>
                <w:rFonts w:hint="default"/>
                <w:color w:val="auto"/>
                <w:highlight w:val="none"/>
              </w:rPr>
              <w:t>（2）废气</w:t>
            </w:r>
          </w:p>
          <w:p w14:paraId="34468DF5">
            <w:pPr>
              <w:bidi w:val="0"/>
              <w:rPr>
                <w:rFonts w:hint="default"/>
                <w:color w:val="auto"/>
                <w:highlight w:val="none"/>
                <w:vertAlign w:val="baseline"/>
                <w:lang w:val="en-US" w:eastAsia="zh-CN"/>
              </w:rPr>
            </w:pPr>
            <w:r>
              <w:rPr>
                <w:rFonts w:hint="eastAsia"/>
                <w:color w:val="auto"/>
                <w:highlight w:val="none"/>
                <w:lang w:val="en-US" w:eastAsia="zh-CN"/>
              </w:rPr>
              <w:t>本项目</w:t>
            </w:r>
            <w:r>
              <w:rPr>
                <w:rFonts w:hint="default" w:ascii="Times New Roman" w:hAnsi="Times New Roman" w:eastAsia="宋体" w:cs="Times New Roman"/>
                <w:color w:val="auto"/>
                <w:sz w:val="24"/>
                <w:szCs w:val="24"/>
                <w:highlight w:val="none"/>
              </w:rPr>
              <w:t>厂区内不设锅炉等燃煤、燃气设施，无SO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default" w:ascii="Times New Roman" w:hAnsi="Times New Roman" w:eastAsia="宋体" w:cs="Times New Roman"/>
                <w:color w:val="auto"/>
                <w:sz w:val="24"/>
                <w:szCs w:val="24"/>
                <w:highlight w:val="none"/>
              </w:rPr>
              <w:t>、NO</w:t>
            </w:r>
            <w:r>
              <w:rPr>
                <w:rFonts w:hint="eastAsia" w:cs="Times New Roman"/>
                <w:color w:val="auto"/>
                <w:kern w:val="2"/>
                <w:sz w:val="24"/>
                <w:szCs w:val="24"/>
                <w:highlight w:val="none"/>
                <w:vertAlign w:val="baseline"/>
                <w:lang w:val="en-US" w:eastAsia="zh-CN" w:bidi="ar-SA"/>
              </w:rPr>
              <w:t>x</w:t>
            </w:r>
            <w:r>
              <w:rPr>
                <w:rFonts w:hint="default" w:ascii="Times New Roman" w:hAnsi="Times New Roman" w:eastAsia="宋体" w:cs="Times New Roman"/>
                <w:color w:val="auto"/>
                <w:sz w:val="24"/>
                <w:szCs w:val="24"/>
                <w:highlight w:val="none"/>
              </w:rPr>
              <w:t>产生。因此，本项目SO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default" w:ascii="Times New Roman" w:hAnsi="Times New Roman" w:eastAsia="宋体" w:cs="Times New Roman"/>
                <w:color w:val="auto"/>
                <w:sz w:val="24"/>
                <w:szCs w:val="24"/>
                <w:highlight w:val="none"/>
              </w:rPr>
              <w:t>、NO</w:t>
            </w:r>
            <w:r>
              <w:rPr>
                <w:rFonts w:hint="eastAsia" w:cs="Times New Roman"/>
                <w:color w:val="auto"/>
                <w:kern w:val="2"/>
                <w:sz w:val="24"/>
                <w:szCs w:val="24"/>
                <w:highlight w:val="none"/>
                <w:vertAlign w:val="baseline"/>
                <w:lang w:val="en-US" w:eastAsia="zh-CN" w:bidi="ar-SA"/>
              </w:rPr>
              <w:t>x</w:t>
            </w:r>
            <w:r>
              <w:rPr>
                <w:rFonts w:hint="default" w:ascii="Times New Roman" w:hAnsi="Times New Roman" w:eastAsia="宋体" w:cs="Times New Roman"/>
                <w:color w:val="auto"/>
                <w:sz w:val="24"/>
                <w:szCs w:val="24"/>
                <w:highlight w:val="none"/>
              </w:rPr>
              <w:t>总量控制指标均为0t/a</w:t>
            </w:r>
            <w:r>
              <w:rPr>
                <w:rFonts w:hint="eastAsia"/>
                <w:color w:val="auto"/>
                <w:highlight w:val="none"/>
                <w:vertAlign w:val="baseline"/>
                <w:lang w:val="en-US" w:eastAsia="zh-CN"/>
              </w:rPr>
              <w:t>。</w:t>
            </w:r>
          </w:p>
          <w:p w14:paraId="43D8C7D4">
            <w:pPr>
              <w:bidi w:val="0"/>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综上，本项目总量控制指标为</w:t>
            </w:r>
            <w:r>
              <w:rPr>
                <w:rFonts w:hint="default"/>
                <w:color w:val="auto"/>
                <w:highlight w:val="none"/>
              </w:rPr>
              <w:t>COD</w:t>
            </w:r>
            <w:r>
              <w:rPr>
                <w:rFonts w:hint="eastAsia"/>
                <w:color w:val="auto"/>
                <w:highlight w:val="none"/>
                <w:lang w:eastAsia="zh-CN"/>
              </w:rPr>
              <w:t>：</w:t>
            </w:r>
            <w:r>
              <w:rPr>
                <w:rFonts w:hint="eastAsia"/>
                <w:color w:val="auto"/>
                <w:highlight w:val="none"/>
                <w:lang w:val="en-US" w:eastAsia="zh-CN"/>
              </w:rPr>
              <w:t>0t/a</w:t>
            </w:r>
            <w:r>
              <w:rPr>
                <w:rFonts w:hint="default"/>
                <w:color w:val="auto"/>
                <w:highlight w:val="none"/>
              </w:rPr>
              <w:t>、氨氮</w:t>
            </w:r>
            <w:r>
              <w:rPr>
                <w:rFonts w:hint="eastAsia"/>
                <w:color w:val="auto"/>
                <w:highlight w:val="none"/>
                <w:lang w:val="en-US" w:eastAsia="zh-CN"/>
              </w:rPr>
              <w:t>：0t/a</w:t>
            </w:r>
            <w:r>
              <w:rPr>
                <w:rFonts w:hint="eastAsia"/>
                <w:color w:val="auto"/>
                <w:highlight w:val="none"/>
                <w:lang w:eastAsia="zh-CN"/>
              </w:rPr>
              <w:t>、</w:t>
            </w:r>
            <w:r>
              <w:rPr>
                <w:rFonts w:hint="eastAsia"/>
                <w:color w:val="auto"/>
                <w:highlight w:val="none"/>
                <w:lang w:val="en-US" w:eastAsia="zh-CN"/>
              </w:rPr>
              <w:t>总氮：0t/a</w:t>
            </w:r>
            <w:r>
              <w:rPr>
                <w:rFonts w:hint="eastAsia"/>
                <w:color w:val="auto"/>
                <w:highlight w:val="none"/>
                <w:lang w:eastAsia="zh-CN"/>
              </w:rPr>
              <w:t>、</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eastAsia"/>
                <w:color w:val="auto"/>
                <w:highlight w:val="none"/>
                <w:lang w:val="en-US" w:eastAsia="zh-CN"/>
              </w:rPr>
              <w:t>：0t/a</w:t>
            </w:r>
            <w:r>
              <w:rPr>
                <w:rFonts w:hint="default" w:ascii="Times New Roman" w:hAnsi="Times New Roman" w:eastAsia="宋体" w:cs="Times New Roman"/>
                <w:color w:val="auto"/>
                <w:sz w:val="24"/>
                <w:szCs w:val="24"/>
                <w:highlight w:val="none"/>
              </w:rPr>
              <w:t>、NO</w:t>
            </w:r>
            <w:r>
              <w:rPr>
                <w:rFonts w:hint="eastAsia" w:cs="Times New Roman"/>
                <w:color w:val="auto"/>
                <w:kern w:val="2"/>
                <w:sz w:val="24"/>
                <w:szCs w:val="24"/>
                <w:highlight w:val="none"/>
                <w:vertAlign w:val="baseline"/>
                <w:lang w:val="en-US" w:eastAsia="zh-CN" w:bidi="ar-SA"/>
              </w:rPr>
              <w:t>x</w:t>
            </w:r>
            <w:r>
              <w:rPr>
                <w:rFonts w:hint="eastAsia"/>
                <w:color w:val="auto"/>
                <w:highlight w:val="none"/>
                <w:lang w:val="en-US" w:eastAsia="zh-CN"/>
              </w:rPr>
              <w:t>：0t/a</w:t>
            </w:r>
            <w:r>
              <w:rPr>
                <w:rFonts w:hint="eastAsia" w:ascii="Times New Roman" w:hAnsi="Times New Roman" w:eastAsia="宋体" w:cs="Times New Roman"/>
                <w:color w:val="auto"/>
                <w:sz w:val="24"/>
                <w:szCs w:val="24"/>
                <w:highlight w:val="none"/>
                <w:lang w:eastAsia="zh-CN"/>
              </w:rPr>
              <w:t>。</w:t>
            </w:r>
          </w:p>
          <w:p w14:paraId="31C1A3F4">
            <w:pPr>
              <w:bidi w:val="0"/>
              <w:rPr>
                <w:rFonts w:hint="default" w:ascii="Times New Roman" w:hAnsi="Times New Roman" w:eastAsia="宋体" w:cs="Times New Roman"/>
                <w:color w:val="auto"/>
                <w:sz w:val="24"/>
                <w:highlight w:val="none"/>
              </w:rPr>
            </w:pPr>
          </w:p>
          <w:p w14:paraId="13E8D074">
            <w:pPr>
              <w:bidi w:val="0"/>
              <w:rPr>
                <w:rFonts w:hint="default" w:ascii="Times New Roman" w:hAnsi="Times New Roman" w:eastAsia="宋体" w:cs="Times New Roman"/>
                <w:color w:val="auto"/>
                <w:sz w:val="24"/>
                <w:highlight w:val="none"/>
              </w:rPr>
            </w:pPr>
          </w:p>
          <w:p w14:paraId="0E308750">
            <w:pPr>
              <w:bidi w:val="0"/>
              <w:rPr>
                <w:rFonts w:hint="default" w:ascii="Times New Roman" w:hAnsi="Times New Roman" w:eastAsia="宋体" w:cs="Times New Roman"/>
                <w:color w:val="auto"/>
                <w:sz w:val="24"/>
                <w:highlight w:val="none"/>
              </w:rPr>
            </w:pPr>
          </w:p>
          <w:p w14:paraId="1AA886A0">
            <w:pPr>
              <w:bidi w:val="0"/>
              <w:rPr>
                <w:rFonts w:hint="default" w:ascii="Times New Roman" w:hAnsi="Times New Roman" w:eastAsia="宋体" w:cs="Times New Roman"/>
                <w:color w:val="auto"/>
                <w:sz w:val="24"/>
                <w:highlight w:val="none"/>
              </w:rPr>
            </w:pPr>
          </w:p>
          <w:p w14:paraId="5086DDA3">
            <w:pPr>
              <w:bidi w:val="0"/>
              <w:rPr>
                <w:rFonts w:hint="default" w:ascii="Times New Roman" w:hAnsi="Times New Roman" w:eastAsia="宋体" w:cs="Times New Roman"/>
                <w:color w:val="auto"/>
                <w:sz w:val="24"/>
                <w:highlight w:val="none"/>
              </w:rPr>
            </w:pPr>
          </w:p>
          <w:p w14:paraId="32DFBD96">
            <w:pPr>
              <w:bidi w:val="0"/>
              <w:rPr>
                <w:rFonts w:hint="default" w:ascii="Times New Roman" w:hAnsi="Times New Roman" w:eastAsia="宋体" w:cs="Times New Roman"/>
                <w:color w:val="auto"/>
                <w:sz w:val="24"/>
                <w:highlight w:val="none"/>
              </w:rPr>
            </w:pPr>
          </w:p>
          <w:p w14:paraId="31B2C935">
            <w:pPr>
              <w:bidi w:val="0"/>
              <w:rPr>
                <w:rFonts w:hint="default" w:ascii="Times New Roman" w:hAnsi="Times New Roman" w:eastAsia="宋体" w:cs="Times New Roman"/>
                <w:color w:val="auto"/>
                <w:sz w:val="24"/>
                <w:highlight w:val="none"/>
              </w:rPr>
            </w:pPr>
          </w:p>
          <w:p w14:paraId="63D8E1D0">
            <w:pPr>
              <w:bidi w:val="0"/>
              <w:rPr>
                <w:rFonts w:hint="default" w:ascii="Times New Roman" w:hAnsi="Times New Roman" w:eastAsia="宋体" w:cs="Times New Roman"/>
                <w:color w:val="auto"/>
                <w:sz w:val="24"/>
                <w:highlight w:val="none"/>
              </w:rPr>
            </w:pPr>
          </w:p>
          <w:p w14:paraId="1A4F48B8">
            <w:pPr>
              <w:bidi w:val="0"/>
              <w:rPr>
                <w:rFonts w:hint="default" w:ascii="Times New Roman" w:hAnsi="Times New Roman" w:eastAsia="宋体" w:cs="Times New Roman"/>
                <w:color w:val="auto"/>
                <w:sz w:val="24"/>
                <w:highlight w:val="none"/>
              </w:rPr>
            </w:pPr>
          </w:p>
          <w:p w14:paraId="36467227">
            <w:pPr>
              <w:bidi w:val="0"/>
              <w:rPr>
                <w:rFonts w:hint="default" w:ascii="Times New Roman" w:hAnsi="Times New Roman" w:eastAsia="宋体" w:cs="Times New Roman"/>
                <w:color w:val="auto"/>
                <w:sz w:val="24"/>
                <w:highlight w:val="none"/>
              </w:rPr>
            </w:pPr>
          </w:p>
          <w:p w14:paraId="61252A1C">
            <w:pPr>
              <w:bidi w:val="0"/>
              <w:rPr>
                <w:rFonts w:hint="default" w:ascii="Times New Roman" w:hAnsi="Times New Roman" w:eastAsia="宋体" w:cs="Times New Roman"/>
                <w:color w:val="auto"/>
                <w:sz w:val="24"/>
                <w:highlight w:val="none"/>
              </w:rPr>
            </w:pPr>
          </w:p>
          <w:p w14:paraId="6804526E">
            <w:pPr>
              <w:bidi w:val="0"/>
              <w:rPr>
                <w:rFonts w:hint="default" w:ascii="Times New Roman" w:hAnsi="Times New Roman" w:eastAsia="宋体" w:cs="Times New Roman"/>
                <w:color w:val="auto"/>
                <w:sz w:val="24"/>
                <w:highlight w:val="none"/>
              </w:rPr>
            </w:pPr>
          </w:p>
          <w:p w14:paraId="190E3653">
            <w:pPr>
              <w:bidi w:val="0"/>
              <w:rPr>
                <w:rFonts w:hint="default" w:ascii="Times New Roman" w:hAnsi="Times New Roman" w:eastAsia="宋体" w:cs="Times New Roman"/>
                <w:color w:val="auto"/>
                <w:sz w:val="24"/>
                <w:highlight w:val="none"/>
              </w:rPr>
            </w:pPr>
          </w:p>
          <w:p w14:paraId="5C431BB9">
            <w:pPr>
              <w:bidi w:val="0"/>
              <w:rPr>
                <w:rFonts w:hint="default" w:ascii="Times New Roman" w:hAnsi="Times New Roman" w:eastAsia="宋体" w:cs="Times New Roman"/>
                <w:color w:val="auto"/>
                <w:sz w:val="24"/>
                <w:highlight w:val="none"/>
              </w:rPr>
            </w:pPr>
          </w:p>
          <w:p w14:paraId="41ABB639">
            <w:pPr>
              <w:bidi w:val="0"/>
              <w:rPr>
                <w:rFonts w:hint="default" w:ascii="Times New Roman" w:hAnsi="Times New Roman" w:eastAsia="宋体" w:cs="Times New Roman"/>
                <w:color w:val="auto"/>
                <w:sz w:val="24"/>
                <w:highlight w:val="none"/>
              </w:rPr>
            </w:pPr>
          </w:p>
          <w:p w14:paraId="10FB04BA">
            <w:pPr>
              <w:bidi w:val="0"/>
              <w:rPr>
                <w:rFonts w:hint="default" w:ascii="Times New Roman" w:hAnsi="Times New Roman" w:eastAsia="宋体" w:cs="Times New Roman"/>
                <w:color w:val="auto"/>
                <w:sz w:val="24"/>
                <w:highlight w:val="none"/>
              </w:rPr>
            </w:pPr>
          </w:p>
          <w:p w14:paraId="31740299">
            <w:pPr>
              <w:bidi w:val="0"/>
              <w:rPr>
                <w:rFonts w:hint="default" w:ascii="Times New Roman" w:hAnsi="Times New Roman" w:eastAsia="宋体" w:cs="Times New Roman"/>
                <w:color w:val="auto"/>
                <w:sz w:val="24"/>
                <w:highlight w:val="none"/>
              </w:rPr>
            </w:pPr>
          </w:p>
          <w:p w14:paraId="7A5A6C3D">
            <w:pPr>
              <w:bidi w:val="0"/>
              <w:rPr>
                <w:rFonts w:hint="default" w:ascii="Times New Roman" w:hAnsi="Times New Roman" w:eastAsia="宋体" w:cs="Times New Roman"/>
                <w:color w:val="auto"/>
                <w:sz w:val="24"/>
                <w:highlight w:val="none"/>
              </w:rPr>
            </w:pPr>
          </w:p>
          <w:p w14:paraId="61481ED5">
            <w:pPr>
              <w:bidi w:val="0"/>
              <w:rPr>
                <w:rFonts w:hint="default" w:ascii="Times New Roman" w:hAnsi="Times New Roman" w:eastAsia="宋体" w:cs="Times New Roman"/>
                <w:color w:val="auto"/>
                <w:sz w:val="24"/>
                <w:highlight w:val="none"/>
              </w:rPr>
            </w:pPr>
          </w:p>
          <w:p w14:paraId="01237107">
            <w:pPr>
              <w:bidi w:val="0"/>
              <w:rPr>
                <w:rFonts w:hint="default" w:ascii="Times New Roman" w:hAnsi="Times New Roman" w:eastAsia="宋体" w:cs="Times New Roman"/>
                <w:color w:val="auto"/>
                <w:sz w:val="24"/>
                <w:highlight w:val="none"/>
              </w:rPr>
            </w:pPr>
          </w:p>
          <w:p w14:paraId="1017997D">
            <w:pPr>
              <w:bidi w:val="0"/>
              <w:rPr>
                <w:rFonts w:hint="default" w:ascii="Times New Roman" w:hAnsi="Times New Roman" w:eastAsia="宋体" w:cs="Times New Roman"/>
                <w:color w:val="auto"/>
                <w:sz w:val="24"/>
                <w:highlight w:val="none"/>
              </w:rPr>
            </w:pPr>
          </w:p>
          <w:p w14:paraId="3261EA1A">
            <w:pPr>
              <w:bidi w:val="0"/>
              <w:rPr>
                <w:rFonts w:hint="default" w:ascii="Times New Roman" w:hAnsi="Times New Roman" w:eastAsia="宋体" w:cs="Times New Roman"/>
                <w:color w:val="auto"/>
                <w:sz w:val="24"/>
                <w:highlight w:val="none"/>
              </w:rPr>
            </w:pPr>
          </w:p>
          <w:p w14:paraId="6BB55AE4">
            <w:pPr>
              <w:bidi w:val="0"/>
              <w:rPr>
                <w:rFonts w:hint="default" w:ascii="Times New Roman" w:hAnsi="Times New Roman" w:eastAsia="宋体" w:cs="Times New Roman"/>
                <w:color w:val="auto"/>
                <w:sz w:val="24"/>
                <w:highlight w:val="none"/>
              </w:rPr>
            </w:pPr>
          </w:p>
          <w:p w14:paraId="272E9FFB">
            <w:pPr>
              <w:bidi w:val="0"/>
              <w:ind w:left="0" w:leftChars="0" w:firstLine="0" w:firstLineChars="0"/>
              <w:rPr>
                <w:rFonts w:hint="eastAsia" w:ascii="Times New Roman" w:hAnsi="Times New Roman" w:eastAsia="宋体" w:cs="Times New Roman"/>
                <w:color w:val="auto"/>
                <w:sz w:val="24"/>
                <w:highlight w:val="none"/>
                <w:lang w:val="en-US" w:eastAsia="zh-CN"/>
              </w:rPr>
            </w:pPr>
          </w:p>
        </w:tc>
      </w:tr>
    </w:tbl>
    <w:p w14:paraId="6C159329">
      <w:pPr>
        <w:pStyle w:val="2"/>
        <w:numPr>
          <w:ilvl w:val="0"/>
          <w:numId w:val="26"/>
        </w:numPr>
        <w:bidi w:val="0"/>
        <w:rPr>
          <w:rFonts w:hint="eastAsia"/>
          <w:color w:val="auto"/>
          <w:highlight w:val="none"/>
        </w:rPr>
      </w:pPr>
      <w:bookmarkStart w:id="5" w:name="_Toc2647"/>
      <w:r>
        <w:rPr>
          <w:rFonts w:hint="eastAsia"/>
          <w:color w:val="auto"/>
          <w:highlight w:val="none"/>
        </w:rPr>
        <w:t>主要环境影响和保护措施</w:t>
      </w:r>
      <w:bookmarkEnd w:id="5"/>
    </w:p>
    <w:tbl>
      <w:tblPr>
        <w:tblStyle w:val="30"/>
        <w:tblW w:w="907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727"/>
        <w:gridCol w:w="8344"/>
      </w:tblGrid>
      <w:tr w14:paraId="7286001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jc w:val="center"/>
        </w:trPr>
        <w:tc>
          <w:tcPr>
            <w:tcW w:w="727" w:type="dxa"/>
            <w:tcBorders>
              <w:tl2br w:val="nil"/>
              <w:tr2bl w:val="nil"/>
            </w:tcBorders>
            <w:vAlign w:val="center"/>
          </w:tcPr>
          <w:p w14:paraId="6E0258E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施工</w:t>
            </w:r>
          </w:p>
          <w:p w14:paraId="3CAB951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期环</w:t>
            </w:r>
          </w:p>
          <w:p w14:paraId="09C89FDB">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境保</w:t>
            </w:r>
          </w:p>
          <w:p w14:paraId="33C838F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护措</w:t>
            </w:r>
          </w:p>
          <w:p w14:paraId="252251D9">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黑体" w:hAnsi="黑体" w:eastAsia="黑体"/>
                <w:snapToGrid w:val="0"/>
                <w:color w:val="auto"/>
                <w:sz w:val="30"/>
                <w:szCs w:val="30"/>
                <w:highlight w:val="none"/>
                <w:vertAlign w:val="baseline"/>
              </w:rPr>
            </w:pPr>
            <w:r>
              <w:rPr>
                <w:rFonts w:hint="eastAsia"/>
                <w:color w:val="auto"/>
                <w:sz w:val="24"/>
                <w:szCs w:val="24"/>
                <w:highlight w:val="none"/>
              </w:rPr>
              <w:t>施</w:t>
            </w:r>
          </w:p>
        </w:tc>
        <w:tc>
          <w:tcPr>
            <w:tcW w:w="8344" w:type="dxa"/>
            <w:tcBorders>
              <w:tl2br w:val="nil"/>
              <w:tr2bl w:val="nil"/>
            </w:tcBorders>
            <w:vAlign w:val="center"/>
          </w:tcPr>
          <w:p w14:paraId="4A8D4E35">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b/>
                <w:bCs/>
                <w:color w:val="auto"/>
                <w:highlight w:val="none"/>
              </w:rPr>
            </w:pPr>
            <w:r>
              <w:rPr>
                <w:b/>
                <w:bCs/>
                <w:color w:val="auto"/>
                <w:highlight w:val="none"/>
              </w:rPr>
              <w:t>1</w:t>
            </w:r>
            <w:r>
              <w:rPr>
                <w:rFonts w:hint="eastAsia"/>
                <w:b/>
                <w:bCs/>
                <w:color w:val="auto"/>
                <w:highlight w:val="none"/>
                <w:lang w:val="en-US" w:eastAsia="zh-CN"/>
              </w:rPr>
              <w:t>.</w:t>
            </w:r>
            <w:r>
              <w:rPr>
                <w:b/>
                <w:bCs/>
                <w:color w:val="auto"/>
                <w:highlight w:val="none"/>
              </w:rPr>
              <w:t>施工期大气环境影响分析</w:t>
            </w:r>
          </w:p>
          <w:p w14:paraId="26A6CAFB">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color w:val="auto"/>
                <w:highlight w:val="none"/>
              </w:rPr>
            </w:pPr>
            <w:r>
              <w:rPr>
                <w:b/>
                <w:bCs/>
                <w:color w:val="auto"/>
                <w:highlight w:val="none"/>
              </w:rPr>
              <w:t>1.1施工扬尘影响分析</w:t>
            </w:r>
          </w:p>
          <w:p w14:paraId="37851CD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施工期扬尘主要来自：施工期</w:t>
            </w:r>
            <w:r>
              <w:rPr>
                <w:rFonts w:hint="eastAsia"/>
                <w:color w:val="auto"/>
                <w:highlight w:val="none"/>
                <w:lang w:val="en-US" w:eastAsia="zh-CN"/>
              </w:rPr>
              <w:t>场地清理、平整，</w:t>
            </w:r>
            <w:r>
              <w:rPr>
                <w:color w:val="auto"/>
                <w:highlight w:val="none"/>
              </w:rPr>
              <w:t>土方挖掘、</w:t>
            </w:r>
            <w:r>
              <w:rPr>
                <w:rFonts w:hint="eastAsia"/>
                <w:color w:val="auto"/>
                <w:highlight w:val="none"/>
                <w:lang w:val="en-US" w:eastAsia="zh-CN"/>
              </w:rPr>
              <w:t>地基处理</w:t>
            </w:r>
            <w:r>
              <w:rPr>
                <w:color w:val="auto"/>
                <w:highlight w:val="none"/>
              </w:rPr>
              <w:t>，建筑材料搬运及堆放，施工垃圾的清理及堆放，运输车辆的装卸，施工机械的往来等。施工扬尘的大小与施工现场条件，施工工艺、施工管理水平，施工机械化程度及施工季节，建设地区土质及天气等诸多因素有关。</w:t>
            </w:r>
          </w:p>
          <w:p w14:paraId="4D5C9A03">
            <w:pPr>
              <w:pStyle w:val="11"/>
              <w:rPr>
                <w:rFonts w:hint="eastAsia"/>
                <w:color w:val="auto"/>
                <w:highlight w:val="none"/>
              </w:rPr>
            </w:pPr>
            <w:r>
              <w:rPr>
                <w:color w:val="auto"/>
                <w:highlight w:val="none"/>
              </w:rPr>
              <w:t>扬尘是施工阶段的主要大气污染物，拟建</w:t>
            </w:r>
            <w:r>
              <w:rPr>
                <w:rFonts w:hint="eastAsia"/>
                <w:color w:val="auto"/>
                <w:highlight w:val="none"/>
              </w:rPr>
              <w:t>项目</w:t>
            </w:r>
            <w:r>
              <w:rPr>
                <w:color w:val="auto"/>
                <w:highlight w:val="none"/>
              </w:rPr>
              <w:t>建设期扬尘主要来源于</w:t>
            </w:r>
            <w:r>
              <w:rPr>
                <w:rFonts w:hint="eastAsia"/>
                <w:color w:val="auto"/>
                <w:highlight w:val="none"/>
                <w:lang w:val="en-US" w:eastAsia="zh-CN"/>
              </w:rPr>
              <w:t>场地清理、平整，地基处理</w:t>
            </w:r>
            <w:r>
              <w:rPr>
                <w:color w:val="auto"/>
                <w:highlight w:val="none"/>
              </w:rPr>
              <w:t>、</w:t>
            </w:r>
            <w:r>
              <w:rPr>
                <w:rFonts w:hint="eastAsia" w:ascii="宋体" w:hAnsi="宋体" w:eastAsia="宋体" w:cs="宋体"/>
                <w:color w:val="auto"/>
                <w:kern w:val="0"/>
                <w:sz w:val="24"/>
                <w:szCs w:val="24"/>
                <w:highlight w:val="none"/>
                <w:lang w:val="en-US" w:eastAsia="zh-CN" w:bidi="ar"/>
              </w:rPr>
              <w:t>周边场地硬化、修建道路</w:t>
            </w:r>
            <w:r>
              <w:rPr>
                <w:rFonts w:hint="eastAsia" w:ascii="宋体" w:hAnsi="宋体" w:cs="宋体"/>
                <w:color w:val="auto"/>
                <w:kern w:val="0"/>
                <w:sz w:val="24"/>
                <w:szCs w:val="24"/>
                <w:highlight w:val="none"/>
                <w:lang w:val="en-US" w:eastAsia="zh-CN" w:bidi="ar"/>
              </w:rPr>
              <w:t>、</w:t>
            </w:r>
            <w:r>
              <w:rPr>
                <w:color w:val="auto"/>
                <w:highlight w:val="none"/>
              </w:rPr>
              <w:t>施工作业、</w:t>
            </w:r>
            <w:r>
              <w:rPr>
                <w:rFonts w:hint="default"/>
                <w:color w:val="auto"/>
                <w:highlight w:val="none"/>
                <w:lang w:val="en-US" w:eastAsia="zh-CN"/>
              </w:rPr>
              <w:t>建筑材料装卸</w:t>
            </w:r>
            <w:r>
              <w:rPr>
                <w:rFonts w:hint="eastAsia"/>
                <w:color w:val="auto"/>
                <w:highlight w:val="none"/>
                <w:lang w:val="en-US" w:eastAsia="zh-CN"/>
              </w:rPr>
              <w:t>与</w:t>
            </w:r>
            <w:r>
              <w:rPr>
                <w:rFonts w:hint="default"/>
                <w:color w:val="auto"/>
                <w:highlight w:val="none"/>
                <w:lang w:val="en-US" w:eastAsia="zh-CN"/>
              </w:rPr>
              <w:t>堆存</w:t>
            </w:r>
            <w:r>
              <w:rPr>
                <w:rFonts w:hint="eastAsia"/>
                <w:color w:val="auto"/>
                <w:highlight w:val="none"/>
                <w:lang w:val="en-US" w:eastAsia="zh-CN"/>
              </w:rPr>
              <w:t>、</w:t>
            </w:r>
            <w:r>
              <w:rPr>
                <w:color w:val="auto"/>
                <w:highlight w:val="none"/>
              </w:rPr>
              <w:t>车辆运输等过程。对整个施工期而言，施工产生的扬尘主要集中在土建施工阶段，起尘的原因主要为风力起尘，裸露的施工区表层浮尘由于天气干燥及大风，产生风力扬尘。扬尘中主要污染因子</w:t>
            </w:r>
            <w:r>
              <w:rPr>
                <w:rFonts w:hint="eastAsia"/>
                <w:color w:val="auto"/>
                <w:highlight w:val="none"/>
                <w:lang w:val="en-US" w:eastAsia="zh-CN"/>
              </w:rPr>
              <w:t>为</w:t>
            </w:r>
            <w:r>
              <w:rPr>
                <w:color w:val="auto"/>
                <w:highlight w:val="none"/>
              </w:rPr>
              <w:t>PM</w:t>
            </w:r>
            <w:r>
              <w:rPr>
                <w:color w:val="auto"/>
                <w:highlight w:val="none"/>
                <w:vertAlign w:val="subscript"/>
              </w:rPr>
              <w:t>10</w:t>
            </w:r>
            <w:r>
              <w:rPr>
                <w:color w:val="auto"/>
                <w:highlight w:val="none"/>
              </w:rPr>
              <w:t>，不含有毒有害的特殊污染物，且以无组织形式</w:t>
            </w:r>
            <w:r>
              <w:rPr>
                <w:rFonts w:hint="eastAsia"/>
                <w:color w:val="auto"/>
                <w:highlight w:val="none"/>
              </w:rPr>
              <w:t>排放。</w:t>
            </w:r>
          </w:p>
          <w:p w14:paraId="3BEA6B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highlight w:val="none"/>
                <w:lang w:val="en-US" w:eastAsia="zh-CN"/>
              </w:rPr>
            </w:pPr>
            <w:r>
              <w:rPr>
                <w:color w:val="auto"/>
                <w:highlight w:val="none"/>
              </w:rPr>
              <w:t>从施工场地实地调查的数据资料来看，建筑工地扬尘对大气的影响范围主要在工地</w:t>
            </w:r>
            <w:r>
              <w:rPr>
                <w:rFonts w:hint="eastAsia"/>
                <w:color w:val="auto"/>
                <w:highlight w:val="none"/>
                <w:lang w:val="en-US" w:eastAsia="zh-CN"/>
              </w:rPr>
              <w:t>场地</w:t>
            </w:r>
            <w:r>
              <w:rPr>
                <w:color w:val="auto"/>
                <w:highlight w:val="none"/>
              </w:rPr>
              <w:t>外150m以内。</w:t>
            </w:r>
            <w:r>
              <w:rPr>
                <w:rFonts w:hint="eastAsia"/>
                <w:color w:val="auto"/>
                <w:highlight w:val="none"/>
                <w:lang w:val="en-US" w:eastAsia="zh-CN"/>
              </w:rPr>
              <w:t>本项目150m范围内无大气环境保护目标。</w:t>
            </w:r>
          </w:p>
          <w:p w14:paraId="1D9CC21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本工程需要采取有效防治措施，尤其是避免施工扬尘对周围环境造成显著的不利影响，施工期对环境的影响属于短期影响，施工结束后，周边的环境空气质量能恢复到现状水平。</w:t>
            </w:r>
          </w:p>
          <w:p w14:paraId="786B104E">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color w:val="auto"/>
                <w:highlight w:val="none"/>
              </w:rPr>
            </w:pPr>
            <w:r>
              <w:rPr>
                <w:b/>
                <w:bCs/>
                <w:color w:val="auto"/>
                <w:highlight w:val="none"/>
              </w:rPr>
              <w:t>1.</w:t>
            </w:r>
            <w:r>
              <w:rPr>
                <w:rFonts w:hint="eastAsia"/>
                <w:b/>
                <w:bCs/>
                <w:color w:val="auto"/>
                <w:highlight w:val="none"/>
                <w:lang w:val="en-US" w:eastAsia="zh-CN"/>
              </w:rPr>
              <w:t>2施工机械废气及运输车辆尾气</w:t>
            </w:r>
            <w:r>
              <w:rPr>
                <w:b/>
                <w:bCs/>
                <w:color w:val="auto"/>
                <w:highlight w:val="none"/>
              </w:rPr>
              <w:t>影响分析</w:t>
            </w:r>
          </w:p>
          <w:p w14:paraId="21BE440B">
            <w:pPr>
              <w:keepNext w:val="0"/>
              <w:keepLines w:val="0"/>
              <w:widowControl/>
              <w:suppressLineNumbers w:val="0"/>
              <w:jc w:val="left"/>
              <w:rPr>
                <w:color w:val="auto"/>
                <w:highlight w:val="none"/>
              </w:rPr>
            </w:pPr>
            <w:r>
              <w:rPr>
                <w:rFonts w:hint="eastAsia" w:ascii="宋体" w:hAnsi="宋体" w:eastAsia="宋体" w:cs="宋体"/>
                <w:color w:val="auto"/>
                <w:kern w:val="0"/>
                <w:sz w:val="24"/>
                <w:szCs w:val="24"/>
                <w:highlight w:val="none"/>
                <w:lang w:val="en-US" w:eastAsia="zh-CN" w:bidi="ar"/>
              </w:rPr>
              <w:t>施工机械及运输车辆运行时产生的废气中污染物主要有烟尘、</w:t>
            </w:r>
            <w:r>
              <w:rPr>
                <w:rFonts w:hint="default" w:ascii="Times New Roman" w:hAnsi="Times New Roman" w:eastAsia="宋体" w:cs="Times New Roman"/>
                <w:color w:val="auto"/>
                <w:kern w:val="0"/>
                <w:sz w:val="24"/>
                <w:szCs w:val="24"/>
                <w:highlight w:val="none"/>
                <w:lang w:val="en-US" w:eastAsia="zh-CN" w:bidi="ar"/>
              </w:rPr>
              <w:t>NOx</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CO</w:t>
            </w:r>
            <w:r>
              <w:rPr>
                <w:rFonts w:hint="eastAsia" w:ascii="宋体" w:hAnsi="宋体" w:eastAsia="宋体" w:cs="宋体"/>
                <w:color w:val="auto"/>
                <w:kern w:val="0"/>
                <w:sz w:val="24"/>
                <w:szCs w:val="24"/>
                <w:highlight w:val="none"/>
                <w:lang w:val="en-US" w:eastAsia="zh-CN" w:bidi="ar"/>
              </w:rPr>
              <w:t>及</w:t>
            </w:r>
            <w:r>
              <w:rPr>
                <w:rFonts w:hint="default" w:ascii="Times New Roman" w:hAnsi="Times New Roman" w:eastAsia="宋体" w:cs="Times New Roman"/>
                <w:color w:val="auto"/>
                <w:kern w:val="0"/>
                <w:sz w:val="24"/>
                <w:szCs w:val="24"/>
                <w:highlight w:val="none"/>
                <w:lang w:val="en-US" w:eastAsia="zh-CN" w:bidi="ar"/>
              </w:rPr>
              <w:t>CHx</w:t>
            </w:r>
            <w:r>
              <w:rPr>
                <w:rFonts w:hint="eastAsia" w:ascii="宋体" w:hAnsi="宋体" w:eastAsia="宋体" w:cs="宋体"/>
                <w:color w:val="auto"/>
                <w:kern w:val="0"/>
                <w:sz w:val="24"/>
                <w:szCs w:val="24"/>
                <w:highlight w:val="none"/>
                <w:lang w:val="en-US" w:eastAsia="zh-CN" w:bidi="ar"/>
              </w:rPr>
              <w:t>等，会对环境空气造成一定影响。但产生量较小，呈无组织排放。燃油废气自然扩散。施工区域稀释条件较好，经大气稀释扩散后，对区域环境空气质量的影响较小；且随着施工工作的结束，废气对环境空气的影响也将结束。</w:t>
            </w:r>
          </w:p>
          <w:p w14:paraId="218C0796">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b/>
                <w:bCs/>
                <w:color w:val="auto"/>
                <w:highlight w:val="none"/>
              </w:rPr>
            </w:pPr>
            <w:r>
              <w:rPr>
                <w:b/>
                <w:bCs/>
                <w:color w:val="auto"/>
                <w:highlight w:val="none"/>
              </w:rPr>
              <w:t>1.</w:t>
            </w:r>
            <w:r>
              <w:rPr>
                <w:rFonts w:hint="eastAsia"/>
                <w:b/>
                <w:bCs/>
                <w:color w:val="auto"/>
                <w:highlight w:val="none"/>
                <w:lang w:val="en-US" w:eastAsia="zh-CN"/>
              </w:rPr>
              <w:t>3</w:t>
            </w:r>
            <w:r>
              <w:rPr>
                <w:b/>
                <w:bCs/>
                <w:color w:val="auto"/>
                <w:highlight w:val="none"/>
              </w:rPr>
              <w:t>污染防治对策</w:t>
            </w:r>
          </w:p>
          <w:p w14:paraId="37D34944">
            <w:pPr>
              <w:bidi w:val="0"/>
              <w:rPr>
                <w:color w:val="auto"/>
                <w:highlight w:val="none"/>
              </w:rPr>
            </w:pPr>
            <w:r>
              <w:rPr>
                <w:color w:val="auto"/>
                <w:highlight w:val="none"/>
              </w:rPr>
              <w:t>为减少施工扬尘对外环境的影响，根据《施工场地扬尘排放标准》（DB13/2934-2019）、《河北省扬尘污染防治办法》（2020年1月21日省政府第77次常务会议通过，2020年4月1日起施行）及《唐山市住房和城乡建设局关于进一步强化建筑工地扬尘治理有关措施的通知》</w:t>
            </w:r>
            <w:r>
              <w:rPr>
                <w:rFonts w:hint="eastAsia"/>
                <w:color w:val="auto"/>
                <w:highlight w:val="none"/>
              </w:rPr>
              <w:t>（</w:t>
            </w:r>
            <w:r>
              <w:rPr>
                <w:color w:val="auto"/>
                <w:highlight w:val="none"/>
              </w:rPr>
              <w:t>简称</w:t>
            </w:r>
            <w:r>
              <w:rPr>
                <w:rFonts w:hint="eastAsia"/>
                <w:color w:val="auto"/>
                <w:highlight w:val="none"/>
                <w:lang w:eastAsia="zh-CN"/>
              </w:rPr>
              <w:t>“</w:t>
            </w:r>
            <w:r>
              <w:rPr>
                <w:color w:val="auto"/>
                <w:highlight w:val="none"/>
              </w:rPr>
              <w:t>六项强化措施</w:t>
            </w:r>
            <w:r>
              <w:rPr>
                <w:rFonts w:hint="eastAsia"/>
                <w:color w:val="auto"/>
                <w:highlight w:val="none"/>
                <w:lang w:eastAsia="zh-CN"/>
              </w:rPr>
              <w:t>”</w:t>
            </w:r>
            <w:r>
              <w:rPr>
                <w:rFonts w:hint="eastAsia"/>
                <w:color w:val="auto"/>
                <w:highlight w:val="none"/>
              </w:rPr>
              <w:t>）（</w:t>
            </w:r>
            <w:r>
              <w:rPr>
                <w:color w:val="auto"/>
                <w:highlight w:val="none"/>
              </w:rPr>
              <w:t>唐住建发</w:t>
            </w:r>
            <w:r>
              <w:rPr>
                <w:rFonts w:hint="eastAsia"/>
                <w:color w:val="auto"/>
                <w:highlight w:val="none"/>
                <w:lang w:val="en-US" w:eastAsia="zh-CN"/>
              </w:rPr>
              <w:t>[</w:t>
            </w:r>
            <w:r>
              <w:rPr>
                <w:color w:val="auto"/>
                <w:highlight w:val="none"/>
              </w:rPr>
              <w:t>2018</w:t>
            </w:r>
            <w:r>
              <w:rPr>
                <w:rFonts w:hint="eastAsia"/>
                <w:color w:val="auto"/>
                <w:highlight w:val="none"/>
                <w:lang w:val="en-US" w:eastAsia="zh-CN"/>
              </w:rPr>
              <w:t>]</w:t>
            </w:r>
            <w:r>
              <w:rPr>
                <w:color w:val="auto"/>
                <w:highlight w:val="none"/>
              </w:rPr>
              <w:t>44号</w:t>
            </w:r>
            <w:r>
              <w:rPr>
                <w:rFonts w:hint="eastAsia"/>
                <w:color w:val="auto"/>
                <w:highlight w:val="none"/>
                <w:lang w:eastAsia="zh-CN"/>
              </w:rPr>
              <w:t>）</w:t>
            </w:r>
            <w:r>
              <w:rPr>
                <w:color w:val="auto"/>
                <w:highlight w:val="none"/>
              </w:rPr>
              <w:t>。本项目施工过程中要采取如下防尘和抑尘措施。</w:t>
            </w:r>
          </w:p>
          <w:p w14:paraId="05FD413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一、施工单位必须在施工现场出入口明显位置设置扬尘防治公示牌，内容包括建设、施工、监理及监管等单位名称、扬尘防治负责人的名称、联系电话、举报电话等。</w:t>
            </w:r>
          </w:p>
          <w:p w14:paraId="5F122F6C">
            <w:pPr>
              <w:keepNext w:val="0"/>
              <w:keepLines w:val="0"/>
              <w:widowControl/>
              <w:suppressLineNumbers w:val="0"/>
              <w:jc w:val="left"/>
              <w:rPr>
                <w:color w:val="auto"/>
                <w:highlight w:val="none"/>
              </w:rPr>
            </w:pPr>
            <w:r>
              <w:rPr>
                <w:color w:val="auto"/>
                <w:highlight w:val="none"/>
              </w:rPr>
              <w:t>二、施工现场必须连续设置硬质围挡，围挡应坚固、美观，严禁围挡不严或敞开式施工。</w:t>
            </w:r>
            <w:r>
              <w:rPr>
                <w:rFonts w:hint="eastAsia"/>
                <w:color w:val="auto"/>
                <w:highlight w:val="none"/>
                <w:lang w:val="en-US" w:eastAsia="zh-CN"/>
              </w:rPr>
              <w:t>围挡</w:t>
            </w:r>
            <w:r>
              <w:rPr>
                <w:color w:val="auto"/>
                <w:highlight w:val="none"/>
              </w:rPr>
              <w:t>高度不低于1.8米。</w:t>
            </w:r>
            <w:r>
              <w:rPr>
                <w:rFonts w:hint="eastAsia" w:ascii="宋体" w:hAnsi="宋体" w:eastAsia="宋体" w:cs="宋体"/>
                <w:color w:val="auto"/>
                <w:kern w:val="0"/>
                <w:sz w:val="24"/>
                <w:szCs w:val="24"/>
                <w:highlight w:val="none"/>
                <w:lang w:val="en-US" w:eastAsia="zh-CN" w:bidi="ar"/>
              </w:rPr>
              <w:t>施工现场要安排人员定期冲洗、清洁，保持围挡（围墙）整洁、美观。</w:t>
            </w:r>
          </w:p>
          <w:p w14:paraId="719B6F2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三、施工现场出入口和场内施工道路、材料加工堆放区、办公区、生活区必须采用混凝土硬化或用硬质砌块铺设，硬化后的地面应清扫整洁无浮土、积土，严禁使用其他软质材料铺设。</w:t>
            </w:r>
          </w:p>
          <w:p w14:paraId="488D80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四、施工现场出入口必须配备车辆冲洗设施，设置排水、泥浆沉淀池等设施，建立冲洗制度并设专人管理，严禁车辆带泥上路。</w:t>
            </w:r>
          </w:p>
          <w:p w14:paraId="7F53120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eastAsia="宋体"/>
                <w:color w:val="auto"/>
                <w:highlight w:val="none"/>
                <w:lang w:eastAsia="zh-CN"/>
              </w:rPr>
            </w:pPr>
            <w:r>
              <w:rPr>
                <w:color w:val="auto"/>
                <w:highlight w:val="none"/>
              </w:rPr>
              <w:t>五、施工现场出入口、加工区和主作业区等处必须安装视频监控系统，对施工扬尘实时监控</w:t>
            </w:r>
            <w:r>
              <w:rPr>
                <w:rFonts w:hint="eastAsia"/>
                <w:color w:val="auto"/>
                <w:highlight w:val="none"/>
                <w:lang w:eastAsia="zh-CN"/>
              </w:rPr>
              <w:t>。</w:t>
            </w:r>
          </w:p>
          <w:p w14:paraId="04BF0FF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六、施工现场集中堆放的土方和裸露场地必须采取覆盖、固化或绿化等防尘措施，严禁裸露。</w:t>
            </w:r>
          </w:p>
          <w:p w14:paraId="34E75C0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七、基坑开挖作业过程中，四周应采取洒水、喷雾等降尘措施。</w:t>
            </w:r>
          </w:p>
          <w:p w14:paraId="7850BD1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八、具备条件的地区施工现场必须使用商品混凝土、预拌砂浆，严禁现场搅拌。</w:t>
            </w:r>
          </w:p>
          <w:p w14:paraId="02975EA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九、建筑物内应保持干净整洁，清扫垃圾时要洒水抑尘。</w:t>
            </w:r>
          </w:p>
          <w:p w14:paraId="159A291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十、施工现场的建筑垃圾必须设置垃圾存放点</w:t>
            </w:r>
            <w:r>
              <w:rPr>
                <w:rFonts w:hint="eastAsia"/>
                <w:color w:val="auto"/>
                <w:highlight w:val="none"/>
                <w:lang w:eastAsia="zh-CN"/>
              </w:rPr>
              <w:t>，</w:t>
            </w:r>
            <w:r>
              <w:rPr>
                <w:color w:val="auto"/>
                <w:highlight w:val="none"/>
              </w:rPr>
              <w:t>集中堆放并严密覆盖，及时清运。生活垃圾应用封闭式容器存放，日产日清，严禁随意丢弃。</w:t>
            </w:r>
          </w:p>
          <w:p w14:paraId="4E87CB5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十一、施工现场必须建立洒水清扫抑尘制度，配备洒水设备。非冰冻期每天洒水不少于2次，并有专人负责。重污染天气时相应增加洒水频次。</w:t>
            </w:r>
          </w:p>
          <w:p w14:paraId="0C213F6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十二、遇有4级以上大风或重污染天气预警时，必须采取扬尘防治应急措施，严禁土方开挖、土方回填、房屋拆除、材料切割、金属焊接、喷涂或其他有可能产生扬尘的作业。</w:t>
            </w:r>
          </w:p>
          <w:p w14:paraId="1D5D2D4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十三、建设单位必须组织相关单位做好工程外管网及绿化施工阶段的扬尘防治工作。</w:t>
            </w:r>
          </w:p>
          <w:p w14:paraId="08B734C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十四、在施工工地同步安装视频监控设备和扬尘污染物在线监测设备，分别与建设主管部门、生态环境主管部门的监控设备联网，并保证系统正常运行，发生故障应当在二十四小时内修复；县级以上人民政府建立统一平台后，并入监控系统进行联网监控。根据河北省印发</w:t>
            </w:r>
            <w:r>
              <w:rPr>
                <w:rFonts w:hint="eastAsia"/>
                <w:color w:val="auto"/>
                <w:highlight w:val="none"/>
                <w:lang w:val="en-US" w:eastAsia="zh-CN"/>
              </w:rPr>
              <w:t>的</w:t>
            </w:r>
            <w:r>
              <w:rPr>
                <w:color w:val="auto"/>
                <w:highlight w:val="none"/>
              </w:rPr>
              <w:t>《施工场地扬尘排放标准》</w:t>
            </w:r>
            <w:r>
              <w:rPr>
                <w:rFonts w:hint="eastAsia"/>
                <w:color w:val="auto"/>
                <w:highlight w:val="none"/>
                <w:lang w:eastAsia="zh-CN"/>
              </w:rPr>
              <w:t>（</w:t>
            </w:r>
            <w:r>
              <w:rPr>
                <w:rFonts w:hint="eastAsia"/>
                <w:color w:val="auto"/>
                <w:highlight w:val="none"/>
                <w:lang w:val="en-US" w:eastAsia="zh-CN"/>
              </w:rPr>
              <w:t>DB13/2934-2019</w:t>
            </w:r>
            <w:r>
              <w:rPr>
                <w:rFonts w:hint="eastAsia"/>
                <w:color w:val="auto"/>
                <w:highlight w:val="none"/>
                <w:lang w:eastAsia="zh-CN"/>
              </w:rPr>
              <w:t>）</w:t>
            </w:r>
            <w:r>
              <w:rPr>
                <w:color w:val="auto"/>
                <w:highlight w:val="none"/>
              </w:rPr>
              <w:t>，施工场地占地</w:t>
            </w:r>
            <w:r>
              <w:rPr>
                <w:rFonts w:hint="eastAsia"/>
                <w:color w:val="auto"/>
                <w:highlight w:val="none"/>
                <w:lang w:val="en-US" w:eastAsia="zh-CN"/>
              </w:rPr>
              <w:t>面积为5000-10000m</w:t>
            </w:r>
            <w:r>
              <w:rPr>
                <w:rFonts w:hint="eastAsia"/>
                <w:color w:val="auto"/>
                <w:highlight w:val="none"/>
                <w:vertAlign w:val="superscript"/>
                <w:lang w:val="en-US" w:eastAsia="zh-CN"/>
              </w:rPr>
              <w:t>2</w:t>
            </w:r>
            <w:r>
              <w:rPr>
                <w:rFonts w:hint="eastAsia"/>
                <w:color w:val="auto"/>
                <w:highlight w:val="none"/>
                <w:vertAlign w:val="baseline"/>
                <w:lang w:val="en-US" w:eastAsia="zh-CN"/>
              </w:rPr>
              <w:t>，监测点数量不小于2个，</w:t>
            </w:r>
            <w:r>
              <w:rPr>
                <w:color w:val="auto"/>
                <w:highlight w:val="none"/>
              </w:rPr>
              <w:t>本项目施工场地占地</w:t>
            </w:r>
            <w:r>
              <w:rPr>
                <w:rFonts w:hint="eastAsia"/>
                <w:color w:val="auto"/>
                <w:highlight w:val="none"/>
                <w:lang w:val="en-US" w:eastAsia="zh-CN"/>
              </w:rPr>
              <w:t>约</w:t>
            </w:r>
            <w:r>
              <w:rPr>
                <w:rFonts w:hint="eastAsia"/>
                <w:color w:val="auto"/>
                <w:sz w:val="24"/>
                <w:szCs w:val="24"/>
                <w:highlight w:val="none"/>
                <w:lang w:val="en-US" w:eastAsia="zh-CN"/>
              </w:rPr>
              <w:t>6326</w:t>
            </w:r>
            <w:r>
              <w:rPr>
                <w:rFonts w:hint="default"/>
                <w:color w:val="auto"/>
                <w:highlight w:val="none"/>
              </w:rPr>
              <w:t>m</w:t>
            </w:r>
            <w:r>
              <w:rPr>
                <w:rFonts w:hint="default"/>
                <w:color w:val="auto"/>
                <w:highlight w:val="none"/>
                <w:vertAlign w:val="superscript"/>
              </w:rPr>
              <w:t>2</w:t>
            </w:r>
            <w:r>
              <w:rPr>
                <w:color w:val="auto"/>
                <w:highlight w:val="none"/>
              </w:rPr>
              <w:t>，即需设置</w:t>
            </w:r>
            <w:r>
              <w:rPr>
                <w:rFonts w:hint="eastAsia"/>
                <w:color w:val="auto"/>
                <w:highlight w:val="none"/>
                <w:lang w:val="en-US" w:eastAsia="zh-CN"/>
              </w:rPr>
              <w:t>2</w:t>
            </w:r>
            <w:r>
              <w:rPr>
                <w:color w:val="auto"/>
                <w:highlight w:val="none"/>
              </w:rPr>
              <w:t>个监测点。可吸入颗粒物PM</w:t>
            </w:r>
            <w:r>
              <w:rPr>
                <w:color w:val="auto"/>
                <w:highlight w:val="none"/>
                <w:vertAlign w:val="subscript"/>
              </w:rPr>
              <w:t>10</w:t>
            </w:r>
            <w:r>
              <w:rPr>
                <w:color w:val="auto"/>
                <w:highlight w:val="none"/>
              </w:rPr>
              <w:t>采样口高度一般应设在距地面</w:t>
            </w:r>
            <w:r>
              <w:rPr>
                <w:rFonts w:hint="eastAsia"/>
                <w:color w:val="auto"/>
                <w:highlight w:val="none"/>
                <w:lang w:val="en-US" w:eastAsia="zh-CN"/>
              </w:rPr>
              <w:t>3</w:t>
            </w:r>
            <w:r>
              <w:rPr>
                <w:rFonts w:hint="default" w:ascii="Times New Roman" w:hAnsi="Times New Roman" w:cs="Times New Roman"/>
                <w:color w:val="auto"/>
                <w:highlight w:val="none"/>
                <w:lang w:val="en-US" w:eastAsia="zh-CN"/>
              </w:rPr>
              <w:t>~</w:t>
            </w:r>
            <w:r>
              <w:rPr>
                <w:rFonts w:hint="eastAsia"/>
                <w:color w:val="auto"/>
                <w:highlight w:val="none"/>
                <w:lang w:val="en-US" w:eastAsia="zh-CN"/>
              </w:rPr>
              <w:t>5</w:t>
            </w:r>
            <w:r>
              <w:rPr>
                <w:color w:val="auto"/>
                <w:highlight w:val="none"/>
              </w:rPr>
              <w:t>m</w:t>
            </w:r>
            <w:r>
              <w:rPr>
                <w:rFonts w:hint="eastAsia"/>
                <w:color w:val="auto"/>
                <w:highlight w:val="none"/>
                <w:lang w:val="en-US" w:eastAsia="zh-CN"/>
              </w:rPr>
              <w:t>处</w:t>
            </w:r>
            <w:r>
              <w:rPr>
                <w:color w:val="auto"/>
                <w:highlight w:val="none"/>
              </w:rPr>
              <w:t>，采样口到在线监测仪管道长度不应大于2.5m。</w:t>
            </w:r>
          </w:p>
          <w:p w14:paraId="575A41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采取上述措施后，项目施工场地扬尘排放应满足《施工场地扬尘排放标准》（DB13/ 2934</w:t>
            </w:r>
            <w:r>
              <w:rPr>
                <w:rFonts w:hint="default" w:ascii="Times New Roman" w:hAnsi="Times New Roman" w:cs="Times New Roman"/>
                <w:color w:val="auto"/>
                <w:highlight w:val="none"/>
                <w:lang w:val="en-US" w:eastAsia="zh-CN"/>
              </w:rPr>
              <w:t>-</w:t>
            </w:r>
            <w:r>
              <w:rPr>
                <w:color w:val="auto"/>
                <w:highlight w:val="none"/>
              </w:rPr>
              <w:t>2019）标准要求。只要加强管理、切实落实好上述污染防治措施，施工扬尘对环境的影响将大大降低，扬尘对环境的影响将随施工期的结束而消失。</w:t>
            </w:r>
          </w:p>
          <w:p w14:paraId="786D51FB">
            <w:pPr>
              <w:keepNext w:val="0"/>
              <w:keepLines w:val="0"/>
              <w:pageBreakBefore w:val="0"/>
              <w:widowControl w:val="0"/>
              <w:kinsoku/>
              <w:wordWrap/>
              <w:overflowPunct/>
              <w:topLinePunct w:val="0"/>
              <w:bidi w:val="0"/>
              <w:snapToGrid/>
              <w:spacing w:line="480" w:lineRule="exact"/>
              <w:ind w:left="0" w:leftChars="0" w:firstLine="0" w:firstLineChars="0"/>
              <w:textAlignment w:val="auto"/>
              <w:rPr>
                <w:b/>
                <w:bCs/>
                <w:color w:val="auto"/>
                <w:highlight w:val="none"/>
              </w:rPr>
            </w:pPr>
            <w:r>
              <w:rPr>
                <w:b/>
                <w:bCs/>
                <w:color w:val="auto"/>
                <w:highlight w:val="none"/>
              </w:rPr>
              <w:t>2</w:t>
            </w:r>
            <w:r>
              <w:rPr>
                <w:rFonts w:hint="eastAsia"/>
                <w:b/>
                <w:bCs/>
                <w:color w:val="auto"/>
                <w:highlight w:val="none"/>
                <w:lang w:val="en-US" w:eastAsia="zh-CN"/>
              </w:rPr>
              <w:t>.</w:t>
            </w:r>
            <w:r>
              <w:rPr>
                <w:b/>
                <w:bCs/>
                <w:color w:val="auto"/>
                <w:highlight w:val="none"/>
              </w:rPr>
              <w:t>施工期水环境影响分析</w:t>
            </w:r>
          </w:p>
          <w:p w14:paraId="0FA44C0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color w:val="auto"/>
                <w:highlight w:val="none"/>
              </w:rPr>
            </w:pPr>
            <w:r>
              <w:rPr>
                <w:color w:val="auto"/>
                <w:highlight w:val="none"/>
              </w:rPr>
              <w:t>施工期产生的废水主要有施工废水，即混凝土养护废水、施工机械设备和车辆的冲洗废水</w:t>
            </w:r>
            <w:r>
              <w:rPr>
                <w:rFonts w:hint="eastAsia"/>
                <w:color w:val="auto"/>
                <w:highlight w:val="none"/>
                <w:lang w:val="en-US" w:eastAsia="zh-CN"/>
              </w:rPr>
              <w:t>和</w:t>
            </w:r>
            <w:r>
              <w:rPr>
                <w:color w:val="auto"/>
                <w:highlight w:val="none"/>
              </w:rPr>
              <w:t>施工人员生活污水，主要污染物为SS等</w:t>
            </w:r>
            <w:r>
              <w:rPr>
                <w:rFonts w:hint="eastAsia"/>
                <w:color w:val="auto"/>
                <w:highlight w:val="none"/>
              </w:rPr>
              <w:t>。</w:t>
            </w:r>
          </w:p>
          <w:p w14:paraId="1B96A2A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针对上述不同的废水，采取如下防治措施。</w:t>
            </w:r>
          </w:p>
          <w:p w14:paraId="3EA5D4F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（1）混凝土养护废水：封闭混凝土中水分不蒸发外逸，水泥依靠混凝土中水分完成水化作用，因水量较小，故废水排放量小，可以不需专门处理。</w:t>
            </w:r>
          </w:p>
          <w:p w14:paraId="32BA4290">
            <w:pPr>
              <w:keepNext w:val="0"/>
              <w:keepLines w:val="0"/>
              <w:widowControl/>
              <w:suppressLineNumbers w:val="0"/>
              <w:jc w:val="left"/>
              <w:rPr>
                <w:color w:val="auto"/>
                <w:highlight w:val="none"/>
              </w:rPr>
            </w:pPr>
            <w:r>
              <w:rPr>
                <w:color w:val="auto"/>
                <w:highlight w:val="none"/>
              </w:rPr>
              <w:t>（2）机械和车辆冲洗废水：清洗处设置沉淀池，使排放的废水先经沉淀池沉淀后再回收用于场地洒水降尘</w:t>
            </w:r>
            <w:r>
              <w:rPr>
                <w:rFonts w:hint="eastAsia"/>
                <w:color w:val="auto"/>
                <w:highlight w:val="none"/>
                <w:lang w:eastAsia="zh-CN"/>
              </w:rPr>
              <w:t>，</w:t>
            </w:r>
            <w:r>
              <w:rPr>
                <w:rFonts w:hint="eastAsia" w:ascii="宋体" w:hAnsi="宋体" w:eastAsia="宋体" w:cs="宋体"/>
                <w:color w:val="auto"/>
                <w:kern w:val="0"/>
                <w:sz w:val="24"/>
                <w:szCs w:val="24"/>
                <w:highlight w:val="none"/>
                <w:lang w:val="en-US" w:eastAsia="zh-CN" w:bidi="ar"/>
              </w:rPr>
              <w:t>废水不外排，不会对地表水产生影响。</w:t>
            </w:r>
          </w:p>
          <w:p w14:paraId="5EE8C8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（3）施工人员生活污水：施工现场不设餐厅，三餐外</w:t>
            </w:r>
            <w:r>
              <w:rPr>
                <w:rFonts w:hint="eastAsia"/>
                <w:color w:val="auto"/>
                <w:highlight w:val="none"/>
                <w:lang w:val="en-US" w:eastAsia="zh-CN"/>
              </w:rPr>
              <w:t>买</w:t>
            </w:r>
            <w:r>
              <w:rPr>
                <w:color w:val="auto"/>
                <w:highlight w:val="none"/>
              </w:rPr>
              <w:t>盒饭解决，生活污水主要为施工人员的盥洗污水，可直接泼洒地面。</w:t>
            </w:r>
          </w:p>
          <w:p w14:paraId="62D191A8">
            <w:pPr>
              <w:keepNext w:val="0"/>
              <w:keepLines w:val="0"/>
              <w:widowControl/>
              <w:suppressLineNumbers w:val="0"/>
              <w:jc w:val="left"/>
              <w:rPr>
                <w:color w:val="auto"/>
                <w:highlight w:val="none"/>
              </w:rPr>
            </w:pPr>
            <w:r>
              <w:rPr>
                <w:rFonts w:hint="eastAsia" w:ascii="宋体" w:hAnsi="宋体" w:cs="宋体"/>
                <w:color w:val="auto"/>
                <w:kern w:val="0"/>
                <w:sz w:val="24"/>
                <w:szCs w:val="24"/>
                <w:highlight w:val="none"/>
                <w:lang w:val="en-US" w:eastAsia="zh-CN" w:bidi="ar"/>
              </w:rPr>
              <w:t>若</w:t>
            </w:r>
            <w:r>
              <w:rPr>
                <w:rFonts w:hint="eastAsia" w:ascii="宋体" w:hAnsi="宋体" w:eastAsia="宋体" w:cs="宋体"/>
                <w:color w:val="auto"/>
                <w:kern w:val="0"/>
                <w:sz w:val="24"/>
                <w:szCs w:val="24"/>
                <w:highlight w:val="none"/>
                <w:lang w:val="en-US" w:eastAsia="zh-CN" w:bidi="ar"/>
              </w:rPr>
              <w:t>坑底</w:t>
            </w:r>
            <w:r>
              <w:rPr>
                <w:rFonts w:hint="eastAsia" w:ascii="宋体" w:hAnsi="宋体" w:cs="宋体"/>
                <w:color w:val="auto"/>
                <w:kern w:val="0"/>
                <w:sz w:val="24"/>
                <w:szCs w:val="24"/>
                <w:highlight w:val="none"/>
                <w:lang w:val="en-US" w:eastAsia="zh-CN" w:bidi="ar"/>
              </w:rPr>
              <w:t>部存在积水，则</w:t>
            </w:r>
            <w:r>
              <w:rPr>
                <w:rFonts w:hint="eastAsia" w:ascii="宋体" w:hAnsi="宋体" w:eastAsia="宋体" w:cs="宋体"/>
                <w:color w:val="auto"/>
                <w:kern w:val="0"/>
                <w:sz w:val="24"/>
                <w:szCs w:val="24"/>
                <w:highlight w:val="none"/>
                <w:lang w:val="en-US" w:eastAsia="zh-CN" w:bidi="ar"/>
              </w:rPr>
              <w:t>通过泵排至沉淀池暂存，用于施工过程抑尘用水。</w:t>
            </w:r>
          </w:p>
          <w:p w14:paraId="189B72A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采取上述措施后，施工期产生的废水都可得到合理的处置，对外界环境影响较小。</w:t>
            </w:r>
          </w:p>
          <w:p w14:paraId="0411D71D">
            <w:pPr>
              <w:keepNext w:val="0"/>
              <w:keepLines w:val="0"/>
              <w:pageBreakBefore w:val="0"/>
              <w:widowControl w:val="0"/>
              <w:kinsoku/>
              <w:wordWrap/>
              <w:overflowPunct/>
              <w:topLinePunct w:val="0"/>
              <w:bidi w:val="0"/>
              <w:snapToGrid/>
              <w:spacing w:line="480" w:lineRule="exact"/>
              <w:ind w:left="0" w:leftChars="0" w:firstLine="0" w:firstLineChars="0"/>
              <w:textAlignment w:val="auto"/>
              <w:rPr>
                <w:b/>
                <w:bCs/>
                <w:color w:val="auto"/>
                <w:highlight w:val="none"/>
              </w:rPr>
            </w:pPr>
            <w:r>
              <w:rPr>
                <w:b/>
                <w:bCs/>
                <w:color w:val="auto"/>
                <w:highlight w:val="none"/>
              </w:rPr>
              <w:t>3</w:t>
            </w:r>
            <w:r>
              <w:rPr>
                <w:rFonts w:hint="eastAsia"/>
                <w:b/>
                <w:bCs/>
                <w:color w:val="auto"/>
                <w:highlight w:val="none"/>
                <w:lang w:val="en-US" w:eastAsia="zh-CN"/>
              </w:rPr>
              <w:t>.</w:t>
            </w:r>
            <w:r>
              <w:rPr>
                <w:b/>
                <w:bCs/>
                <w:color w:val="auto"/>
                <w:highlight w:val="none"/>
              </w:rPr>
              <w:t>施工噪声影响分析</w:t>
            </w:r>
          </w:p>
          <w:p w14:paraId="5ED8B1FE">
            <w:pPr>
              <w:keepNext w:val="0"/>
              <w:keepLines w:val="0"/>
              <w:pageBreakBefore w:val="0"/>
              <w:widowControl w:val="0"/>
              <w:tabs>
                <w:tab w:val="left" w:pos="0"/>
                <w:tab w:val="left" w:pos="1020"/>
              </w:tabs>
              <w:kinsoku/>
              <w:wordWrap/>
              <w:overflowPunct/>
              <w:topLinePunct w:val="0"/>
              <w:autoSpaceDE w:val="0"/>
              <w:autoSpaceDN w:val="0"/>
              <w:bidi w:val="0"/>
              <w:adjustRightInd w:val="0"/>
              <w:snapToGrid/>
              <w:spacing w:line="480" w:lineRule="exact"/>
              <w:ind w:firstLine="482" w:firstLineChars="200"/>
              <w:textAlignment w:val="auto"/>
              <w:rPr>
                <w:color w:val="auto"/>
                <w:highlight w:val="none"/>
              </w:rPr>
            </w:pPr>
            <w:r>
              <w:rPr>
                <w:b/>
                <w:bCs/>
                <w:color w:val="auto"/>
                <w:highlight w:val="none"/>
              </w:rPr>
              <w:t>3.1噪声源强</w:t>
            </w:r>
            <w:r>
              <w:rPr>
                <w:color w:val="auto"/>
                <w:highlight w:val="none"/>
              </w:rPr>
              <w:t xml:space="preserve"> </w:t>
            </w:r>
          </w:p>
          <w:p w14:paraId="560EB1A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lang w:val="zh-CN"/>
              </w:rPr>
            </w:pPr>
            <w:r>
              <w:rPr>
                <w:rFonts w:hint="eastAsia"/>
                <w:color w:val="auto"/>
                <w:highlight w:val="none"/>
                <w:lang w:val="en-US" w:eastAsia="zh-CN"/>
              </w:rPr>
              <w:t>本项目施工期噪声污染源</w:t>
            </w:r>
            <w:r>
              <w:rPr>
                <w:color w:val="auto"/>
                <w:highlight w:val="none"/>
              </w:rPr>
              <w:t>为施工机械和运输车辆产生的噪声</w:t>
            </w:r>
            <w:r>
              <w:rPr>
                <w:rFonts w:hint="eastAsia"/>
                <w:color w:val="auto"/>
                <w:highlight w:val="none"/>
                <w:lang w:val="en-US" w:eastAsia="zh-CN"/>
              </w:rPr>
              <w:t>。项目噪声污染源主要为</w:t>
            </w:r>
            <w:r>
              <w:rPr>
                <w:color w:val="auto"/>
                <w:highlight w:val="none"/>
              </w:rPr>
              <w:t>施工机械和运输车辆产生的噪声</w:t>
            </w:r>
            <w:r>
              <w:rPr>
                <w:rFonts w:hint="eastAsia"/>
                <w:color w:val="auto"/>
                <w:highlight w:val="none"/>
                <w:lang w:eastAsia="zh-CN"/>
              </w:rPr>
              <w:t>，</w:t>
            </w:r>
            <w:r>
              <w:rPr>
                <w:color w:val="auto"/>
                <w:highlight w:val="none"/>
              </w:rPr>
              <w:t>从噪声角度出发，把施工阶段分为四个阶段：土石方阶段、基础施工阶段、结构施工阶段和装修阶段。这几个阶段所占施工时间较长，采用的施工机械较多，噪声污染比较严重，不同阶段又具有独立的噪声特性。根据类比调查和资料分析，</w:t>
            </w:r>
            <w:r>
              <w:rPr>
                <w:rFonts w:hint="eastAsia"/>
                <w:color w:val="auto"/>
                <w:highlight w:val="none"/>
                <w:lang w:val="en-US" w:eastAsia="zh-CN"/>
              </w:rPr>
              <w:t>并参照《低噪声施工设备指导名录》（2024年版），</w:t>
            </w:r>
            <w:r>
              <w:rPr>
                <w:color w:val="auto"/>
                <w:highlight w:val="none"/>
              </w:rPr>
              <w:t>各类建筑施工机械产生噪声值及噪声测点与设备距离见下表。</w:t>
            </w:r>
          </w:p>
          <w:p w14:paraId="135DC299">
            <w:pPr>
              <w:pStyle w:val="36"/>
              <w:numPr>
                <w:ilvl w:val="0"/>
                <w:numId w:val="27"/>
              </w:numPr>
              <w:bidi w:val="0"/>
              <w:ind w:left="0" w:leftChars="0" w:firstLine="0" w:firstLineChars="0"/>
              <w:rPr>
                <w:color w:val="auto"/>
                <w:sz w:val="21"/>
                <w:szCs w:val="21"/>
                <w:highlight w:val="none"/>
              </w:rPr>
            </w:pPr>
            <w:r>
              <w:rPr>
                <w:color w:val="auto"/>
                <w:sz w:val="21"/>
                <w:szCs w:val="21"/>
                <w:highlight w:val="none"/>
              </w:rPr>
              <w:t>施工机械产生噪声值一览表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1834"/>
              <w:gridCol w:w="1916"/>
              <w:gridCol w:w="1834"/>
              <w:gridCol w:w="1392"/>
            </w:tblGrid>
            <w:tr w14:paraId="1850F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1" w:type="dxa"/>
                  <w:tcBorders>
                    <w:tl2br w:val="nil"/>
                    <w:tr2bl w:val="nil"/>
                  </w:tcBorders>
                  <w:noWrap w:val="0"/>
                  <w:vAlign w:val="center"/>
                </w:tcPr>
                <w:p w14:paraId="78644E70">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设备名称</w:t>
                  </w:r>
                </w:p>
              </w:tc>
              <w:tc>
                <w:tcPr>
                  <w:tcW w:w="1834" w:type="dxa"/>
                  <w:tcBorders>
                    <w:tl2br w:val="nil"/>
                    <w:tr2bl w:val="nil"/>
                  </w:tcBorders>
                  <w:noWrap w:val="0"/>
                  <w:vAlign w:val="center"/>
                </w:tcPr>
                <w:p w14:paraId="66134F86">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噪声强度/dB（A）</w:t>
                  </w:r>
                </w:p>
              </w:tc>
              <w:tc>
                <w:tcPr>
                  <w:tcW w:w="1916" w:type="dxa"/>
                  <w:tcBorders>
                    <w:tl2br w:val="nil"/>
                    <w:tr2bl w:val="nil"/>
                  </w:tcBorders>
                  <w:noWrap w:val="0"/>
                  <w:vAlign w:val="center"/>
                </w:tcPr>
                <w:p w14:paraId="4E19688C">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设备名称</w:t>
                  </w:r>
                </w:p>
              </w:tc>
              <w:tc>
                <w:tcPr>
                  <w:tcW w:w="1834" w:type="dxa"/>
                  <w:tcBorders>
                    <w:tl2br w:val="nil"/>
                    <w:tr2bl w:val="nil"/>
                  </w:tcBorders>
                  <w:noWrap w:val="0"/>
                  <w:vAlign w:val="center"/>
                </w:tcPr>
                <w:p w14:paraId="36CB821D">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噪声强度/dB（A）</w:t>
                  </w:r>
                </w:p>
              </w:tc>
              <w:tc>
                <w:tcPr>
                  <w:tcW w:w="1392" w:type="dxa"/>
                  <w:tcBorders>
                    <w:tl2br w:val="nil"/>
                    <w:tr2bl w:val="nil"/>
                  </w:tcBorders>
                  <w:noWrap w:val="0"/>
                  <w:vAlign w:val="center"/>
                </w:tcPr>
                <w:p w14:paraId="11E47951">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备注</w:t>
                  </w:r>
                </w:p>
              </w:tc>
            </w:tr>
            <w:tr w14:paraId="18D5E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31" w:type="dxa"/>
                  <w:tcBorders>
                    <w:tl2br w:val="nil"/>
                    <w:tr2bl w:val="nil"/>
                  </w:tcBorders>
                  <w:noWrap w:val="0"/>
                  <w:vAlign w:val="center"/>
                </w:tcPr>
                <w:p w14:paraId="74960713">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挖掘机</w:t>
                  </w:r>
                </w:p>
              </w:tc>
              <w:tc>
                <w:tcPr>
                  <w:tcW w:w="1834" w:type="dxa"/>
                  <w:tcBorders>
                    <w:tl2br w:val="nil"/>
                    <w:tr2bl w:val="nil"/>
                  </w:tcBorders>
                  <w:noWrap w:val="0"/>
                  <w:vAlign w:val="center"/>
                </w:tcPr>
                <w:p w14:paraId="6FA9553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72</w:t>
                  </w:r>
                </w:p>
              </w:tc>
              <w:tc>
                <w:tcPr>
                  <w:tcW w:w="1916" w:type="dxa"/>
                  <w:tcBorders>
                    <w:tl2br w:val="nil"/>
                    <w:tr2bl w:val="nil"/>
                  </w:tcBorders>
                  <w:noWrap w:val="0"/>
                  <w:vAlign w:val="center"/>
                </w:tcPr>
                <w:p w14:paraId="51E1E98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装载机</w:t>
                  </w:r>
                </w:p>
              </w:tc>
              <w:tc>
                <w:tcPr>
                  <w:tcW w:w="1834" w:type="dxa"/>
                  <w:tcBorders>
                    <w:tl2br w:val="nil"/>
                    <w:tr2bl w:val="nil"/>
                  </w:tcBorders>
                  <w:noWrap w:val="0"/>
                  <w:vAlign w:val="center"/>
                </w:tcPr>
                <w:p w14:paraId="2591ACC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82</w:t>
                  </w:r>
                </w:p>
              </w:tc>
              <w:tc>
                <w:tcPr>
                  <w:tcW w:w="1392" w:type="dxa"/>
                  <w:vMerge w:val="restart"/>
                  <w:tcBorders>
                    <w:tl2br w:val="nil"/>
                    <w:tr2bl w:val="nil"/>
                  </w:tcBorders>
                  <w:noWrap w:val="0"/>
                  <w:vAlign w:val="center"/>
                </w:tcPr>
                <w:p w14:paraId="04C9DA06">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设备1m处</w:t>
                  </w:r>
                </w:p>
              </w:tc>
            </w:tr>
            <w:tr w14:paraId="51E75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31" w:type="dxa"/>
                  <w:tcBorders>
                    <w:tl2br w:val="nil"/>
                    <w:tr2bl w:val="nil"/>
                  </w:tcBorders>
                  <w:noWrap w:val="0"/>
                  <w:vAlign w:val="center"/>
                </w:tcPr>
                <w:p w14:paraId="74A0FD6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lang w:val="en-US" w:eastAsia="zh-CN"/>
                    </w:rPr>
                  </w:pPr>
                  <w:r>
                    <w:rPr>
                      <w:rFonts w:hint="eastAsia"/>
                      <w:color w:val="auto"/>
                      <w:sz w:val="21"/>
                      <w:szCs w:val="21"/>
                      <w:highlight w:val="none"/>
                      <w:lang w:val="en-US" w:eastAsia="zh-CN"/>
                    </w:rPr>
                    <w:t>压路机</w:t>
                  </w:r>
                </w:p>
              </w:tc>
              <w:tc>
                <w:tcPr>
                  <w:tcW w:w="1834" w:type="dxa"/>
                  <w:tcBorders>
                    <w:tl2br w:val="nil"/>
                    <w:tr2bl w:val="nil"/>
                  </w:tcBorders>
                  <w:noWrap w:val="0"/>
                  <w:vAlign w:val="center"/>
                </w:tcPr>
                <w:p w14:paraId="6CF36968">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84</w:t>
                  </w:r>
                </w:p>
              </w:tc>
              <w:tc>
                <w:tcPr>
                  <w:tcW w:w="1916" w:type="dxa"/>
                  <w:tcBorders>
                    <w:tl2br w:val="nil"/>
                    <w:tr2bl w:val="nil"/>
                  </w:tcBorders>
                  <w:shd w:val="clear" w:color="auto" w:fill="auto"/>
                  <w:noWrap w:val="0"/>
                  <w:vAlign w:val="center"/>
                </w:tcPr>
                <w:p w14:paraId="1C488322">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ascii="Times New Roman" w:hAnsi="Times New Roman" w:eastAsia="宋体" w:cs="Times New Roman"/>
                      <w:color w:val="auto"/>
                      <w:kern w:val="1"/>
                      <w:sz w:val="21"/>
                      <w:szCs w:val="21"/>
                      <w:highlight w:val="none"/>
                      <w:lang w:val="en-US" w:eastAsia="zh-CN" w:bidi="ar-SA"/>
                    </w:rPr>
                  </w:pPr>
                  <w:r>
                    <w:rPr>
                      <w:color w:val="auto"/>
                      <w:sz w:val="21"/>
                      <w:szCs w:val="21"/>
                      <w:highlight w:val="none"/>
                    </w:rPr>
                    <w:t>推土机</w:t>
                  </w:r>
                </w:p>
              </w:tc>
              <w:tc>
                <w:tcPr>
                  <w:tcW w:w="1834" w:type="dxa"/>
                  <w:tcBorders>
                    <w:tl2br w:val="nil"/>
                    <w:tr2bl w:val="nil"/>
                  </w:tcBorders>
                  <w:shd w:val="clear" w:color="auto" w:fill="auto"/>
                  <w:noWrap w:val="0"/>
                  <w:vAlign w:val="center"/>
                </w:tcPr>
                <w:p w14:paraId="2C1DA7D3">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78</w:t>
                  </w:r>
                </w:p>
              </w:tc>
              <w:tc>
                <w:tcPr>
                  <w:tcW w:w="1392" w:type="dxa"/>
                  <w:vMerge w:val="continue"/>
                  <w:tcBorders>
                    <w:tl2br w:val="nil"/>
                    <w:tr2bl w:val="nil"/>
                  </w:tcBorders>
                  <w:noWrap w:val="0"/>
                  <w:vAlign w:val="center"/>
                </w:tcPr>
                <w:p w14:paraId="044A4200">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p>
              </w:tc>
            </w:tr>
            <w:tr w14:paraId="5BEF9B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31" w:type="dxa"/>
                  <w:tcBorders>
                    <w:tl2br w:val="nil"/>
                    <w:tr2bl w:val="nil"/>
                  </w:tcBorders>
                  <w:noWrap w:val="0"/>
                  <w:vAlign w:val="center"/>
                </w:tcPr>
                <w:p w14:paraId="65B70E70">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运输车辆</w:t>
                  </w:r>
                </w:p>
              </w:tc>
              <w:tc>
                <w:tcPr>
                  <w:tcW w:w="1834" w:type="dxa"/>
                  <w:tcBorders>
                    <w:tl2br w:val="nil"/>
                    <w:tr2bl w:val="nil"/>
                  </w:tcBorders>
                  <w:noWrap w:val="0"/>
                  <w:vAlign w:val="center"/>
                </w:tcPr>
                <w:p w14:paraId="3220E077">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color w:val="auto"/>
                      <w:sz w:val="21"/>
                      <w:szCs w:val="21"/>
                      <w:highlight w:val="none"/>
                    </w:rPr>
                    <w:t>80</w:t>
                  </w:r>
                </w:p>
              </w:tc>
              <w:tc>
                <w:tcPr>
                  <w:tcW w:w="1916" w:type="dxa"/>
                  <w:tcBorders>
                    <w:tl2br w:val="nil"/>
                    <w:tr2bl w:val="nil"/>
                  </w:tcBorders>
                  <w:shd w:val="clear" w:color="auto" w:fill="auto"/>
                  <w:noWrap w:val="0"/>
                  <w:vAlign w:val="center"/>
                </w:tcPr>
                <w:p w14:paraId="163BAB3B">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ascii="Times New Roman" w:hAnsi="Times New Roman" w:eastAsia="宋体" w:cs="Times New Roman"/>
                      <w:color w:val="auto"/>
                      <w:kern w:val="1"/>
                      <w:sz w:val="21"/>
                      <w:szCs w:val="21"/>
                      <w:highlight w:val="none"/>
                      <w:lang w:val="en-US" w:eastAsia="zh-CN" w:bidi="ar-SA"/>
                    </w:rPr>
                  </w:pPr>
                  <w:r>
                    <w:rPr>
                      <w:color w:val="auto"/>
                      <w:sz w:val="21"/>
                      <w:szCs w:val="21"/>
                      <w:highlight w:val="none"/>
                    </w:rPr>
                    <w:t>低频环保型振捣器</w:t>
                  </w:r>
                </w:p>
              </w:tc>
              <w:tc>
                <w:tcPr>
                  <w:tcW w:w="1834" w:type="dxa"/>
                  <w:tcBorders>
                    <w:tl2br w:val="nil"/>
                    <w:tr2bl w:val="nil"/>
                  </w:tcBorders>
                  <w:shd w:val="clear" w:color="auto" w:fill="auto"/>
                  <w:noWrap w:val="0"/>
                  <w:vAlign w:val="center"/>
                </w:tcPr>
                <w:p w14:paraId="41AE4562">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100</w:t>
                  </w:r>
                </w:p>
              </w:tc>
              <w:tc>
                <w:tcPr>
                  <w:tcW w:w="1392" w:type="dxa"/>
                  <w:vMerge w:val="continue"/>
                  <w:tcBorders>
                    <w:tl2br w:val="nil"/>
                    <w:tr2bl w:val="nil"/>
                  </w:tcBorders>
                  <w:noWrap w:val="0"/>
                  <w:vAlign w:val="center"/>
                </w:tcPr>
                <w:p w14:paraId="44E4E90F">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p>
              </w:tc>
            </w:tr>
          </w:tbl>
          <w:p w14:paraId="4F57B7B6">
            <w:pPr>
              <w:keepNext w:val="0"/>
              <w:keepLines w:val="0"/>
              <w:pageBreakBefore w:val="0"/>
              <w:widowControl w:val="0"/>
              <w:tabs>
                <w:tab w:val="left" w:pos="-180"/>
                <w:tab w:val="left" w:pos="1020"/>
              </w:tabs>
              <w:kinsoku/>
              <w:wordWrap/>
              <w:overflowPunct/>
              <w:topLinePunct w:val="0"/>
              <w:autoSpaceDE/>
              <w:autoSpaceDN/>
              <w:bidi w:val="0"/>
              <w:adjustRightInd/>
              <w:snapToGrid/>
              <w:spacing w:line="480" w:lineRule="exact"/>
              <w:ind w:firstLine="480" w:firstLineChars="200"/>
              <w:textAlignment w:val="auto"/>
              <w:rPr>
                <w:color w:val="auto"/>
                <w:highlight w:val="none"/>
              </w:rPr>
            </w:pPr>
            <w:r>
              <w:rPr>
                <w:color w:val="auto"/>
                <w:highlight w:val="none"/>
              </w:rPr>
              <w:t>本项目采用低频环保混凝土振捣器，其噪声值为</w:t>
            </w:r>
            <w:r>
              <w:rPr>
                <w:rFonts w:hint="eastAsia"/>
                <w:color w:val="auto"/>
                <w:highlight w:val="none"/>
                <w:lang w:val="en-US" w:eastAsia="zh-CN"/>
              </w:rPr>
              <w:t>100</w:t>
            </w:r>
            <w:r>
              <w:rPr>
                <w:color w:val="auto"/>
                <w:highlight w:val="none"/>
              </w:rPr>
              <w:t>dB（A）。</w:t>
            </w:r>
          </w:p>
          <w:p w14:paraId="2D9FBEA7">
            <w:pPr>
              <w:keepNext w:val="0"/>
              <w:keepLines w:val="0"/>
              <w:pageBreakBefore w:val="0"/>
              <w:widowControl w:val="0"/>
              <w:kinsoku/>
              <w:wordWrap/>
              <w:overflowPunct/>
              <w:topLinePunct w:val="0"/>
              <w:autoSpaceDE w:val="0"/>
              <w:autoSpaceDN w:val="0"/>
              <w:bidi w:val="0"/>
              <w:adjustRightInd w:val="0"/>
              <w:snapToGrid/>
              <w:spacing w:line="480" w:lineRule="exact"/>
              <w:ind w:firstLine="482" w:firstLineChars="200"/>
              <w:textAlignment w:val="auto"/>
              <w:rPr>
                <w:b/>
                <w:bCs/>
                <w:color w:val="auto"/>
                <w:highlight w:val="none"/>
              </w:rPr>
            </w:pPr>
            <w:r>
              <w:rPr>
                <w:b/>
                <w:bCs/>
                <w:color w:val="auto"/>
                <w:highlight w:val="none"/>
              </w:rPr>
              <w:t>3.2施工期噪声影响分析</w:t>
            </w:r>
          </w:p>
          <w:p w14:paraId="6443BDE5">
            <w:pPr>
              <w:keepNext w:val="0"/>
              <w:keepLines w:val="0"/>
              <w:pageBreakBefore w:val="0"/>
              <w:widowControl w:val="0"/>
              <w:kinsoku/>
              <w:wordWrap/>
              <w:overflowPunct/>
              <w:topLinePunct w:val="0"/>
              <w:bidi w:val="0"/>
              <w:snapToGrid/>
              <w:spacing w:line="480" w:lineRule="exact"/>
              <w:ind w:firstLine="480" w:firstLineChars="200"/>
              <w:textAlignment w:val="auto"/>
              <w:rPr>
                <w:color w:val="auto"/>
                <w:sz w:val="24"/>
                <w:szCs w:val="24"/>
                <w:highlight w:val="none"/>
                <w:lang w:val="zh-CN"/>
              </w:rPr>
            </w:pPr>
            <w:r>
              <w:rPr>
                <w:color w:val="auto"/>
                <w:sz w:val="24"/>
                <w:szCs w:val="24"/>
                <w:highlight w:val="none"/>
                <w:lang w:val="zh-CN"/>
              </w:rPr>
              <w:t>（</w:t>
            </w:r>
            <w:r>
              <w:rPr>
                <w:color w:val="auto"/>
                <w:sz w:val="24"/>
                <w:szCs w:val="24"/>
                <w:highlight w:val="none"/>
              </w:rPr>
              <w:t>1</w:t>
            </w:r>
            <w:r>
              <w:rPr>
                <w:color w:val="auto"/>
                <w:sz w:val="24"/>
                <w:szCs w:val="24"/>
                <w:highlight w:val="none"/>
                <w:lang w:val="zh-CN"/>
              </w:rPr>
              <w:t>）各施工机械到场界噪声达标分析：</w:t>
            </w:r>
          </w:p>
          <w:p w14:paraId="08FE597A">
            <w:pPr>
              <w:keepNext w:val="0"/>
              <w:keepLines w:val="0"/>
              <w:pageBreakBefore w:val="0"/>
              <w:widowControl w:val="0"/>
              <w:kinsoku/>
              <w:wordWrap/>
              <w:overflowPunct/>
              <w:topLinePunct w:val="0"/>
              <w:bidi w:val="0"/>
              <w:snapToGrid/>
              <w:spacing w:line="480" w:lineRule="exact"/>
              <w:ind w:firstLine="480" w:firstLineChars="200"/>
              <w:textAlignment w:val="auto"/>
              <w:rPr>
                <w:color w:val="auto"/>
                <w:sz w:val="24"/>
                <w:szCs w:val="24"/>
                <w:highlight w:val="none"/>
                <w:lang w:val="zh-CN"/>
              </w:rPr>
            </w:pPr>
            <w:r>
              <w:rPr>
                <w:color w:val="auto"/>
                <w:sz w:val="24"/>
                <w:szCs w:val="24"/>
                <w:highlight w:val="none"/>
                <w:lang w:val="zh-CN"/>
              </w:rPr>
              <w:t>本项目所用施工机械设备满足</w:t>
            </w:r>
            <w:r>
              <w:rPr>
                <w:rFonts w:hint="eastAsia"/>
                <w:color w:val="auto"/>
                <w:sz w:val="24"/>
                <w:szCs w:val="24"/>
                <w:highlight w:val="none"/>
                <w:lang w:eastAsia="zh-CN"/>
              </w:rPr>
              <w:t>《建筑施工噪声排放标准》（GB12523-2025）</w:t>
            </w:r>
            <w:r>
              <w:rPr>
                <w:color w:val="auto"/>
                <w:sz w:val="24"/>
                <w:szCs w:val="24"/>
                <w:highlight w:val="none"/>
              </w:rPr>
              <w:t>要求时所需的距离。</w:t>
            </w:r>
          </w:p>
          <w:p w14:paraId="267E2FF9">
            <w:pPr>
              <w:keepNext w:val="0"/>
              <w:keepLines w:val="0"/>
              <w:pageBreakBefore w:val="0"/>
              <w:widowControl w:val="0"/>
              <w:kinsoku/>
              <w:wordWrap/>
              <w:overflowPunct/>
              <w:topLinePunct w:val="0"/>
              <w:bidi w:val="0"/>
              <w:snapToGrid/>
              <w:spacing w:line="480" w:lineRule="exact"/>
              <w:ind w:firstLine="480" w:firstLineChars="200"/>
              <w:textAlignment w:val="auto"/>
              <w:rPr>
                <w:color w:val="auto"/>
                <w:sz w:val="24"/>
                <w:szCs w:val="24"/>
                <w:highlight w:val="none"/>
              </w:rPr>
            </w:pPr>
            <w:r>
              <w:rPr>
                <w:color w:val="auto"/>
                <w:sz w:val="24"/>
                <w:szCs w:val="24"/>
                <w:highlight w:val="none"/>
                <w:lang w:val="zh-CN"/>
              </w:rPr>
              <w:t>施工噪声预测</w:t>
            </w:r>
            <w:r>
              <w:rPr>
                <w:color w:val="auto"/>
                <w:sz w:val="24"/>
                <w:szCs w:val="24"/>
                <w:highlight w:val="none"/>
              </w:rPr>
              <w:t>采用点源衰减预测模式，预测只计算声源至受声点的几何发散衰减，不考虑声屏障、空气吸收等衰减。预测模式如下：</w:t>
            </w:r>
          </w:p>
          <w:p w14:paraId="12C7851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color w:val="auto"/>
                <w:sz w:val="24"/>
                <w:szCs w:val="24"/>
                <w:highlight w:val="none"/>
              </w:rPr>
            </w:pPr>
            <w:r>
              <w:rPr>
                <w:color w:val="auto"/>
                <w:position w:val="-30"/>
                <w:highlight w:val="none"/>
              </w:rPr>
              <w:object>
                <v:shape id="_x0000_i1025" o:spt="75" type="#_x0000_t75" style="height:35.7pt;width:94.2pt;" o:ole="t" filled="f" o:preferrelative="t" stroked="f" coordsize="21600,21600">
                  <v:path/>
                  <v:fill on="f" focussize="0,0"/>
                  <v:stroke on="f"/>
                  <v:imagedata r:id="rId18" o:title=""/>
                  <o:lock v:ext="edit" aspectratio="t"/>
                  <w10:wrap type="none"/>
                  <w10:anchorlock/>
                </v:shape>
                <o:OLEObject Type="Embed" ProgID="Equation.3" ShapeID="_x0000_i1025" DrawAspect="Content" ObjectID="_1468075725" r:id="rId17">
                  <o:LockedField>false</o:LockedField>
                </o:OLEObject>
              </w:object>
            </w:r>
          </w:p>
          <w:p w14:paraId="233CFFEE">
            <w:pPr>
              <w:keepNext w:val="0"/>
              <w:keepLines w:val="0"/>
              <w:pageBreakBefore w:val="0"/>
              <w:widowControl w:val="0"/>
              <w:kinsoku/>
              <w:wordWrap/>
              <w:overflowPunct/>
              <w:topLinePunct w:val="0"/>
              <w:autoSpaceDE w:val="0"/>
              <w:autoSpaceDN w:val="0"/>
              <w:bidi w:val="0"/>
              <w:adjustRightInd w:val="0"/>
              <w:snapToGrid/>
              <w:spacing w:line="480" w:lineRule="exact"/>
              <w:textAlignment w:val="auto"/>
              <w:rPr>
                <w:color w:val="auto"/>
                <w:sz w:val="24"/>
                <w:szCs w:val="24"/>
                <w:highlight w:val="none"/>
              </w:rPr>
            </w:pPr>
            <w:r>
              <w:rPr>
                <w:color w:val="auto"/>
                <w:sz w:val="24"/>
                <w:szCs w:val="24"/>
                <w:highlight w:val="none"/>
              </w:rPr>
              <w:t>式中：L</w:t>
            </w:r>
            <w:r>
              <w:rPr>
                <w:rFonts w:hint="eastAsia"/>
                <w:color w:val="auto"/>
                <w:sz w:val="24"/>
                <w:szCs w:val="24"/>
                <w:highlight w:val="none"/>
                <w:vertAlign w:val="subscript"/>
                <w:lang w:val="en-US" w:eastAsia="zh-CN"/>
              </w:rPr>
              <w:t>r</w:t>
            </w:r>
            <w:r>
              <w:rPr>
                <w:color w:val="auto"/>
                <w:sz w:val="24"/>
                <w:szCs w:val="24"/>
                <w:highlight w:val="none"/>
              </w:rPr>
              <w:t>—距声</w:t>
            </w:r>
            <w:r>
              <w:rPr>
                <w:color w:val="auto"/>
                <w:spacing w:val="20"/>
                <w:sz w:val="24"/>
                <w:szCs w:val="24"/>
                <w:highlight w:val="none"/>
              </w:rPr>
              <w:t>源r处</w:t>
            </w:r>
            <w:r>
              <w:rPr>
                <w:color w:val="auto"/>
                <w:sz w:val="24"/>
                <w:szCs w:val="24"/>
                <w:highlight w:val="none"/>
              </w:rPr>
              <w:t>的A声级，dB（A）；</w:t>
            </w:r>
          </w:p>
          <w:p w14:paraId="305D6CA7">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textAlignment w:val="auto"/>
              <w:rPr>
                <w:color w:val="auto"/>
                <w:sz w:val="24"/>
                <w:szCs w:val="24"/>
                <w:highlight w:val="none"/>
              </w:rPr>
            </w:pPr>
            <w:r>
              <w:rPr>
                <w:color w:val="auto"/>
                <w:sz w:val="24"/>
                <w:szCs w:val="24"/>
                <w:highlight w:val="none"/>
              </w:rPr>
              <w:t>L</w:t>
            </w:r>
            <w:r>
              <w:rPr>
                <w:color w:val="auto"/>
                <w:sz w:val="24"/>
                <w:szCs w:val="24"/>
                <w:highlight w:val="none"/>
                <w:vertAlign w:val="subscript"/>
              </w:rPr>
              <w:t>r0</w:t>
            </w:r>
            <w:r>
              <w:rPr>
                <w:color w:val="auto"/>
                <w:sz w:val="24"/>
                <w:szCs w:val="24"/>
                <w:highlight w:val="none"/>
              </w:rPr>
              <w:t>—参考位</w:t>
            </w:r>
            <w:r>
              <w:rPr>
                <w:color w:val="auto"/>
                <w:spacing w:val="23"/>
                <w:sz w:val="24"/>
                <w:szCs w:val="24"/>
                <w:highlight w:val="none"/>
              </w:rPr>
              <w:t>置r</w:t>
            </w:r>
            <w:r>
              <w:rPr>
                <w:color w:val="auto"/>
                <w:spacing w:val="23"/>
                <w:sz w:val="24"/>
                <w:szCs w:val="24"/>
                <w:highlight w:val="none"/>
                <w:vertAlign w:val="subscript"/>
              </w:rPr>
              <w:t>0</w:t>
            </w:r>
            <w:r>
              <w:rPr>
                <w:color w:val="auto"/>
                <w:sz w:val="24"/>
                <w:szCs w:val="24"/>
                <w:highlight w:val="none"/>
              </w:rPr>
              <w:t>处的A声级，dB（A）；</w:t>
            </w:r>
          </w:p>
          <w:p w14:paraId="4A58CB1E">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textAlignment w:val="auto"/>
              <w:rPr>
                <w:color w:val="auto"/>
                <w:sz w:val="24"/>
                <w:szCs w:val="24"/>
                <w:highlight w:val="none"/>
              </w:rPr>
            </w:pPr>
            <w:r>
              <w:rPr>
                <w:color w:val="auto"/>
                <w:sz w:val="24"/>
                <w:szCs w:val="24"/>
                <w:highlight w:val="none"/>
              </w:rPr>
              <w:t>r—预测点距声源的距离，m；</w:t>
            </w:r>
          </w:p>
          <w:p w14:paraId="019CF4AE">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textAlignment w:val="auto"/>
              <w:rPr>
                <w:color w:val="auto"/>
                <w:sz w:val="24"/>
                <w:szCs w:val="24"/>
                <w:highlight w:val="none"/>
              </w:rPr>
            </w:pPr>
            <w:r>
              <w:rPr>
                <w:color w:val="auto"/>
                <w:sz w:val="24"/>
                <w:szCs w:val="24"/>
                <w:highlight w:val="none"/>
              </w:rPr>
              <w:t>r</w:t>
            </w:r>
            <w:r>
              <w:rPr>
                <w:color w:val="auto"/>
                <w:sz w:val="24"/>
                <w:szCs w:val="24"/>
                <w:highlight w:val="none"/>
                <w:vertAlign w:val="subscript"/>
              </w:rPr>
              <w:t>0</w:t>
            </w:r>
            <w:r>
              <w:rPr>
                <w:color w:val="auto"/>
                <w:sz w:val="24"/>
                <w:szCs w:val="24"/>
                <w:highlight w:val="none"/>
              </w:rPr>
              <w:t xml:space="preserve">—参考位置距声源的距离，m。 </w:t>
            </w:r>
          </w:p>
          <w:p w14:paraId="111AA7ED">
            <w:pPr>
              <w:keepNext w:val="0"/>
              <w:keepLines w:val="0"/>
              <w:pageBreakBefore w:val="0"/>
              <w:widowControl w:val="0"/>
              <w:tabs>
                <w:tab w:val="left" w:pos="0"/>
              </w:tabs>
              <w:kinsoku/>
              <w:wordWrap/>
              <w:overflowPunct/>
              <w:topLinePunct w:val="0"/>
              <w:autoSpaceDE w:val="0"/>
              <w:autoSpaceDN w:val="0"/>
              <w:bidi w:val="0"/>
              <w:adjustRightInd w:val="0"/>
              <w:snapToGrid/>
              <w:spacing w:line="480" w:lineRule="exact"/>
              <w:ind w:firstLine="480" w:firstLineChars="200"/>
              <w:textAlignment w:val="auto"/>
              <w:rPr>
                <w:color w:val="auto"/>
                <w:sz w:val="24"/>
                <w:szCs w:val="24"/>
                <w:highlight w:val="none"/>
              </w:rPr>
            </w:pPr>
            <w:r>
              <w:rPr>
                <w:color w:val="auto"/>
                <w:sz w:val="24"/>
                <w:szCs w:val="24"/>
                <w:highlight w:val="none"/>
              </w:rPr>
              <w:t>计算主要施工机械在不同距离的噪声贡献值，计算结果见下表。</w:t>
            </w:r>
          </w:p>
          <w:p w14:paraId="3EEFCE3A">
            <w:pPr>
              <w:pStyle w:val="28"/>
              <w:rPr>
                <w:color w:val="auto"/>
                <w:sz w:val="24"/>
                <w:szCs w:val="24"/>
                <w:highlight w:val="none"/>
              </w:rPr>
            </w:pPr>
          </w:p>
          <w:p w14:paraId="7F38DAC3">
            <w:pPr>
              <w:rPr>
                <w:color w:val="auto"/>
                <w:sz w:val="24"/>
                <w:szCs w:val="24"/>
                <w:highlight w:val="none"/>
              </w:rPr>
            </w:pPr>
          </w:p>
          <w:p w14:paraId="7F0D176A">
            <w:pPr>
              <w:rPr>
                <w:color w:val="auto"/>
                <w:sz w:val="24"/>
                <w:szCs w:val="24"/>
                <w:highlight w:val="none"/>
              </w:rPr>
            </w:pPr>
          </w:p>
          <w:p w14:paraId="37141278">
            <w:pPr>
              <w:pStyle w:val="28"/>
              <w:rPr>
                <w:color w:val="auto"/>
                <w:highlight w:val="none"/>
              </w:rPr>
            </w:pPr>
          </w:p>
          <w:p w14:paraId="24F07758">
            <w:pPr>
              <w:pStyle w:val="36"/>
              <w:pageBreakBefore w:val="0"/>
              <w:numPr>
                <w:ilvl w:val="0"/>
                <w:numId w:val="27"/>
              </w:numPr>
              <w:kinsoku/>
              <w:overflowPunct/>
              <w:topLinePunct w:val="0"/>
              <w:bidi w:val="0"/>
              <w:ind w:left="0" w:leftChars="0" w:firstLine="0" w:firstLineChars="0"/>
              <w:textAlignment w:val="auto"/>
              <w:rPr>
                <w:color w:val="auto"/>
                <w:sz w:val="24"/>
                <w:szCs w:val="24"/>
                <w:highlight w:val="none"/>
              </w:rPr>
            </w:pPr>
            <w:r>
              <w:rPr>
                <w:color w:val="auto"/>
                <w:sz w:val="21"/>
                <w:szCs w:val="21"/>
                <w:highlight w:val="none"/>
              </w:rPr>
              <w:t>施工机械在不同距离的噪声贡献值</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506"/>
              <w:gridCol w:w="956"/>
              <w:gridCol w:w="557"/>
              <w:gridCol w:w="557"/>
              <w:gridCol w:w="557"/>
              <w:gridCol w:w="557"/>
              <w:gridCol w:w="557"/>
              <w:gridCol w:w="557"/>
              <w:gridCol w:w="557"/>
              <w:gridCol w:w="557"/>
              <w:gridCol w:w="557"/>
              <w:gridCol w:w="561"/>
              <w:gridCol w:w="1071"/>
            </w:tblGrid>
            <w:tr w14:paraId="31FD28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vMerge w:val="restart"/>
                  <w:tcBorders>
                    <w:tl2br w:val="nil"/>
                    <w:tr2bl w:val="nil"/>
                  </w:tcBorders>
                  <w:noWrap w:val="0"/>
                  <w:vAlign w:val="center"/>
                </w:tcPr>
                <w:p w14:paraId="37437488">
                  <w:pPr>
                    <w:pStyle w:val="35"/>
                    <w:bidi w:val="0"/>
                    <w:rPr>
                      <w:color w:val="auto"/>
                      <w:sz w:val="21"/>
                      <w:szCs w:val="21"/>
                      <w:highlight w:val="none"/>
                    </w:rPr>
                  </w:pPr>
                  <w:r>
                    <w:rPr>
                      <w:color w:val="auto"/>
                      <w:sz w:val="21"/>
                      <w:szCs w:val="21"/>
                      <w:highlight w:val="none"/>
                    </w:rPr>
                    <w:t>序号</w:t>
                  </w:r>
                </w:p>
              </w:tc>
              <w:tc>
                <w:tcPr>
                  <w:tcW w:w="956" w:type="dxa"/>
                  <w:vMerge w:val="restart"/>
                  <w:tcBorders>
                    <w:tl2br w:val="nil"/>
                    <w:tr2bl w:val="nil"/>
                  </w:tcBorders>
                  <w:noWrap w:val="0"/>
                  <w:vAlign w:val="center"/>
                </w:tcPr>
                <w:p w14:paraId="7F0D8ED9">
                  <w:pPr>
                    <w:pStyle w:val="35"/>
                    <w:bidi w:val="0"/>
                    <w:rPr>
                      <w:color w:val="auto"/>
                      <w:sz w:val="21"/>
                      <w:szCs w:val="21"/>
                      <w:highlight w:val="none"/>
                    </w:rPr>
                  </w:pPr>
                  <w:r>
                    <w:rPr>
                      <w:color w:val="auto"/>
                      <w:sz w:val="21"/>
                      <w:szCs w:val="21"/>
                      <w:highlight w:val="none"/>
                    </w:rPr>
                    <w:t>机械名称</w:t>
                  </w:r>
                </w:p>
              </w:tc>
              <w:tc>
                <w:tcPr>
                  <w:tcW w:w="5574" w:type="dxa"/>
                  <w:gridSpan w:val="10"/>
                  <w:tcBorders>
                    <w:tl2br w:val="nil"/>
                    <w:tr2bl w:val="nil"/>
                  </w:tcBorders>
                  <w:noWrap w:val="0"/>
                  <w:vAlign w:val="center"/>
                </w:tcPr>
                <w:p w14:paraId="59342AB0">
                  <w:pPr>
                    <w:pStyle w:val="35"/>
                    <w:keepNext w:val="0"/>
                    <w:keepLines w:val="0"/>
                    <w:pageBreakBefore w:val="0"/>
                    <w:widowControl w:val="0"/>
                    <w:kinsoku/>
                    <w:wordWrap/>
                    <w:overflowPunct/>
                    <w:topLinePunct w:val="0"/>
                    <w:autoSpaceDE/>
                    <w:autoSpaceDN/>
                    <w:bidi w:val="0"/>
                    <w:adjustRightInd/>
                    <w:snapToGrid w:val="0"/>
                    <w:spacing w:before="0" w:after="0"/>
                    <w:textAlignment w:val="auto"/>
                    <w:rPr>
                      <w:color w:val="auto"/>
                      <w:sz w:val="21"/>
                      <w:szCs w:val="21"/>
                      <w:highlight w:val="none"/>
                    </w:rPr>
                  </w:pPr>
                  <w:r>
                    <w:rPr>
                      <w:color w:val="auto"/>
                      <w:sz w:val="21"/>
                      <w:szCs w:val="21"/>
                      <w:highlight w:val="none"/>
                    </w:rPr>
                    <w:t>不同距离处的噪声预测值[dB（A）]</w:t>
                  </w:r>
                </w:p>
              </w:tc>
              <w:tc>
                <w:tcPr>
                  <w:tcW w:w="1071" w:type="dxa"/>
                  <w:vMerge w:val="restart"/>
                  <w:tcBorders>
                    <w:tl2br w:val="nil"/>
                    <w:tr2bl w:val="nil"/>
                  </w:tcBorders>
                  <w:noWrap w:val="0"/>
                  <w:vAlign w:val="center"/>
                </w:tcPr>
                <w:p w14:paraId="1B4C190F">
                  <w:pPr>
                    <w:pStyle w:val="35"/>
                    <w:bidi w:val="0"/>
                    <w:rPr>
                      <w:color w:val="auto"/>
                      <w:sz w:val="21"/>
                      <w:szCs w:val="21"/>
                      <w:highlight w:val="none"/>
                    </w:rPr>
                  </w:pPr>
                  <w:r>
                    <w:rPr>
                      <w:color w:val="auto"/>
                      <w:sz w:val="21"/>
                      <w:szCs w:val="21"/>
                      <w:highlight w:val="none"/>
                    </w:rPr>
                    <w:t>施工阶段</w:t>
                  </w:r>
                </w:p>
              </w:tc>
            </w:tr>
            <w:tr w14:paraId="7DB88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vMerge w:val="continue"/>
                  <w:tcBorders>
                    <w:tl2br w:val="nil"/>
                    <w:tr2bl w:val="nil"/>
                  </w:tcBorders>
                  <w:noWrap w:val="0"/>
                  <w:vAlign w:val="center"/>
                </w:tcPr>
                <w:p w14:paraId="154CE385">
                  <w:pPr>
                    <w:pStyle w:val="35"/>
                    <w:bidi w:val="0"/>
                    <w:rPr>
                      <w:color w:val="auto"/>
                      <w:sz w:val="21"/>
                      <w:szCs w:val="21"/>
                      <w:highlight w:val="none"/>
                    </w:rPr>
                  </w:pPr>
                </w:p>
              </w:tc>
              <w:tc>
                <w:tcPr>
                  <w:tcW w:w="956" w:type="dxa"/>
                  <w:vMerge w:val="continue"/>
                  <w:tcBorders>
                    <w:tl2br w:val="nil"/>
                    <w:tr2bl w:val="nil"/>
                  </w:tcBorders>
                  <w:noWrap w:val="0"/>
                  <w:vAlign w:val="center"/>
                </w:tcPr>
                <w:p w14:paraId="49873B65">
                  <w:pPr>
                    <w:pStyle w:val="35"/>
                    <w:bidi w:val="0"/>
                    <w:rPr>
                      <w:color w:val="auto"/>
                      <w:sz w:val="21"/>
                      <w:szCs w:val="21"/>
                      <w:highlight w:val="none"/>
                    </w:rPr>
                  </w:pPr>
                </w:p>
              </w:tc>
              <w:tc>
                <w:tcPr>
                  <w:tcW w:w="557" w:type="dxa"/>
                  <w:tcBorders>
                    <w:tl2br w:val="nil"/>
                    <w:tr2bl w:val="nil"/>
                  </w:tcBorders>
                  <w:noWrap w:val="0"/>
                  <w:vAlign w:val="center"/>
                </w:tcPr>
                <w:p w14:paraId="392B5235">
                  <w:pPr>
                    <w:pStyle w:val="35"/>
                    <w:bidi w:val="0"/>
                    <w:rPr>
                      <w:color w:val="auto"/>
                      <w:sz w:val="21"/>
                      <w:szCs w:val="21"/>
                      <w:highlight w:val="none"/>
                    </w:rPr>
                  </w:pPr>
                  <w:r>
                    <w:rPr>
                      <w:color w:val="auto"/>
                      <w:sz w:val="21"/>
                      <w:szCs w:val="21"/>
                      <w:highlight w:val="none"/>
                    </w:rPr>
                    <w:t>5m</w:t>
                  </w:r>
                </w:p>
              </w:tc>
              <w:tc>
                <w:tcPr>
                  <w:tcW w:w="557" w:type="dxa"/>
                  <w:tcBorders>
                    <w:tl2br w:val="nil"/>
                    <w:tr2bl w:val="nil"/>
                  </w:tcBorders>
                  <w:noWrap w:val="0"/>
                  <w:vAlign w:val="center"/>
                </w:tcPr>
                <w:p w14:paraId="412B1395">
                  <w:pPr>
                    <w:pStyle w:val="35"/>
                    <w:bidi w:val="0"/>
                    <w:rPr>
                      <w:color w:val="auto"/>
                      <w:sz w:val="21"/>
                      <w:szCs w:val="21"/>
                      <w:highlight w:val="none"/>
                    </w:rPr>
                  </w:pPr>
                  <w:r>
                    <w:rPr>
                      <w:color w:val="auto"/>
                      <w:sz w:val="21"/>
                      <w:szCs w:val="21"/>
                      <w:highlight w:val="none"/>
                    </w:rPr>
                    <w:t>10m</w:t>
                  </w:r>
                </w:p>
              </w:tc>
              <w:tc>
                <w:tcPr>
                  <w:tcW w:w="557" w:type="dxa"/>
                  <w:tcBorders>
                    <w:tl2br w:val="nil"/>
                    <w:tr2bl w:val="nil"/>
                  </w:tcBorders>
                  <w:noWrap w:val="0"/>
                  <w:vAlign w:val="center"/>
                </w:tcPr>
                <w:p w14:paraId="0B904678">
                  <w:pPr>
                    <w:pStyle w:val="35"/>
                    <w:bidi w:val="0"/>
                    <w:rPr>
                      <w:color w:val="auto"/>
                      <w:sz w:val="21"/>
                      <w:szCs w:val="21"/>
                      <w:highlight w:val="none"/>
                    </w:rPr>
                  </w:pPr>
                  <w:r>
                    <w:rPr>
                      <w:color w:val="auto"/>
                      <w:sz w:val="21"/>
                      <w:szCs w:val="21"/>
                      <w:highlight w:val="none"/>
                    </w:rPr>
                    <w:t>20m</w:t>
                  </w:r>
                </w:p>
              </w:tc>
              <w:tc>
                <w:tcPr>
                  <w:tcW w:w="557" w:type="dxa"/>
                  <w:tcBorders>
                    <w:tl2br w:val="nil"/>
                    <w:tr2bl w:val="nil"/>
                  </w:tcBorders>
                  <w:noWrap w:val="0"/>
                  <w:vAlign w:val="center"/>
                </w:tcPr>
                <w:p w14:paraId="52CB369B">
                  <w:pPr>
                    <w:pStyle w:val="35"/>
                    <w:bidi w:val="0"/>
                    <w:rPr>
                      <w:color w:val="auto"/>
                      <w:sz w:val="21"/>
                      <w:szCs w:val="21"/>
                      <w:highlight w:val="none"/>
                    </w:rPr>
                  </w:pPr>
                  <w:r>
                    <w:rPr>
                      <w:color w:val="auto"/>
                      <w:sz w:val="21"/>
                      <w:szCs w:val="21"/>
                      <w:highlight w:val="none"/>
                    </w:rPr>
                    <w:t>30m</w:t>
                  </w:r>
                </w:p>
              </w:tc>
              <w:tc>
                <w:tcPr>
                  <w:tcW w:w="557" w:type="dxa"/>
                  <w:tcBorders>
                    <w:tl2br w:val="nil"/>
                    <w:tr2bl w:val="nil"/>
                  </w:tcBorders>
                  <w:noWrap w:val="0"/>
                  <w:vAlign w:val="center"/>
                </w:tcPr>
                <w:p w14:paraId="0E4B42C6">
                  <w:pPr>
                    <w:pStyle w:val="35"/>
                    <w:bidi w:val="0"/>
                    <w:rPr>
                      <w:color w:val="auto"/>
                      <w:sz w:val="21"/>
                      <w:szCs w:val="21"/>
                      <w:highlight w:val="none"/>
                    </w:rPr>
                  </w:pPr>
                  <w:r>
                    <w:rPr>
                      <w:color w:val="auto"/>
                      <w:sz w:val="21"/>
                      <w:szCs w:val="21"/>
                      <w:highlight w:val="none"/>
                    </w:rPr>
                    <w:t>40m</w:t>
                  </w:r>
                </w:p>
              </w:tc>
              <w:tc>
                <w:tcPr>
                  <w:tcW w:w="557" w:type="dxa"/>
                  <w:tcBorders>
                    <w:tl2br w:val="nil"/>
                    <w:tr2bl w:val="nil"/>
                  </w:tcBorders>
                  <w:noWrap w:val="0"/>
                  <w:vAlign w:val="center"/>
                </w:tcPr>
                <w:p w14:paraId="393FA4A1">
                  <w:pPr>
                    <w:pStyle w:val="35"/>
                    <w:bidi w:val="0"/>
                    <w:rPr>
                      <w:color w:val="auto"/>
                      <w:sz w:val="21"/>
                      <w:szCs w:val="21"/>
                      <w:highlight w:val="none"/>
                    </w:rPr>
                  </w:pPr>
                  <w:r>
                    <w:rPr>
                      <w:color w:val="auto"/>
                      <w:sz w:val="21"/>
                      <w:szCs w:val="21"/>
                      <w:highlight w:val="none"/>
                    </w:rPr>
                    <w:t>50m</w:t>
                  </w:r>
                </w:p>
              </w:tc>
              <w:tc>
                <w:tcPr>
                  <w:tcW w:w="557" w:type="dxa"/>
                  <w:tcBorders>
                    <w:tl2br w:val="nil"/>
                    <w:tr2bl w:val="nil"/>
                  </w:tcBorders>
                  <w:noWrap w:val="0"/>
                  <w:vAlign w:val="center"/>
                </w:tcPr>
                <w:p w14:paraId="55D13D9C">
                  <w:pPr>
                    <w:pStyle w:val="35"/>
                    <w:bidi w:val="0"/>
                    <w:rPr>
                      <w:color w:val="auto"/>
                      <w:sz w:val="21"/>
                      <w:szCs w:val="21"/>
                      <w:highlight w:val="none"/>
                    </w:rPr>
                  </w:pPr>
                  <w:r>
                    <w:rPr>
                      <w:color w:val="auto"/>
                      <w:sz w:val="21"/>
                      <w:szCs w:val="21"/>
                      <w:highlight w:val="none"/>
                    </w:rPr>
                    <w:t>100m</w:t>
                  </w:r>
                </w:p>
              </w:tc>
              <w:tc>
                <w:tcPr>
                  <w:tcW w:w="557" w:type="dxa"/>
                  <w:tcBorders>
                    <w:tl2br w:val="nil"/>
                    <w:tr2bl w:val="nil"/>
                  </w:tcBorders>
                  <w:noWrap w:val="0"/>
                  <w:vAlign w:val="center"/>
                </w:tcPr>
                <w:p w14:paraId="3174C9FB">
                  <w:pPr>
                    <w:pStyle w:val="35"/>
                    <w:bidi w:val="0"/>
                    <w:rPr>
                      <w:color w:val="auto"/>
                      <w:sz w:val="21"/>
                      <w:szCs w:val="21"/>
                      <w:highlight w:val="none"/>
                    </w:rPr>
                  </w:pPr>
                  <w:r>
                    <w:rPr>
                      <w:color w:val="auto"/>
                      <w:sz w:val="21"/>
                      <w:szCs w:val="21"/>
                      <w:highlight w:val="none"/>
                    </w:rPr>
                    <w:t>200m</w:t>
                  </w:r>
                </w:p>
              </w:tc>
              <w:tc>
                <w:tcPr>
                  <w:tcW w:w="557" w:type="dxa"/>
                  <w:tcBorders>
                    <w:tl2br w:val="nil"/>
                    <w:tr2bl w:val="nil"/>
                  </w:tcBorders>
                  <w:noWrap w:val="0"/>
                  <w:vAlign w:val="center"/>
                </w:tcPr>
                <w:p w14:paraId="3A413469">
                  <w:pPr>
                    <w:pStyle w:val="35"/>
                    <w:bidi w:val="0"/>
                    <w:rPr>
                      <w:color w:val="auto"/>
                      <w:sz w:val="21"/>
                      <w:szCs w:val="21"/>
                      <w:highlight w:val="none"/>
                    </w:rPr>
                  </w:pPr>
                  <w:r>
                    <w:rPr>
                      <w:rFonts w:hint="eastAsia"/>
                      <w:color w:val="auto"/>
                      <w:sz w:val="21"/>
                      <w:szCs w:val="21"/>
                      <w:highlight w:val="none"/>
                      <w:lang w:val="en-US" w:eastAsia="zh-CN"/>
                    </w:rPr>
                    <w:t>3</w:t>
                  </w:r>
                  <w:r>
                    <w:rPr>
                      <w:color w:val="auto"/>
                      <w:sz w:val="21"/>
                      <w:szCs w:val="21"/>
                      <w:highlight w:val="none"/>
                    </w:rPr>
                    <w:t>00m</w:t>
                  </w:r>
                </w:p>
              </w:tc>
              <w:tc>
                <w:tcPr>
                  <w:tcW w:w="561" w:type="dxa"/>
                  <w:tcBorders>
                    <w:tl2br w:val="nil"/>
                    <w:tr2bl w:val="nil"/>
                  </w:tcBorders>
                  <w:noWrap w:val="0"/>
                  <w:vAlign w:val="center"/>
                </w:tcPr>
                <w:p w14:paraId="3FCEB205">
                  <w:pPr>
                    <w:pStyle w:val="35"/>
                    <w:bidi w:val="0"/>
                    <w:rPr>
                      <w:color w:val="auto"/>
                      <w:sz w:val="21"/>
                      <w:szCs w:val="21"/>
                      <w:highlight w:val="none"/>
                    </w:rPr>
                  </w:pPr>
                  <w:r>
                    <w:rPr>
                      <w:rFonts w:hint="eastAsia"/>
                      <w:color w:val="auto"/>
                      <w:sz w:val="21"/>
                      <w:szCs w:val="21"/>
                      <w:highlight w:val="none"/>
                      <w:lang w:val="en-US" w:eastAsia="zh-CN"/>
                    </w:rPr>
                    <w:t>4</w:t>
                  </w:r>
                  <w:r>
                    <w:rPr>
                      <w:color w:val="auto"/>
                      <w:sz w:val="21"/>
                      <w:szCs w:val="21"/>
                      <w:highlight w:val="none"/>
                    </w:rPr>
                    <w:t>00m</w:t>
                  </w:r>
                </w:p>
              </w:tc>
              <w:tc>
                <w:tcPr>
                  <w:tcW w:w="1071" w:type="dxa"/>
                  <w:vMerge w:val="continue"/>
                  <w:tcBorders>
                    <w:tl2br w:val="nil"/>
                    <w:tr2bl w:val="nil"/>
                  </w:tcBorders>
                  <w:noWrap w:val="0"/>
                  <w:vAlign w:val="center"/>
                </w:tcPr>
                <w:p w14:paraId="777517FE">
                  <w:pPr>
                    <w:pStyle w:val="35"/>
                    <w:bidi w:val="0"/>
                    <w:rPr>
                      <w:color w:val="auto"/>
                      <w:sz w:val="21"/>
                      <w:szCs w:val="21"/>
                      <w:highlight w:val="none"/>
                    </w:rPr>
                  </w:pPr>
                </w:p>
              </w:tc>
            </w:tr>
            <w:tr w14:paraId="412D15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78C3AEAD">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noWrap w:val="0"/>
                  <w:vAlign w:val="center"/>
                </w:tcPr>
                <w:p w14:paraId="58220F34">
                  <w:pPr>
                    <w:pStyle w:val="35"/>
                    <w:bidi w:val="0"/>
                    <w:rPr>
                      <w:color w:val="auto"/>
                      <w:sz w:val="21"/>
                      <w:szCs w:val="21"/>
                      <w:highlight w:val="none"/>
                    </w:rPr>
                  </w:pPr>
                  <w:r>
                    <w:rPr>
                      <w:color w:val="auto"/>
                      <w:sz w:val="21"/>
                      <w:szCs w:val="21"/>
                      <w:highlight w:val="none"/>
                    </w:rPr>
                    <w:t>挖掘机</w:t>
                  </w:r>
                </w:p>
              </w:tc>
              <w:tc>
                <w:tcPr>
                  <w:tcW w:w="557" w:type="dxa"/>
                  <w:tcBorders>
                    <w:tl2br w:val="nil"/>
                    <w:tr2bl w:val="nil"/>
                  </w:tcBorders>
                  <w:noWrap w:val="0"/>
                  <w:vAlign w:val="center"/>
                </w:tcPr>
                <w:p w14:paraId="47C82492">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58 </w:t>
                  </w:r>
                </w:p>
              </w:tc>
              <w:tc>
                <w:tcPr>
                  <w:tcW w:w="557" w:type="dxa"/>
                  <w:tcBorders>
                    <w:tl2br w:val="nil"/>
                    <w:tr2bl w:val="nil"/>
                  </w:tcBorders>
                  <w:noWrap w:val="0"/>
                  <w:vAlign w:val="center"/>
                </w:tcPr>
                <w:p w14:paraId="18768A2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52 </w:t>
                  </w:r>
                </w:p>
              </w:tc>
              <w:tc>
                <w:tcPr>
                  <w:tcW w:w="557" w:type="dxa"/>
                  <w:tcBorders>
                    <w:tl2br w:val="nil"/>
                    <w:tr2bl w:val="nil"/>
                  </w:tcBorders>
                  <w:noWrap w:val="0"/>
                  <w:vAlign w:val="center"/>
                </w:tcPr>
                <w:p w14:paraId="0D666140">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16D001ED">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53503AA0">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35240369">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61AC09F7">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27A4F4BD">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564FE6C9">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noWrap w:val="0"/>
                  <w:vAlign w:val="center"/>
                </w:tcPr>
                <w:p w14:paraId="5EE44CC9">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071" w:type="dxa"/>
                  <w:vMerge w:val="restart"/>
                  <w:tcBorders>
                    <w:tl2br w:val="nil"/>
                    <w:tr2bl w:val="nil"/>
                  </w:tcBorders>
                  <w:noWrap w:val="0"/>
                  <w:vAlign w:val="center"/>
                </w:tcPr>
                <w:p w14:paraId="2C931A2B">
                  <w:pPr>
                    <w:pStyle w:val="35"/>
                    <w:bidi w:val="0"/>
                    <w:rPr>
                      <w:color w:val="auto"/>
                      <w:sz w:val="21"/>
                      <w:szCs w:val="21"/>
                      <w:highlight w:val="none"/>
                    </w:rPr>
                  </w:pPr>
                  <w:r>
                    <w:rPr>
                      <w:color w:val="auto"/>
                      <w:sz w:val="21"/>
                      <w:szCs w:val="21"/>
                      <w:highlight w:val="none"/>
                    </w:rPr>
                    <w:t>土石方</w:t>
                  </w:r>
                </w:p>
              </w:tc>
            </w:tr>
            <w:tr w14:paraId="697E9A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3BB7C6CA">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noWrap w:val="0"/>
                  <w:vAlign w:val="center"/>
                </w:tcPr>
                <w:p w14:paraId="1B3BD759">
                  <w:pPr>
                    <w:pStyle w:val="35"/>
                    <w:bidi w:val="0"/>
                    <w:rPr>
                      <w:color w:val="auto"/>
                      <w:sz w:val="21"/>
                      <w:szCs w:val="21"/>
                      <w:highlight w:val="none"/>
                    </w:rPr>
                  </w:pPr>
                  <w:r>
                    <w:rPr>
                      <w:rFonts w:hint="eastAsia"/>
                      <w:color w:val="auto"/>
                      <w:sz w:val="21"/>
                      <w:szCs w:val="21"/>
                      <w:highlight w:val="none"/>
                      <w:lang w:val="en-US" w:eastAsia="zh-CN"/>
                    </w:rPr>
                    <w:t>装载机</w:t>
                  </w:r>
                </w:p>
              </w:tc>
              <w:tc>
                <w:tcPr>
                  <w:tcW w:w="557" w:type="dxa"/>
                  <w:tcBorders>
                    <w:tl2br w:val="nil"/>
                    <w:tr2bl w:val="nil"/>
                  </w:tcBorders>
                  <w:noWrap w:val="0"/>
                  <w:vAlign w:val="center"/>
                </w:tcPr>
                <w:p w14:paraId="16C6218F">
                  <w:pPr>
                    <w:pStyle w:val="35"/>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68</w:t>
                  </w:r>
                </w:p>
              </w:tc>
              <w:tc>
                <w:tcPr>
                  <w:tcW w:w="557" w:type="dxa"/>
                  <w:tcBorders>
                    <w:tl2br w:val="nil"/>
                    <w:tr2bl w:val="nil"/>
                  </w:tcBorders>
                  <w:noWrap w:val="0"/>
                  <w:vAlign w:val="center"/>
                </w:tcPr>
                <w:p w14:paraId="751875AF">
                  <w:pPr>
                    <w:pStyle w:val="35"/>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62</w:t>
                  </w:r>
                </w:p>
              </w:tc>
              <w:tc>
                <w:tcPr>
                  <w:tcW w:w="557" w:type="dxa"/>
                  <w:tcBorders>
                    <w:tl2br w:val="nil"/>
                    <w:tr2bl w:val="nil"/>
                  </w:tcBorders>
                  <w:noWrap w:val="0"/>
                  <w:vAlign w:val="center"/>
                </w:tcPr>
                <w:p w14:paraId="2E8C2C23">
                  <w:pPr>
                    <w:pStyle w:val="35"/>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56</w:t>
                  </w:r>
                </w:p>
              </w:tc>
              <w:tc>
                <w:tcPr>
                  <w:tcW w:w="557" w:type="dxa"/>
                  <w:tcBorders>
                    <w:tl2br w:val="nil"/>
                    <w:tr2bl w:val="nil"/>
                  </w:tcBorders>
                  <w:noWrap w:val="0"/>
                  <w:vAlign w:val="center"/>
                </w:tcPr>
                <w:p w14:paraId="2377352D">
                  <w:pPr>
                    <w:pStyle w:val="35"/>
                    <w:bidi w:val="0"/>
                    <w:ind w:firstLine="0" w:firstLineChars="0"/>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52</w:t>
                  </w:r>
                </w:p>
              </w:tc>
              <w:tc>
                <w:tcPr>
                  <w:tcW w:w="557" w:type="dxa"/>
                  <w:tcBorders>
                    <w:tl2br w:val="nil"/>
                    <w:tr2bl w:val="nil"/>
                  </w:tcBorders>
                  <w:shd w:val="clear" w:color="auto" w:fill="auto"/>
                  <w:noWrap w:val="0"/>
                  <w:vAlign w:val="center"/>
                </w:tcPr>
                <w:p w14:paraId="7015845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2F40C4D5">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5A8095F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6810CEF4">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1758C55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shd w:val="clear" w:color="auto" w:fill="auto"/>
                  <w:noWrap w:val="0"/>
                  <w:vAlign w:val="center"/>
                </w:tcPr>
                <w:p w14:paraId="10A9667E">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1071" w:type="dxa"/>
                  <w:vMerge w:val="continue"/>
                  <w:tcBorders>
                    <w:tl2br w:val="nil"/>
                    <w:tr2bl w:val="nil"/>
                  </w:tcBorders>
                  <w:noWrap w:val="0"/>
                  <w:vAlign w:val="center"/>
                </w:tcPr>
                <w:p w14:paraId="65415A69">
                  <w:pPr>
                    <w:pStyle w:val="35"/>
                    <w:bidi w:val="0"/>
                    <w:rPr>
                      <w:color w:val="auto"/>
                      <w:sz w:val="21"/>
                      <w:szCs w:val="21"/>
                      <w:highlight w:val="none"/>
                    </w:rPr>
                  </w:pPr>
                </w:p>
              </w:tc>
            </w:tr>
            <w:tr w14:paraId="4E5343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4EDBFAD9">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noWrap w:val="0"/>
                  <w:vAlign w:val="center"/>
                </w:tcPr>
                <w:p w14:paraId="3D302607">
                  <w:pPr>
                    <w:pStyle w:val="35"/>
                    <w:bidi w:val="0"/>
                    <w:rPr>
                      <w:color w:val="auto"/>
                      <w:sz w:val="21"/>
                      <w:szCs w:val="21"/>
                      <w:highlight w:val="none"/>
                    </w:rPr>
                  </w:pPr>
                  <w:r>
                    <w:rPr>
                      <w:color w:val="auto"/>
                      <w:sz w:val="21"/>
                      <w:szCs w:val="21"/>
                      <w:highlight w:val="none"/>
                    </w:rPr>
                    <w:t>推土机</w:t>
                  </w:r>
                </w:p>
              </w:tc>
              <w:tc>
                <w:tcPr>
                  <w:tcW w:w="557" w:type="dxa"/>
                  <w:tcBorders>
                    <w:tl2br w:val="nil"/>
                    <w:tr2bl w:val="nil"/>
                  </w:tcBorders>
                  <w:noWrap w:val="0"/>
                  <w:vAlign w:val="center"/>
                </w:tcPr>
                <w:p w14:paraId="00C5C69E">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64 </w:t>
                  </w:r>
                </w:p>
              </w:tc>
              <w:tc>
                <w:tcPr>
                  <w:tcW w:w="557" w:type="dxa"/>
                  <w:tcBorders>
                    <w:tl2br w:val="nil"/>
                    <w:tr2bl w:val="nil"/>
                  </w:tcBorders>
                  <w:noWrap w:val="0"/>
                  <w:vAlign w:val="center"/>
                </w:tcPr>
                <w:p w14:paraId="162FD715">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58 </w:t>
                  </w:r>
                </w:p>
              </w:tc>
              <w:tc>
                <w:tcPr>
                  <w:tcW w:w="557" w:type="dxa"/>
                  <w:tcBorders>
                    <w:tl2br w:val="nil"/>
                    <w:tr2bl w:val="nil"/>
                  </w:tcBorders>
                  <w:noWrap w:val="0"/>
                  <w:vAlign w:val="center"/>
                </w:tcPr>
                <w:p w14:paraId="6471E414">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52 </w:t>
                  </w:r>
                </w:p>
              </w:tc>
              <w:tc>
                <w:tcPr>
                  <w:tcW w:w="557" w:type="dxa"/>
                  <w:tcBorders>
                    <w:tl2br w:val="nil"/>
                    <w:tr2bl w:val="nil"/>
                  </w:tcBorders>
                  <w:noWrap w:val="0"/>
                  <w:vAlign w:val="center"/>
                </w:tcPr>
                <w:p w14:paraId="3F46FC6A">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23A35D41">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6E35A1FE">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545C1F9C">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2282A9D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4F863249">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noWrap w:val="0"/>
                  <w:vAlign w:val="center"/>
                </w:tcPr>
                <w:p w14:paraId="454C1E04">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071" w:type="dxa"/>
                  <w:vMerge w:val="continue"/>
                  <w:tcBorders>
                    <w:tl2br w:val="nil"/>
                    <w:tr2bl w:val="nil"/>
                  </w:tcBorders>
                  <w:noWrap w:val="0"/>
                  <w:vAlign w:val="center"/>
                </w:tcPr>
                <w:p w14:paraId="6CBE3099">
                  <w:pPr>
                    <w:pStyle w:val="35"/>
                    <w:bidi w:val="0"/>
                    <w:rPr>
                      <w:color w:val="auto"/>
                      <w:sz w:val="21"/>
                      <w:szCs w:val="21"/>
                      <w:highlight w:val="none"/>
                    </w:rPr>
                  </w:pPr>
                </w:p>
              </w:tc>
            </w:tr>
            <w:tr w14:paraId="76A29E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2A7B454D">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shd w:val="clear" w:color="auto" w:fill="auto"/>
                  <w:noWrap w:val="0"/>
                  <w:vAlign w:val="center"/>
                </w:tcPr>
                <w:p w14:paraId="2E38BAB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压路机</w:t>
                  </w:r>
                </w:p>
              </w:tc>
              <w:tc>
                <w:tcPr>
                  <w:tcW w:w="557" w:type="dxa"/>
                  <w:tcBorders>
                    <w:tl2br w:val="nil"/>
                    <w:tr2bl w:val="nil"/>
                  </w:tcBorders>
                  <w:shd w:val="clear" w:color="auto" w:fill="auto"/>
                  <w:noWrap w:val="0"/>
                  <w:vAlign w:val="center"/>
                </w:tcPr>
                <w:p w14:paraId="7E9B2F1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70</w:t>
                  </w:r>
                </w:p>
              </w:tc>
              <w:tc>
                <w:tcPr>
                  <w:tcW w:w="557" w:type="dxa"/>
                  <w:tcBorders>
                    <w:tl2br w:val="nil"/>
                    <w:tr2bl w:val="nil"/>
                  </w:tcBorders>
                  <w:shd w:val="clear" w:color="auto" w:fill="auto"/>
                  <w:noWrap w:val="0"/>
                  <w:vAlign w:val="center"/>
                </w:tcPr>
                <w:p w14:paraId="5A601407">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cs="Times New Roman"/>
                      <w:color w:val="auto"/>
                      <w:sz w:val="21"/>
                      <w:szCs w:val="21"/>
                      <w:highlight w:val="none"/>
                      <w:lang w:val="en-US" w:eastAsia="zh-CN"/>
                    </w:rPr>
                    <w:t>64</w:t>
                  </w:r>
                </w:p>
              </w:tc>
              <w:tc>
                <w:tcPr>
                  <w:tcW w:w="557" w:type="dxa"/>
                  <w:tcBorders>
                    <w:tl2br w:val="nil"/>
                    <w:tr2bl w:val="nil"/>
                  </w:tcBorders>
                  <w:shd w:val="clear" w:color="auto" w:fill="auto"/>
                  <w:noWrap w:val="0"/>
                  <w:vAlign w:val="center"/>
                </w:tcPr>
                <w:p w14:paraId="4803DA1A">
                  <w:pPr>
                    <w:pStyle w:val="35"/>
                    <w:bidi w:val="0"/>
                    <w:ind w:firstLine="0" w:firstLineChars="0"/>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sz w:val="21"/>
                      <w:szCs w:val="21"/>
                      <w:highlight w:val="none"/>
                      <w:lang w:val="en-US" w:eastAsia="zh-CN"/>
                    </w:rPr>
                    <w:t>58</w:t>
                  </w:r>
                </w:p>
              </w:tc>
              <w:tc>
                <w:tcPr>
                  <w:tcW w:w="557" w:type="dxa"/>
                  <w:tcBorders>
                    <w:tl2br w:val="nil"/>
                    <w:tr2bl w:val="nil"/>
                  </w:tcBorders>
                  <w:shd w:val="clear" w:color="auto" w:fill="auto"/>
                  <w:noWrap w:val="0"/>
                  <w:vAlign w:val="center"/>
                </w:tcPr>
                <w:p w14:paraId="290A8939">
                  <w:pPr>
                    <w:pStyle w:val="35"/>
                    <w:bidi w:val="0"/>
                    <w:ind w:firstLine="0" w:firstLineChars="0"/>
                    <w:rPr>
                      <w:rFonts w:hint="default" w:ascii="Times New Roman" w:hAnsi="Times New Roman" w:eastAsia="宋体" w:cs="Times New Roman"/>
                      <w:color w:val="auto"/>
                      <w:kern w:val="1"/>
                      <w:sz w:val="21"/>
                      <w:szCs w:val="21"/>
                      <w:highlight w:val="none"/>
                      <w:lang w:val="en-US" w:eastAsia="zh-CN" w:bidi="ar-SA"/>
                    </w:rPr>
                  </w:pPr>
                  <w:r>
                    <w:rPr>
                      <w:rFonts w:hint="eastAsia" w:cs="Times New Roman"/>
                      <w:color w:val="auto"/>
                      <w:kern w:val="1"/>
                      <w:sz w:val="21"/>
                      <w:szCs w:val="21"/>
                      <w:highlight w:val="none"/>
                      <w:lang w:val="en-US" w:eastAsia="zh-CN" w:bidi="ar-SA"/>
                    </w:rPr>
                    <w:t>54</w:t>
                  </w:r>
                </w:p>
              </w:tc>
              <w:tc>
                <w:tcPr>
                  <w:tcW w:w="557" w:type="dxa"/>
                  <w:tcBorders>
                    <w:tl2br w:val="nil"/>
                    <w:tr2bl w:val="nil"/>
                  </w:tcBorders>
                  <w:shd w:val="clear" w:color="auto" w:fill="auto"/>
                  <w:noWrap w:val="0"/>
                  <w:vAlign w:val="center"/>
                </w:tcPr>
                <w:p w14:paraId="1B277752">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20A42911">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5865E7B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2297FB2A">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shd w:val="clear" w:color="auto" w:fill="auto"/>
                  <w:noWrap w:val="0"/>
                  <w:vAlign w:val="center"/>
                </w:tcPr>
                <w:p w14:paraId="6EC79A08">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shd w:val="clear" w:color="auto" w:fill="auto"/>
                  <w:noWrap w:val="0"/>
                  <w:vAlign w:val="center"/>
                </w:tcPr>
                <w:p w14:paraId="7F088D64">
                  <w:pPr>
                    <w:pStyle w:val="35"/>
                    <w:bidi w:val="0"/>
                    <w:ind w:firstLine="0" w:firstLineChars="0"/>
                    <w:rPr>
                      <w:rFonts w:hint="eastAsia" w:ascii="Times New Roman" w:hAnsi="Times New Roman" w:eastAsia="宋体" w:cs="Times New Roman"/>
                      <w:color w:val="auto"/>
                      <w:kern w:val="1"/>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w:t>
                  </w:r>
                </w:p>
              </w:tc>
              <w:tc>
                <w:tcPr>
                  <w:tcW w:w="1071" w:type="dxa"/>
                  <w:vMerge w:val="continue"/>
                  <w:tcBorders>
                    <w:tl2br w:val="nil"/>
                    <w:tr2bl w:val="nil"/>
                  </w:tcBorders>
                  <w:noWrap w:val="0"/>
                  <w:vAlign w:val="center"/>
                </w:tcPr>
                <w:p w14:paraId="2E6F66B1">
                  <w:pPr>
                    <w:pStyle w:val="35"/>
                    <w:bidi w:val="0"/>
                    <w:rPr>
                      <w:color w:val="auto"/>
                      <w:sz w:val="21"/>
                      <w:szCs w:val="21"/>
                      <w:highlight w:val="none"/>
                    </w:rPr>
                  </w:pPr>
                </w:p>
              </w:tc>
            </w:tr>
            <w:tr w14:paraId="62F438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506" w:type="dxa"/>
                  <w:tcBorders>
                    <w:tl2br w:val="nil"/>
                    <w:tr2bl w:val="nil"/>
                  </w:tcBorders>
                  <w:noWrap w:val="0"/>
                  <w:vAlign w:val="center"/>
                </w:tcPr>
                <w:p w14:paraId="79FB086D">
                  <w:pPr>
                    <w:pStyle w:val="35"/>
                    <w:numPr>
                      <w:ilvl w:val="0"/>
                      <w:numId w:val="28"/>
                    </w:numPr>
                    <w:bidi w:val="0"/>
                    <w:ind w:left="0" w:leftChars="0" w:firstLine="0" w:firstLineChars="0"/>
                    <w:rPr>
                      <w:color w:val="auto"/>
                      <w:sz w:val="21"/>
                      <w:szCs w:val="21"/>
                      <w:highlight w:val="none"/>
                    </w:rPr>
                  </w:pPr>
                </w:p>
              </w:tc>
              <w:tc>
                <w:tcPr>
                  <w:tcW w:w="956" w:type="dxa"/>
                  <w:tcBorders>
                    <w:tl2br w:val="nil"/>
                    <w:tr2bl w:val="nil"/>
                  </w:tcBorders>
                  <w:noWrap w:val="0"/>
                  <w:vAlign w:val="center"/>
                </w:tcPr>
                <w:p w14:paraId="78D11A2E">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rFonts w:hint="eastAsia" w:eastAsia="宋体"/>
                      <w:color w:val="auto"/>
                      <w:sz w:val="21"/>
                      <w:szCs w:val="21"/>
                      <w:highlight w:val="none"/>
                      <w:lang w:val="en-US" w:eastAsia="zh-CN"/>
                    </w:rPr>
                    <w:t>运输车辆</w:t>
                  </w:r>
                </w:p>
              </w:tc>
              <w:tc>
                <w:tcPr>
                  <w:tcW w:w="557" w:type="dxa"/>
                  <w:tcBorders>
                    <w:tl2br w:val="nil"/>
                    <w:tr2bl w:val="nil"/>
                  </w:tcBorders>
                  <w:noWrap w:val="0"/>
                  <w:vAlign w:val="center"/>
                </w:tcPr>
                <w:p w14:paraId="2E4A9868">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66 </w:t>
                  </w:r>
                </w:p>
              </w:tc>
              <w:tc>
                <w:tcPr>
                  <w:tcW w:w="557" w:type="dxa"/>
                  <w:tcBorders>
                    <w:tl2br w:val="nil"/>
                    <w:tr2bl w:val="nil"/>
                  </w:tcBorders>
                  <w:noWrap w:val="0"/>
                  <w:vAlign w:val="center"/>
                </w:tcPr>
                <w:p w14:paraId="273C8E0D">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60 </w:t>
                  </w:r>
                </w:p>
              </w:tc>
              <w:tc>
                <w:tcPr>
                  <w:tcW w:w="557" w:type="dxa"/>
                  <w:tcBorders>
                    <w:tl2br w:val="nil"/>
                    <w:tr2bl w:val="nil"/>
                  </w:tcBorders>
                  <w:noWrap w:val="0"/>
                  <w:vAlign w:val="center"/>
                </w:tcPr>
                <w:p w14:paraId="103A0164">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54 </w:t>
                  </w:r>
                </w:p>
              </w:tc>
              <w:tc>
                <w:tcPr>
                  <w:tcW w:w="557" w:type="dxa"/>
                  <w:tcBorders>
                    <w:tl2br w:val="nil"/>
                    <w:tr2bl w:val="nil"/>
                  </w:tcBorders>
                  <w:noWrap w:val="0"/>
                  <w:vAlign w:val="center"/>
                </w:tcPr>
                <w:p w14:paraId="579AC268">
                  <w:pPr>
                    <w:pStyle w:val="35"/>
                    <w:bidi w:val="0"/>
                    <w:ind w:firstLine="0" w:firstLineChars="0"/>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5AE6E381">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38B502F7">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08CE7C5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0C5E7858">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57" w:type="dxa"/>
                  <w:tcBorders>
                    <w:tl2br w:val="nil"/>
                    <w:tr2bl w:val="nil"/>
                  </w:tcBorders>
                  <w:noWrap w:val="0"/>
                  <w:vAlign w:val="center"/>
                </w:tcPr>
                <w:p w14:paraId="20C0BE7D">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noWrap w:val="0"/>
                  <w:vAlign w:val="center"/>
                </w:tcPr>
                <w:p w14:paraId="402B052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071" w:type="dxa"/>
                  <w:tcBorders>
                    <w:tl2br w:val="nil"/>
                    <w:tr2bl w:val="nil"/>
                  </w:tcBorders>
                  <w:noWrap w:val="0"/>
                  <w:vAlign w:val="center"/>
                </w:tcPr>
                <w:p w14:paraId="64358B8F">
                  <w:pPr>
                    <w:pStyle w:val="35"/>
                    <w:keepNext w:val="0"/>
                    <w:keepLines w:val="0"/>
                    <w:pageBreakBefore w:val="0"/>
                    <w:widowControl w:val="0"/>
                    <w:kinsoku/>
                    <w:wordWrap/>
                    <w:overflowPunct/>
                    <w:topLinePunct w:val="0"/>
                    <w:autoSpaceDE/>
                    <w:autoSpaceDN/>
                    <w:bidi w:val="0"/>
                    <w:adjustRightInd/>
                    <w:snapToGrid/>
                    <w:spacing w:before="0" w:after="0"/>
                    <w:textAlignment w:val="auto"/>
                    <w:rPr>
                      <w:color w:val="auto"/>
                      <w:sz w:val="21"/>
                      <w:szCs w:val="21"/>
                      <w:highlight w:val="none"/>
                    </w:rPr>
                  </w:pPr>
                  <w:r>
                    <w:rPr>
                      <w:rFonts w:eastAsia="宋体"/>
                      <w:color w:val="auto"/>
                      <w:sz w:val="21"/>
                      <w:szCs w:val="21"/>
                      <w:highlight w:val="none"/>
                    </w:rPr>
                    <w:t>运料、装修</w:t>
                  </w:r>
                </w:p>
              </w:tc>
            </w:tr>
            <w:tr w14:paraId="467BC0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90" w:hRule="atLeast"/>
                <w:jc w:val="center"/>
              </w:trPr>
              <w:tc>
                <w:tcPr>
                  <w:tcW w:w="506" w:type="dxa"/>
                  <w:tcBorders>
                    <w:tl2br w:val="nil"/>
                    <w:tr2bl w:val="nil"/>
                  </w:tcBorders>
                  <w:noWrap w:val="0"/>
                  <w:vAlign w:val="center"/>
                </w:tcPr>
                <w:p w14:paraId="3F20AD49">
                  <w:pPr>
                    <w:pStyle w:val="35"/>
                    <w:keepNext w:val="0"/>
                    <w:keepLines w:val="0"/>
                    <w:pageBreakBefore w:val="0"/>
                    <w:widowControl w:val="0"/>
                    <w:numPr>
                      <w:ilvl w:val="0"/>
                      <w:numId w:val="28"/>
                    </w:numPr>
                    <w:kinsoku/>
                    <w:wordWrap/>
                    <w:overflowPunct/>
                    <w:topLinePunct w:val="0"/>
                    <w:autoSpaceDE/>
                    <w:autoSpaceDN/>
                    <w:bidi w:val="0"/>
                    <w:adjustRightInd/>
                    <w:snapToGrid/>
                    <w:spacing w:before="0" w:after="0"/>
                    <w:ind w:left="0" w:leftChars="0" w:firstLine="0" w:firstLineChars="0"/>
                    <w:textAlignment w:val="auto"/>
                    <w:rPr>
                      <w:rFonts w:hint="eastAsia" w:ascii="Times New Roman" w:hAnsi="Times New Roman" w:eastAsia="宋体" w:cs="Times New Roman"/>
                      <w:color w:val="auto"/>
                      <w:kern w:val="1"/>
                      <w:sz w:val="21"/>
                      <w:szCs w:val="21"/>
                      <w:highlight w:val="none"/>
                      <w:lang w:val="en-US" w:eastAsia="zh-CN" w:bidi="ar-SA"/>
                    </w:rPr>
                  </w:pPr>
                </w:p>
              </w:tc>
              <w:tc>
                <w:tcPr>
                  <w:tcW w:w="956" w:type="dxa"/>
                  <w:tcBorders>
                    <w:tl2br w:val="nil"/>
                    <w:tr2bl w:val="nil"/>
                  </w:tcBorders>
                  <w:noWrap w:val="0"/>
                  <w:vAlign w:val="center"/>
                </w:tcPr>
                <w:p w14:paraId="7468455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color w:val="auto"/>
                      <w:sz w:val="21"/>
                      <w:szCs w:val="21"/>
                      <w:highlight w:val="none"/>
                    </w:rPr>
                  </w:pPr>
                  <w:r>
                    <w:rPr>
                      <w:color w:val="auto"/>
                      <w:sz w:val="21"/>
                      <w:szCs w:val="21"/>
                      <w:highlight w:val="none"/>
                    </w:rPr>
                    <w:t>低频环保</w:t>
                  </w:r>
                  <w:r>
                    <w:rPr>
                      <w:rFonts w:hint="eastAsia"/>
                      <w:color w:val="auto"/>
                      <w:sz w:val="21"/>
                      <w:szCs w:val="21"/>
                      <w:highlight w:val="none"/>
                      <w:lang w:val="en-US" w:eastAsia="zh-CN"/>
                    </w:rPr>
                    <w:t>型</w:t>
                  </w:r>
                  <w:r>
                    <w:rPr>
                      <w:color w:val="auto"/>
                      <w:sz w:val="21"/>
                      <w:szCs w:val="21"/>
                      <w:highlight w:val="none"/>
                    </w:rPr>
                    <w:t>振捣器</w:t>
                  </w:r>
                </w:p>
              </w:tc>
              <w:tc>
                <w:tcPr>
                  <w:tcW w:w="557" w:type="dxa"/>
                  <w:tcBorders>
                    <w:tl2br w:val="nil"/>
                    <w:tr2bl w:val="nil"/>
                  </w:tcBorders>
                  <w:noWrap w:val="0"/>
                  <w:vAlign w:val="center"/>
                </w:tcPr>
                <w:p w14:paraId="1B918C6B">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86 </w:t>
                  </w:r>
                </w:p>
              </w:tc>
              <w:tc>
                <w:tcPr>
                  <w:tcW w:w="557" w:type="dxa"/>
                  <w:tcBorders>
                    <w:tl2br w:val="nil"/>
                    <w:tr2bl w:val="nil"/>
                  </w:tcBorders>
                  <w:noWrap w:val="0"/>
                  <w:vAlign w:val="center"/>
                </w:tcPr>
                <w:p w14:paraId="2AF217DC">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80 </w:t>
                  </w:r>
                </w:p>
              </w:tc>
              <w:tc>
                <w:tcPr>
                  <w:tcW w:w="557" w:type="dxa"/>
                  <w:tcBorders>
                    <w:tl2br w:val="nil"/>
                    <w:tr2bl w:val="nil"/>
                  </w:tcBorders>
                  <w:noWrap w:val="0"/>
                  <w:vAlign w:val="center"/>
                </w:tcPr>
                <w:p w14:paraId="70CA58E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74 </w:t>
                  </w:r>
                </w:p>
              </w:tc>
              <w:tc>
                <w:tcPr>
                  <w:tcW w:w="557" w:type="dxa"/>
                  <w:tcBorders>
                    <w:tl2br w:val="nil"/>
                    <w:tr2bl w:val="nil"/>
                  </w:tcBorders>
                  <w:noWrap w:val="0"/>
                  <w:vAlign w:val="center"/>
                </w:tcPr>
                <w:p w14:paraId="4B2CB870">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70 </w:t>
                  </w:r>
                </w:p>
              </w:tc>
              <w:tc>
                <w:tcPr>
                  <w:tcW w:w="557" w:type="dxa"/>
                  <w:tcBorders>
                    <w:tl2br w:val="nil"/>
                    <w:tr2bl w:val="nil"/>
                  </w:tcBorders>
                  <w:noWrap w:val="0"/>
                  <w:vAlign w:val="center"/>
                </w:tcPr>
                <w:p w14:paraId="2EC72E6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68 </w:t>
                  </w:r>
                </w:p>
              </w:tc>
              <w:tc>
                <w:tcPr>
                  <w:tcW w:w="557" w:type="dxa"/>
                  <w:tcBorders>
                    <w:tl2br w:val="nil"/>
                    <w:tr2bl w:val="nil"/>
                  </w:tcBorders>
                  <w:noWrap w:val="0"/>
                  <w:vAlign w:val="center"/>
                </w:tcPr>
                <w:p w14:paraId="31CEE702">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66 </w:t>
                  </w:r>
                </w:p>
              </w:tc>
              <w:tc>
                <w:tcPr>
                  <w:tcW w:w="557" w:type="dxa"/>
                  <w:tcBorders>
                    <w:tl2br w:val="nil"/>
                    <w:tr2bl w:val="nil"/>
                  </w:tcBorders>
                  <w:noWrap w:val="0"/>
                  <w:vAlign w:val="center"/>
                </w:tcPr>
                <w:p w14:paraId="5672CE82">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60 </w:t>
                  </w:r>
                </w:p>
              </w:tc>
              <w:tc>
                <w:tcPr>
                  <w:tcW w:w="557" w:type="dxa"/>
                  <w:tcBorders>
                    <w:tl2br w:val="nil"/>
                    <w:tr2bl w:val="nil"/>
                  </w:tcBorders>
                  <w:noWrap w:val="0"/>
                  <w:vAlign w:val="center"/>
                </w:tcPr>
                <w:p w14:paraId="6026FFE2">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54 </w:t>
                  </w:r>
                </w:p>
              </w:tc>
              <w:tc>
                <w:tcPr>
                  <w:tcW w:w="557" w:type="dxa"/>
                  <w:tcBorders>
                    <w:tl2br w:val="nil"/>
                    <w:tr2bl w:val="nil"/>
                  </w:tcBorders>
                  <w:noWrap w:val="0"/>
                  <w:vAlign w:val="center"/>
                </w:tcPr>
                <w:p w14:paraId="2A7D9654">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561" w:type="dxa"/>
                  <w:tcBorders>
                    <w:tl2br w:val="nil"/>
                    <w:tr2bl w:val="nil"/>
                  </w:tcBorders>
                  <w:noWrap w:val="0"/>
                  <w:vAlign w:val="center"/>
                </w:tcPr>
                <w:p w14:paraId="633279E3">
                  <w:pPr>
                    <w:pStyle w:val="35"/>
                    <w:bidi w:val="0"/>
                    <w:ind w:firstLine="0" w:firstLineChars="0"/>
                    <w:rPr>
                      <w:rFonts w:ascii="Times New Roman" w:hAnsi="Times New Roman" w:eastAsia="宋体" w:cs="Times New Roman"/>
                      <w:color w:val="auto"/>
                      <w:sz w:val="21"/>
                      <w:szCs w:val="21"/>
                      <w:highlight w:val="none"/>
                    </w:rPr>
                  </w:pPr>
                  <w:r>
                    <w:rPr>
                      <w:rFonts w:hint="eastAsia" w:ascii="Times New Roman" w:hAnsi="Times New Roman" w:cs="Times New Roman"/>
                      <w:color w:val="auto"/>
                      <w:sz w:val="21"/>
                      <w:szCs w:val="21"/>
                      <w:highlight w:val="none"/>
                      <w:lang w:val="en-US" w:eastAsia="zh-CN"/>
                    </w:rPr>
                    <w:t>/</w:t>
                  </w:r>
                </w:p>
              </w:tc>
              <w:tc>
                <w:tcPr>
                  <w:tcW w:w="1071" w:type="dxa"/>
                  <w:tcBorders>
                    <w:tl2br w:val="nil"/>
                    <w:tr2bl w:val="nil"/>
                  </w:tcBorders>
                  <w:noWrap w:val="0"/>
                  <w:vAlign w:val="center"/>
                </w:tcPr>
                <w:p w14:paraId="5F0EE6FA">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color w:val="auto"/>
                      <w:sz w:val="21"/>
                      <w:szCs w:val="21"/>
                      <w:highlight w:val="none"/>
                    </w:rPr>
                  </w:pPr>
                  <w:r>
                    <w:rPr>
                      <w:color w:val="auto"/>
                      <w:sz w:val="21"/>
                      <w:szCs w:val="21"/>
                      <w:highlight w:val="none"/>
                    </w:rPr>
                    <w:t>结构</w:t>
                  </w:r>
                </w:p>
              </w:tc>
            </w:tr>
          </w:tbl>
          <w:p w14:paraId="7D1DB24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根据</w:t>
            </w:r>
            <w:r>
              <w:rPr>
                <w:rFonts w:hint="eastAsia"/>
                <w:color w:val="auto"/>
                <w:sz w:val="24"/>
                <w:szCs w:val="24"/>
                <w:highlight w:val="none"/>
                <w:lang w:val="zh-CN"/>
              </w:rPr>
              <w:t>《建筑施工噪声排放标准》（GB12523-2025）</w:t>
            </w:r>
            <w:r>
              <w:rPr>
                <w:color w:val="auto"/>
                <w:sz w:val="24"/>
                <w:szCs w:val="24"/>
                <w:highlight w:val="none"/>
              </w:rPr>
              <w:t>中有关规定，由</w:t>
            </w:r>
            <w:r>
              <w:rPr>
                <w:rFonts w:hint="eastAsia"/>
                <w:color w:val="auto"/>
                <w:sz w:val="24"/>
                <w:szCs w:val="24"/>
                <w:highlight w:val="none"/>
              </w:rPr>
              <w:t>上</w:t>
            </w:r>
            <w:r>
              <w:rPr>
                <w:color w:val="auto"/>
                <w:sz w:val="24"/>
                <w:szCs w:val="24"/>
                <w:highlight w:val="none"/>
              </w:rPr>
              <w:t>表可以看出：</w:t>
            </w:r>
          </w:p>
          <w:p w14:paraId="1B597C5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①土石方施工阶段：施工现场昼间</w:t>
            </w:r>
            <w:r>
              <w:rPr>
                <w:rFonts w:hint="eastAsia"/>
                <w:color w:val="auto"/>
                <w:sz w:val="24"/>
                <w:szCs w:val="24"/>
                <w:highlight w:val="none"/>
                <w:lang w:val="en-US" w:eastAsia="zh-CN"/>
              </w:rPr>
              <w:t>5</w:t>
            </w:r>
            <w:r>
              <w:rPr>
                <w:color w:val="auto"/>
                <w:sz w:val="24"/>
                <w:szCs w:val="24"/>
                <w:highlight w:val="none"/>
              </w:rPr>
              <w:t>m处，夜间</w:t>
            </w:r>
            <w:r>
              <w:rPr>
                <w:rFonts w:hint="eastAsia"/>
                <w:color w:val="auto"/>
                <w:sz w:val="24"/>
                <w:szCs w:val="24"/>
                <w:highlight w:val="none"/>
                <w:lang w:val="en-US" w:eastAsia="zh-CN"/>
              </w:rPr>
              <w:t>3</w:t>
            </w:r>
            <w:r>
              <w:rPr>
                <w:color w:val="auto"/>
                <w:sz w:val="24"/>
                <w:szCs w:val="24"/>
                <w:highlight w:val="none"/>
              </w:rPr>
              <w:t>0m处即可达到</w:t>
            </w:r>
            <w:r>
              <w:rPr>
                <w:rFonts w:hint="eastAsia"/>
                <w:color w:val="auto"/>
                <w:sz w:val="24"/>
                <w:szCs w:val="24"/>
                <w:highlight w:val="none"/>
                <w:lang w:eastAsia="zh-CN"/>
              </w:rPr>
              <w:t>《建筑施工噪声排放标准》（GB12523-2025）</w:t>
            </w:r>
            <w:r>
              <w:rPr>
                <w:color w:val="auto"/>
                <w:sz w:val="24"/>
                <w:szCs w:val="24"/>
                <w:highlight w:val="none"/>
              </w:rPr>
              <w:t>要求，即：昼间70dB（A）、夜间55dB（A）。</w:t>
            </w:r>
          </w:p>
          <w:p w14:paraId="3803A77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②结构</w:t>
            </w:r>
            <w:r>
              <w:rPr>
                <w:rFonts w:hint="eastAsia"/>
                <w:color w:val="auto"/>
                <w:sz w:val="24"/>
                <w:szCs w:val="24"/>
                <w:highlight w:val="none"/>
                <w:lang w:val="en-US" w:eastAsia="zh-CN"/>
              </w:rPr>
              <w:t>和装修</w:t>
            </w:r>
            <w:r>
              <w:rPr>
                <w:color w:val="auto"/>
                <w:sz w:val="24"/>
                <w:szCs w:val="24"/>
                <w:highlight w:val="none"/>
              </w:rPr>
              <w:t>施工阶段：施工现场昼间</w:t>
            </w:r>
            <w:r>
              <w:rPr>
                <w:rFonts w:hint="eastAsia"/>
                <w:color w:val="auto"/>
                <w:sz w:val="24"/>
                <w:szCs w:val="24"/>
                <w:highlight w:val="none"/>
                <w:lang w:val="en-US" w:eastAsia="zh-CN"/>
              </w:rPr>
              <w:t>30</w:t>
            </w:r>
            <w:r>
              <w:rPr>
                <w:color w:val="auto"/>
                <w:sz w:val="24"/>
                <w:szCs w:val="24"/>
                <w:highlight w:val="none"/>
              </w:rPr>
              <w:t>m处，夜间2</w:t>
            </w:r>
            <w:r>
              <w:rPr>
                <w:rFonts w:hint="eastAsia"/>
                <w:color w:val="auto"/>
                <w:sz w:val="24"/>
                <w:szCs w:val="24"/>
                <w:highlight w:val="none"/>
                <w:lang w:val="en-US" w:eastAsia="zh-CN"/>
              </w:rPr>
              <w:t>0</w:t>
            </w:r>
            <w:r>
              <w:rPr>
                <w:color w:val="auto"/>
                <w:sz w:val="24"/>
                <w:szCs w:val="24"/>
                <w:highlight w:val="none"/>
              </w:rPr>
              <w:t>0m处可达到</w:t>
            </w:r>
            <w:r>
              <w:rPr>
                <w:rFonts w:hint="eastAsia"/>
                <w:color w:val="auto"/>
                <w:sz w:val="24"/>
                <w:szCs w:val="24"/>
                <w:highlight w:val="none"/>
                <w:lang w:eastAsia="zh-CN"/>
              </w:rPr>
              <w:t>《建筑施工噪声排放标准》（GB12523-2025）</w:t>
            </w:r>
            <w:r>
              <w:rPr>
                <w:color w:val="auto"/>
                <w:sz w:val="24"/>
                <w:szCs w:val="24"/>
                <w:highlight w:val="none"/>
              </w:rPr>
              <w:t>要求，即昼间70dB（A）、夜间55dB（A）。</w:t>
            </w:r>
          </w:p>
          <w:p w14:paraId="7FC81CA2">
            <w:pPr>
              <w:pStyle w:val="11"/>
              <w:keepNext w:val="0"/>
              <w:keepLines w:val="0"/>
              <w:pageBreakBefore w:val="0"/>
              <w:widowControl w:val="0"/>
              <w:kinsoku/>
              <w:wordWrap/>
              <w:overflowPunct/>
              <w:topLinePunct w:val="0"/>
              <w:autoSpaceDE/>
              <w:autoSpaceDN/>
              <w:bidi w:val="0"/>
              <w:adjustRightInd/>
              <w:snapToGrid/>
              <w:jc w:val="both"/>
              <w:textAlignment w:val="auto"/>
              <w:rPr>
                <w:color w:val="auto"/>
                <w:sz w:val="24"/>
                <w:szCs w:val="24"/>
                <w:highlight w:val="none"/>
              </w:rPr>
            </w:pPr>
            <w:r>
              <w:rPr>
                <w:rFonts w:hint="eastAsia"/>
                <w:color w:val="auto"/>
                <w:highlight w:val="none"/>
                <w:lang w:val="en-US" w:eastAsia="zh-CN"/>
              </w:rPr>
              <w:t>本项目夜间不施工，施工期</w:t>
            </w:r>
            <w:r>
              <w:rPr>
                <w:color w:val="auto"/>
                <w:sz w:val="24"/>
                <w:szCs w:val="24"/>
                <w:highlight w:val="none"/>
              </w:rPr>
              <w:t>噪声影响范围主要在</w:t>
            </w:r>
            <w:r>
              <w:rPr>
                <w:rFonts w:hint="eastAsia"/>
                <w:color w:val="auto"/>
                <w:sz w:val="24"/>
                <w:szCs w:val="24"/>
                <w:highlight w:val="none"/>
                <w:lang w:val="en-US" w:eastAsia="zh-CN"/>
              </w:rPr>
              <w:t>100</w:t>
            </w:r>
            <w:r>
              <w:rPr>
                <w:color w:val="auto"/>
                <w:sz w:val="24"/>
                <w:szCs w:val="24"/>
                <w:highlight w:val="none"/>
              </w:rPr>
              <w:t>m以内，噪声为暂时性的，影响短暂、范围小，随着施工的结束而消除。</w:t>
            </w:r>
          </w:p>
          <w:p w14:paraId="5CC36FE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（2）施工机械噪声对周围</w:t>
            </w:r>
            <w:r>
              <w:rPr>
                <w:rFonts w:hint="eastAsia"/>
                <w:color w:val="auto"/>
                <w:sz w:val="24"/>
                <w:szCs w:val="24"/>
                <w:highlight w:val="none"/>
                <w:lang w:val="en-US" w:eastAsia="zh-CN"/>
              </w:rPr>
              <w:t>环境保护目标</w:t>
            </w:r>
            <w:r>
              <w:rPr>
                <w:color w:val="auto"/>
                <w:sz w:val="24"/>
                <w:szCs w:val="24"/>
                <w:highlight w:val="none"/>
              </w:rPr>
              <w:t>的影响分析</w:t>
            </w:r>
          </w:p>
          <w:p w14:paraId="3A9BB09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color w:val="auto"/>
                <w:highlight w:val="none"/>
                <w:lang w:val="zh-CN"/>
              </w:rPr>
            </w:pPr>
            <w:r>
              <w:rPr>
                <w:color w:val="auto"/>
                <w:sz w:val="24"/>
                <w:szCs w:val="24"/>
                <w:highlight w:val="none"/>
              </w:rPr>
              <w:t>根据现场踏勘可知，本项目</w:t>
            </w:r>
            <w:r>
              <w:rPr>
                <w:rFonts w:hint="eastAsia"/>
                <w:color w:val="auto"/>
                <w:sz w:val="24"/>
                <w:szCs w:val="24"/>
                <w:highlight w:val="none"/>
                <w:lang w:val="en-US" w:eastAsia="zh-CN"/>
              </w:rPr>
              <w:t>10</w:t>
            </w:r>
            <w:r>
              <w:rPr>
                <w:color w:val="auto"/>
                <w:sz w:val="24"/>
                <w:szCs w:val="24"/>
                <w:highlight w:val="none"/>
              </w:rPr>
              <w:t>0m范围内</w:t>
            </w:r>
            <w:r>
              <w:rPr>
                <w:rFonts w:hint="eastAsia"/>
                <w:color w:val="auto"/>
                <w:sz w:val="24"/>
                <w:szCs w:val="24"/>
                <w:highlight w:val="none"/>
                <w:lang w:val="en-US" w:eastAsia="zh-CN"/>
              </w:rPr>
              <w:t>无声环境保护目标</w:t>
            </w:r>
            <w:r>
              <w:rPr>
                <w:rFonts w:hint="eastAsia"/>
                <w:color w:val="auto"/>
                <w:highlight w:val="none"/>
                <w:lang w:val="en-US" w:eastAsia="zh-CN"/>
              </w:rPr>
              <w:t>，</w:t>
            </w:r>
            <w:r>
              <w:rPr>
                <w:rFonts w:hint="eastAsia" w:eastAsia="宋体"/>
                <w:color w:val="auto"/>
                <w:sz w:val="24"/>
                <w:szCs w:val="24"/>
                <w:highlight w:val="none"/>
                <w:lang w:val="en-US" w:eastAsia="zh-CN"/>
              </w:rPr>
              <w:t>因此，项目建设过程产生的噪声不会对其产生影响。</w:t>
            </w:r>
          </w:p>
          <w:p w14:paraId="60A80DB4">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b/>
                <w:bCs/>
                <w:color w:val="auto"/>
                <w:sz w:val="24"/>
                <w:szCs w:val="24"/>
                <w:highlight w:val="none"/>
              </w:rPr>
            </w:pPr>
            <w:r>
              <w:rPr>
                <w:b/>
                <w:bCs/>
                <w:color w:val="auto"/>
                <w:sz w:val="24"/>
                <w:szCs w:val="24"/>
                <w:highlight w:val="none"/>
              </w:rPr>
              <w:t>3.3施工期噪声防护措施</w:t>
            </w:r>
          </w:p>
          <w:p w14:paraId="6A14903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highlight w:val="none"/>
                <w:lang w:val="zh-CN"/>
              </w:rPr>
            </w:pPr>
            <w:r>
              <w:rPr>
                <w:color w:val="auto"/>
                <w:sz w:val="24"/>
                <w:szCs w:val="24"/>
                <w:highlight w:val="none"/>
              </w:rPr>
              <w:t>噪声防护措施通常有两种：一是降低噪声源；二是控制传播途径。</w:t>
            </w:r>
            <w:r>
              <w:rPr>
                <w:rFonts w:hint="eastAsia"/>
                <w:color w:val="auto"/>
                <w:highlight w:val="none"/>
              </w:rPr>
              <w:t>为最大限度避免和减轻施工噪声对外环境的影响</w:t>
            </w:r>
            <w:r>
              <w:rPr>
                <w:rFonts w:hint="eastAsia"/>
                <w:color w:val="auto"/>
                <w:highlight w:val="none"/>
                <w:lang w:eastAsia="zh-CN"/>
              </w:rPr>
              <w:t>，</w:t>
            </w:r>
            <w:r>
              <w:rPr>
                <w:rFonts w:hint="eastAsia"/>
                <w:color w:val="auto"/>
                <w:highlight w:val="none"/>
              </w:rPr>
              <w:t>本评价对施工噪声的控制提出以下要求和建议：</w:t>
            </w:r>
          </w:p>
          <w:p w14:paraId="68337719">
            <w:pPr>
              <w:bidi w:val="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default"/>
                <w:color w:val="auto"/>
                <w:sz w:val="24"/>
                <w:szCs w:val="24"/>
                <w:highlight w:val="none"/>
                <w:lang w:val="zh-CN"/>
              </w:rPr>
              <w:t>选用符合国家标准的低噪声设备，</w:t>
            </w:r>
            <w:r>
              <w:rPr>
                <w:rFonts w:hint="eastAsia"/>
                <w:color w:val="auto"/>
                <w:highlight w:val="none"/>
              </w:rPr>
              <w:t>对各种机械设备加强检查、维护和保养，保持润滑，紧固各部件，严格按操作规程使用各类机械</w:t>
            </w:r>
            <w:r>
              <w:rPr>
                <w:rFonts w:hint="eastAsia"/>
                <w:color w:val="auto"/>
                <w:highlight w:val="none"/>
                <w:lang w:eastAsia="zh-CN"/>
              </w:rPr>
              <w:t>，</w:t>
            </w:r>
            <w:r>
              <w:rPr>
                <w:rFonts w:hint="eastAsia"/>
                <w:color w:val="auto"/>
                <w:highlight w:val="none"/>
              </w:rPr>
              <w:t>以减少机械运行振动噪声。</w:t>
            </w:r>
          </w:p>
          <w:p w14:paraId="336250F4">
            <w:pPr>
              <w:bidi w:val="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合理安排施工进度，对施工设备进行合理布局，</w:t>
            </w:r>
            <w:r>
              <w:rPr>
                <w:rFonts w:hint="eastAsia"/>
                <w:color w:val="auto"/>
                <w:highlight w:val="none"/>
              </w:rPr>
              <w:t>将高噪声施工设备分散安排，</w:t>
            </w:r>
            <w:r>
              <w:rPr>
                <w:rFonts w:hint="eastAsia"/>
                <w:color w:val="auto"/>
                <w:highlight w:val="none"/>
                <w:lang w:val="en-US" w:eastAsia="zh-CN"/>
              </w:rPr>
              <w:t>并设置不小于1.8m高的围挡，</w:t>
            </w:r>
            <w:r>
              <w:rPr>
                <w:rFonts w:hint="eastAsia"/>
                <w:color w:val="auto"/>
                <w:highlight w:val="none"/>
              </w:rPr>
              <w:t>以减少施工噪声对</w:t>
            </w:r>
            <w:r>
              <w:rPr>
                <w:rFonts w:hint="eastAsia"/>
                <w:color w:val="auto"/>
                <w:highlight w:val="none"/>
                <w:lang w:val="en-US" w:eastAsia="zh-CN"/>
              </w:rPr>
              <w:t>环境保护目标</w:t>
            </w:r>
            <w:r>
              <w:rPr>
                <w:rFonts w:hint="eastAsia"/>
                <w:color w:val="auto"/>
                <w:highlight w:val="none"/>
              </w:rPr>
              <w:t>的影响。</w:t>
            </w:r>
          </w:p>
          <w:p w14:paraId="3CFB23AD">
            <w:pPr>
              <w:bidi w:val="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合理安排施工时间，中午和夜间禁止施工。</w:t>
            </w:r>
          </w:p>
          <w:p w14:paraId="7C96FDE8">
            <w:pPr>
              <w:bidi w:val="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rPr>
              <w:t>各运输建筑材料及建筑垃圾的车辆要选择合适的时间、路线进行运输，运输车辆行驶路线尽量避开居民点和</w:t>
            </w:r>
            <w:r>
              <w:rPr>
                <w:rFonts w:hint="eastAsia"/>
                <w:color w:val="auto"/>
                <w:highlight w:val="none"/>
                <w:lang w:val="en-US" w:eastAsia="zh-CN"/>
              </w:rPr>
              <w:t>环境保护目标</w:t>
            </w:r>
            <w:r>
              <w:rPr>
                <w:rFonts w:hint="eastAsia"/>
                <w:color w:val="auto"/>
                <w:highlight w:val="none"/>
              </w:rPr>
              <w:t>，车辆出入现场时应低速、禁鸣。</w:t>
            </w:r>
          </w:p>
          <w:p w14:paraId="234BBB5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w:t>
            </w:r>
            <w:r>
              <w:rPr>
                <w:rFonts w:hint="default"/>
                <w:color w:val="auto"/>
                <w:sz w:val="24"/>
                <w:szCs w:val="24"/>
                <w:highlight w:val="none"/>
                <w:lang w:val="zh-CN"/>
              </w:rPr>
              <w:t>加强施工管理，</w:t>
            </w:r>
            <w:r>
              <w:rPr>
                <w:rFonts w:hint="eastAsia"/>
                <w:color w:val="auto"/>
                <w:highlight w:val="none"/>
              </w:rPr>
              <w:t>文明施工，建立健全控制人为噪声的管理制度，增强施工人员的环保意识，提高防止噪声扰民的自觉性，减少人为噪声污染；在施工现场以及办公区，禁止大声喧哗吵闹或敲击工具等；作业中搬运物件，须轻拿轻放，钢铁件堆放不发出大的声响，严禁抛掷物件。</w:t>
            </w:r>
          </w:p>
          <w:p w14:paraId="12868FB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经上述措施，可有效控制噪声对周围环境的影响。并且施工期噪声的影响是暂时的、局部的，采取一定的降噪措施、妥善安排作业计划、做到文明施工，其影响程度将大大减轻并随着施工期的结束而消失。</w:t>
            </w:r>
          </w:p>
          <w:p w14:paraId="0388B575">
            <w:pPr>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b/>
                <w:bCs/>
                <w:color w:val="auto"/>
                <w:sz w:val="24"/>
                <w:szCs w:val="24"/>
                <w:highlight w:val="none"/>
              </w:rPr>
            </w:pPr>
            <w:r>
              <w:rPr>
                <w:b/>
                <w:bCs/>
                <w:color w:val="auto"/>
                <w:sz w:val="24"/>
                <w:szCs w:val="24"/>
                <w:highlight w:val="none"/>
              </w:rPr>
              <w:t>4</w:t>
            </w:r>
            <w:r>
              <w:rPr>
                <w:rFonts w:hint="eastAsia"/>
                <w:b/>
                <w:bCs/>
                <w:color w:val="auto"/>
                <w:sz w:val="24"/>
                <w:szCs w:val="24"/>
                <w:highlight w:val="none"/>
                <w:lang w:val="en-US" w:eastAsia="zh-CN"/>
              </w:rPr>
              <w:t>.</w:t>
            </w:r>
            <w:r>
              <w:rPr>
                <w:b/>
                <w:bCs/>
                <w:color w:val="auto"/>
                <w:sz w:val="24"/>
                <w:szCs w:val="24"/>
                <w:highlight w:val="none"/>
              </w:rPr>
              <w:t>施工期固体废物影响分析</w:t>
            </w:r>
          </w:p>
          <w:p w14:paraId="4121D53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施工期产生的固体废物主要为施工过程中产生的建筑垃圾和施工人员的生活垃圾，这些垃圾成分较为简单，数量很大，应集中处理，及时清运，根据不同的成分采用不同的处理方式：</w:t>
            </w:r>
          </w:p>
          <w:p w14:paraId="6B708E07">
            <w:pPr>
              <w:keepNext w:val="0"/>
              <w:keepLines w:val="0"/>
              <w:pageBreakBefore w:val="0"/>
              <w:numPr>
                <w:ilvl w:val="0"/>
                <w:numId w:val="29"/>
              </w:numPr>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清场废物处置：</w:t>
            </w:r>
            <w:r>
              <w:rPr>
                <w:rFonts w:hint="eastAsia"/>
                <w:color w:val="auto"/>
                <w:highlight w:val="none"/>
                <w:lang w:val="en-US" w:eastAsia="zh-CN"/>
              </w:rPr>
              <w:t>施工期清除基底的垃圾、树根等杂物，会产生清场废物，</w:t>
            </w:r>
            <w:r>
              <w:rPr>
                <w:color w:val="auto"/>
                <w:sz w:val="24"/>
                <w:szCs w:val="24"/>
                <w:highlight w:val="none"/>
              </w:rPr>
              <w:t>应及时清运。表层土可集中堆存，用作绿化用土，不适于土地利用的表土可供附近填筑低凹地，或作其他用土</w:t>
            </w:r>
            <w:r>
              <w:rPr>
                <w:rFonts w:hint="eastAsia"/>
                <w:color w:val="auto"/>
                <w:sz w:val="24"/>
                <w:szCs w:val="24"/>
                <w:highlight w:val="none"/>
                <w:lang w:eastAsia="zh-CN"/>
              </w:rPr>
              <w:t>；</w:t>
            </w:r>
            <w:r>
              <w:rPr>
                <w:rFonts w:hint="eastAsia"/>
                <w:color w:val="auto"/>
                <w:sz w:val="24"/>
                <w:szCs w:val="24"/>
                <w:highlight w:val="none"/>
                <w:lang w:val="en-US" w:eastAsia="zh-CN"/>
              </w:rPr>
              <w:t>垃圾</w:t>
            </w:r>
            <w:r>
              <w:rPr>
                <w:rFonts w:hint="eastAsia"/>
                <w:color w:val="auto"/>
                <w:highlight w:val="none"/>
                <w:lang w:val="en-US" w:eastAsia="zh-CN"/>
              </w:rPr>
              <w:t>、树根等杂物，</w:t>
            </w:r>
            <w:r>
              <w:rPr>
                <w:color w:val="auto"/>
                <w:sz w:val="24"/>
                <w:szCs w:val="24"/>
                <w:highlight w:val="none"/>
              </w:rPr>
              <w:t>应统一规划处置</w:t>
            </w:r>
            <w:r>
              <w:rPr>
                <w:rFonts w:hint="eastAsia"/>
                <w:color w:val="auto"/>
                <w:sz w:val="24"/>
                <w:szCs w:val="24"/>
                <w:highlight w:val="none"/>
                <w:lang w:eastAsia="zh-CN"/>
              </w:rPr>
              <w:t>，</w:t>
            </w:r>
            <w:r>
              <w:rPr>
                <w:color w:val="auto"/>
                <w:sz w:val="24"/>
                <w:szCs w:val="24"/>
                <w:highlight w:val="none"/>
              </w:rPr>
              <w:t>清运到城市建设监管部门指定的地点。</w:t>
            </w:r>
          </w:p>
          <w:p w14:paraId="3C1EA0D6">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（2）施工弃土处置：地基开挖的废土除部分回填外，应统一规划处置，对弃土应设立堆土场，进行集中处置。</w:t>
            </w:r>
          </w:p>
          <w:p w14:paraId="4632C51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auto"/>
                <w:sz w:val="24"/>
                <w:szCs w:val="24"/>
                <w:highlight w:val="none"/>
              </w:rPr>
            </w:pPr>
            <w:r>
              <w:rPr>
                <w:color w:val="auto"/>
                <w:sz w:val="24"/>
                <w:szCs w:val="24"/>
                <w:highlight w:val="none"/>
              </w:rPr>
              <w:t>（3）施工生产废料处理：首先应考虑废料的回收利用。对钢筋、钢板等下角料可分类回收利用；对建筑垃圾，如</w:t>
            </w:r>
            <w:r>
              <w:rPr>
                <w:rFonts w:hint="eastAsia"/>
                <w:color w:val="auto"/>
                <w:sz w:val="24"/>
                <w:szCs w:val="24"/>
                <w:highlight w:val="none"/>
                <w:lang w:val="en-US" w:eastAsia="zh-CN"/>
              </w:rPr>
              <w:t>清场垃圾、</w:t>
            </w:r>
            <w:r>
              <w:rPr>
                <w:color w:val="auto"/>
                <w:sz w:val="24"/>
                <w:szCs w:val="24"/>
                <w:highlight w:val="none"/>
              </w:rPr>
              <w:t>混凝土废料、含砖、石、砂的杂土应集中堆放，定时清运到城市建设监管部门指定的地点。</w:t>
            </w:r>
          </w:p>
          <w:p w14:paraId="58195720">
            <w:pPr>
              <w:bidi w:val="0"/>
              <w:rPr>
                <w:rFonts w:hint="default"/>
                <w:color w:val="auto"/>
                <w:highlight w:val="none"/>
                <w:lang w:val="en-US" w:eastAsia="zh-CN"/>
              </w:rPr>
            </w:pPr>
            <w:r>
              <w:rPr>
                <w:color w:val="auto"/>
                <w:sz w:val="24"/>
                <w:szCs w:val="24"/>
                <w:highlight w:val="none"/>
              </w:rPr>
              <w:t>（4）施工生活垃圾处置：在施工人员集中地设置</w:t>
            </w:r>
            <w:r>
              <w:rPr>
                <w:rFonts w:hint="eastAsia"/>
                <w:color w:val="auto"/>
                <w:sz w:val="24"/>
                <w:szCs w:val="24"/>
                <w:highlight w:val="none"/>
                <w:lang w:val="en-US" w:eastAsia="zh-CN"/>
              </w:rPr>
              <w:t>垃圾桶</w:t>
            </w:r>
            <w:r>
              <w:rPr>
                <w:color w:val="auto"/>
                <w:sz w:val="24"/>
                <w:szCs w:val="24"/>
                <w:highlight w:val="none"/>
              </w:rPr>
              <w:t>，指派专人定期将垃圾定时清运至城市垃圾处理场。</w:t>
            </w:r>
          </w:p>
          <w:p w14:paraId="040BE274">
            <w:pPr>
              <w:bidi w:val="0"/>
              <w:ind w:left="0" w:leftChars="0" w:firstLine="0" w:firstLineChars="0"/>
              <w:rPr>
                <w:rFonts w:hint="default"/>
                <w:b/>
                <w:bCs/>
                <w:color w:val="auto"/>
                <w:highlight w:val="none"/>
                <w:lang w:val="en-US" w:eastAsia="zh-CN"/>
              </w:rPr>
            </w:pPr>
            <w:r>
              <w:rPr>
                <w:rFonts w:hint="default"/>
                <w:b/>
                <w:bCs/>
                <w:color w:val="auto"/>
                <w:highlight w:val="none"/>
                <w:lang w:val="en-US" w:eastAsia="zh-CN"/>
              </w:rPr>
              <w:t>5</w:t>
            </w:r>
            <w:r>
              <w:rPr>
                <w:rFonts w:hint="eastAsia"/>
                <w:b/>
                <w:bCs/>
                <w:color w:val="auto"/>
                <w:highlight w:val="none"/>
                <w:lang w:val="en-US" w:eastAsia="zh-CN"/>
              </w:rPr>
              <w:t>.</w:t>
            </w:r>
            <w:r>
              <w:rPr>
                <w:rFonts w:hint="default"/>
                <w:b/>
                <w:bCs/>
                <w:color w:val="auto"/>
                <w:highlight w:val="none"/>
                <w:lang w:val="en-US" w:eastAsia="zh-CN"/>
              </w:rPr>
              <w:t>施工期生态环境影响分析</w:t>
            </w:r>
          </w:p>
          <w:p w14:paraId="00C096E0">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项目周边内无自然保护区、风景名胜区、森林公园，地质公园、湿地公园、重要保护野生动物栖息地、重要保护野生植物生长繁殖地。本项目不设取、弃土场，项目工程量不大，不新建施工营地。场区内植被主要分布在废弃</w:t>
            </w:r>
            <w:r>
              <w:rPr>
                <w:rFonts w:hint="eastAsia" w:ascii="宋体" w:hAnsi="宋体" w:cs="宋体"/>
                <w:color w:val="auto"/>
                <w:kern w:val="0"/>
                <w:sz w:val="24"/>
                <w:szCs w:val="24"/>
                <w:highlight w:val="none"/>
                <w:lang w:val="en-US" w:eastAsia="zh-CN" w:bidi="ar"/>
              </w:rPr>
              <w:t>坑塘</w:t>
            </w:r>
            <w:r>
              <w:rPr>
                <w:rFonts w:hint="eastAsia" w:ascii="宋体" w:hAnsi="宋体" w:eastAsia="宋体" w:cs="宋体"/>
                <w:color w:val="auto"/>
                <w:kern w:val="0"/>
                <w:sz w:val="24"/>
                <w:szCs w:val="24"/>
                <w:highlight w:val="none"/>
                <w:lang w:val="en-US" w:eastAsia="zh-CN" w:bidi="ar"/>
              </w:rPr>
              <w:t>周围，主要为野生灌丛和草本植物，植物种类单一。</w:t>
            </w:r>
          </w:p>
          <w:p w14:paraId="6907E49C">
            <w:pPr>
              <w:pStyle w:val="28"/>
              <w:keepNext w:val="0"/>
              <w:keepLines w:val="0"/>
              <w:pageBreakBefore w:val="0"/>
              <w:widowControl w:val="0"/>
              <w:kinsoku/>
              <w:wordWrap/>
              <w:overflowPunct/>
              <w:topLinePunct w:val="0"/>
              <w:autoSpaceDE/>
              <w:autoSpaceDN/>
              <w:bidi w:val="0"/>
              <w:adjustRightInd/>
              <w:snapToGrid/>
              <w:ind w:leftChars="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施工期生态环境影响主要为场地清理时对地表植被、动物以及区域景观产生的影响。本项目对生态环境的影响主要在施工期。该项目在施工期对生态环境的影响主要表现在各项工程施工占地、改变土地利用性质、破坏植被和土壤环境、废弃物堆置、改变施工场地环境景观等方面，以及由此可能会引发的水土流失、土地沙漠化加剧等生态问题。</w:t>
            </w:r>
          </w:p>
          <w:p w14:paraId="4E6227EE">
            <w:pPr>
              <w:numPr>
                <w:ilvl w:val="0"/>
                <w:numId w:val="0"/>
              </w:numPr>
              <w:ind w:firstLine="480" w:firstLineChars="200"/>
              <w:rPr>
                <w:rFonts w:hint="default"/>
                <w:color w:val="auto"/>
                <w:highlight w:val="none"/>
                <w:lang w:val="en-US" w:eastAsia="zh-CN"/>
              </w:rPr>
            </w:pPr>
            <w:r>
              <w:rPr>
                <w:rFonts w:hint="default"/>
                <w:color w:val="auto"/>
                <w:highlight w:val="none"/>
                <w:lang w:val="en-US" w:eastAsia="zh-CN"/>
              </w:rPr>
              <w:t>（1）占地影响分析</w:t>
            </w:r>
          </w:p>
          <w:p w14:paraId="6446D27F">
            <w:pPr>
              <w:numPr>
                <w:ilvl w:val="0"/>
                <w:numId w:val="0"/>
              </w:numPr>
              <w:ind w:firstLine="480" w:firstLineChars="200"/>
              <w:rPr>
                <w:rFonts w:hint="default"/>
                <w:color w:val="auto"/>
                <w:highlight w:val="none"/>
                <w:lang w:val="en-US" w:eastAsia="zh-CN"/>
              </w:rPr>
            </w:pPr>
            <w:r>
              <w:rPr>
                <w:rFonts w:hint="default"/>
                <w:color w:val="auto"/>
                <w:highlight w:val="none"/>
                <w:lang w:val="en-US" w:eastAsia="zh-CN"/>
              </w:rPr>
              <w:t>工程占地总面积</w:t>
            </w:r>
            <w:r>
              <w:rPr>
                <w:rFonts w:hint="eastAsia"/>
                <w:color w:val="auto"/>
                <w:highlight w:val="none"/>
                <w:lang w:val="en-US" w:eastAsia="zh-CN"/>
              </w:rPr>
              <w:t>6326</w:t>
            </w:r>
            <w:r>
              <w:rPr>
                <w:rFonts w:hint="default"/>
                <w:color w:val="auto"/>
                <w:highlight w:val="none"/>
                <w:lang w:val="en-US" w:eastAsia="zh-CN"/>
              </w:rPr>
              <w:t>m</w:t>
            </w:r>
            <w:r>
              <w:rPr>
                <w:rFonts w:hint="default"/>
                <w:color w:val="auto"/>
                <w:highlight w:val="none"/>
                <w:vertAlign w:val="superscript"/>
                <w:lang w:val="en-US" w:eastAsia="zh-CN"/>
              </w:rPr>
              <w:t>2</w:t>
            </w:r>
            <w:r>
              <w:rPr>
                <w:rFonts w:hint="default"/>
                <w:color w:val="auto"/>
                <w:highlight w:val="none"/>
                <w:lang w:val="en-US" w:eastAsia="zh-CN"/>
              </w:rPr>
              <w:t>，属永久性占地。工程占地对植被的影响是长期的，较难恢复，本项目尽量减少施工占地面积，禁止施工人员及车辆随意碾压</w:t>
            </w:r>
            <w:r>
              <w:rPr>
                <w:rFonts w:hint="eastAsia"/>
                <w:color w:val="auto"/>
                <w:highlight w:val="none"/>
                <w:lang w:val="en-US" w:eastAsia="zh-CN"/>
              </w:rPr>
              <w:t>周边土地</w:t>
            </w:r>
            <w:r>
              <w:rPr>
                <w:rFonts w:hint="default"/>
                <w:color w:val="auto"/>
                <w:highlight w:val="none"/>
                <w:lang w:val="en-US" w:eastAsia="zh-CN"/>
              </w:rPr>
              <w:t>，以减少对植被的影响。工程封场后，将对项目区进行覆土及绿化</w:t>
            </w:r>
            <w:r>
              <w:rPr>
                <w:rFonts w:hint="eastAsia"/>
                <w:color w:val="auto"/>
                <w:highlight w:val="none"/>
                <w:lang w:val="en-US" w:eastAsia="zh-CN"/>
              </w:rPr>
              <w:t>，</w:t>
            </w:r>
            <w:r>
              <w:rPr>
                <w:rFonts w:hint="default"/>
                <w:color w:val="auto"/>
                <w:highlight w:val="none"/>
                <w:lang w:val="en-US" w:eastAsia="zh-CN"/>
              </w:rPr>
              <w:t>将在一定程度上补偿工程建设对地表植被的生态损失。</w:t>
            </w:r>
          </w:p>
          <w:p w14:paraId="768FE1E0">
            <w:pPr>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2</w:t>
            </w:r>
            <w:r>
              <w:rPr>
                <w:rFonts w:hint="default"/>
                <w:color w:val="auto"/>
                <w:highlight w:val="none"/>
                <w:lang w:val="en-US" w:eastAsia="zh-CN"/>
              </w:rPr>
              <w:t>）对动植物的影响分析</w:t>
            </w:r>
          </w:p>
          <w:p w14:paraId="062790FB">
            <w:pPr>
              <w:bidi w:val="0"/>
              <w:rPr>
                <w:rFonts w:hint="default"/>
                <w:color w:val="auto"/>
                <w:highlight w:val="none"/>
                <w:lang w:val="en-US" w:eastAsia="zh-CN"/>
              </w:rPr>
            </w:pPr>
            <w:r>
              <w:rPr>
                <w:rFonts w:hint="default"/>
                <w:color w:val="auto"/>
                <w:highlight w:val="none"/>
                <w:lang w:val="en-US" w:eastAsia="zh-CN"/>
              </w:rPr>
              <w:t>根据现场调查，本项目占地</w:t>
            </w:r>
            <w:r>
              <w:rPr>
                <w:rFonts w:hint="eastAsia"/>
                <w:color w:val="auto"/>
                <w:highlight w:val="none"/>
                <w:lang w:val="en-US" w:eastAsia="zh-CN"/>
              </w:rPr>
              <w:t>内</w:t>
            </w:r>
            <w:r>
              <w:rPr>
                <w:rFonts w:hint="default"/>
                <w:color w:val="auto"/>
                <w:highlight w:val="none"/>
                <w:lang w:val="en-US" w:eastAsia="zh-CN"/>
              </w:rPr>
              <w:t>未发现珍稀濒危</w:t>
            </w:r>
            <w:r>
              <w:rPr>
                <w:rFonts w:hint="eastAsia"/>
                <w:color w:val="auto"/>
                <w:highlight w:val="none"/>
                <w:lang w:val="en-US" w:eastAsia="zh-CN"/>
              </w:rPr>
              <w:t>动植物</w:t>
            </w:r>
            <w:r>
              <w:rPr>
                <w:rFonts w:hint="default"/>
                <w:color w:val="auto"/>
                <w:highlight w:val="none"/>
                <w:lang w:val="en-US" w:eastAsia="zh-CN"/>
              </w:rPr>
              <w:t>，也无长期留居的鸟类，生物多样性较少，生态系统脆弱。</w:t>
            </w:r>
          </w:p>
          <w:p w14:paraId="79A42DEB">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highlight w:val="none"/>
                <w:lang w:val="en-US" w:eastAsia="zh-CN"/>
              </w:rPr>
            </w:pPr>
            <w:r>
              <w:rPr>
                <w:rFonts w:hint="default"/>
                <w:color w:val="auto"/>
                <w:highlight w:val="none"/>
                <w:lang w:val="en-US" w:eastAsia="zh-CN"/>
              </w:rPr>
              <w:t>施工期对动物的直接影响是施工人员集中活动和工程施工过程对动物惊扰。间接影响是施工将严重破坏附近的植被和土壤，造成部分动物栖息地的丧失。施工区没有发现大型动物的活动痕迹，主要动物是鼠类</w:t>
            </w:r>
            <w:r>
              <w:rPr>
                <w:rFonts w:hint="eastAsia"/>
                <w:color w:val="auto"/>
                <w:highlight w:val="none"/>
                <w:lang w:val="en-US" w:eastAsia="zh-CN"/>
              </w:rPr>
              <w:t>、昆虫类</w:t>
            </w:r>
            <w:r>
              <w:rPr>
                <w:rFonts w:hint="default"/>
                <w:color w:val="auto"/>
                <w:highlight w:val="none"/>
                <w:lang w:val="en-US" w:eastAsia="zh-CN"/>
              </w:rPr>
              <w:t>等动物，且数量不多，具有较强的迁移能力，因此，施工期基本不会对上述动物的生存产生较大影响。</w:t>
            </w:r>
          </w:p>
          <w:p w14:paraId="4BBD582A">
            <w:pPr>
              <w:bidi w:val="0"/>
              <w:rPr>
                <w:rFonts w:hint="default"/>
                <w:color w:val="auto"/>
                <w:highlight w:val="none"/>
                <w:lang w:val="en-US" w:eastAsia="zh-CN"/>
              </w:rPr>
            </w:pPr>
            <w:r>
              <w:rPr>
                <w:rFonts w:hint="default"/>
                <w:color w:val="auto"/>
                <w:highlight w:val="none"/>
                <w:lang w:val="en-US" w:eastAsia="zh-CN"/>
              </w:rPr>
              <w:t>本项目在施工中需采取有效措施保护土地表层土，在施工和固废堆填后，用原土和</w:t>
            </w:r>
            <w:r>
              <w:rPr>
                <w:rFonts w:hint="eastAsia"/>
                <w:color w:val="auto"/>
                <w:highlight w:val="none"/>
                <w:lang w:val="en-US" w:eastAsia="zh-CN"/>
              </w:rPr>
              <w:t>绿化土</w:t>
            </w:r>
            <w:r>
              <w:rPr>
                <w:rFonts w:hint="default"/>
                <w:color w:val="auto"/>
                <w:highlight w:val="none"/>
                <w:lang w:val="en-US" w:eastAsia="zh-CN"/>
              </w:rPr>
              <w:t>覆盖</w:t>
            </w:r>
            <w:r>
              <w:rPr>
                <w:rFonts w:hint="eastAsia"/>
                <w:color w:val="auto"/>
                <w:highlight w:val="none"/>
                <w:lang w:val="en-US" w:eastAsia="zh-CN"/>
              </w:rPr>
              <w:t>，</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default"/>
                <w:color w:val="auto"/>
                <w:highlight w:val="none"/>
                <w:lang w:val="en-US" w:eastAsia="zh-CN"/>
              </w:rPr>
              <w:t>。</w:t>
            </w:r>
          </w:p>
          <w:p w14:paraId="0F67174C">
            <w:pPr>
              <w:bidi w:val="0"/>
              <w:rPr>
                <w:rFonts w:hint="default"/>
                <w:color w:val="auto"/>
                <w:highlight w:val="none"/>
                <w:lang w:val="en-US" w:eastAsia="zh-CN"/>
              </w:rPr>
            </w:pPr>
            <w:r>
              <w:rPr>
                <w:rFonts w:hint="default"/>
                <w:color w:val="auto"/>
                <w:highlight w:val="none"/>
                <w:lang w:val="en-US" w:eastAsia="zh-CN"/>
              </w:rPr>
              <w:t>通过实施上述植被保护措施后，工程施工不会对周边生态环境产生明显影响，具有一定改善作用。</w:t>
            </w:r>
          </w:p>
          <w:p w14:paraId="6738A3A6">
            <w:pPr>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3</w:t>
            </w:r>
            <w:r>
              <w:rPr>
                <w:rFonts w:hint="default"/>
                <w:color w:val="auto"/>
                <w:highlight w:val="none"/>
                <w:lang w:val="en-US" w:eastAsia="zh-CN"/>
              </w:rPr>
              <w:t>）对土壤的影响分析</w:t>
            </w:r>
          </w:p>
          <w:p w14:paraId="20BFEDA7">
            <w:pPr>
              <w:bidi w:val="0"/>
              <w:rPr>
                <w:rFonts w:hint="default"/>
                <w:color w:val="auto"/>
                <w:highlight w:val="none"/>
                <w:lang w:val="en-US" w:eastAsia="zh-CN"/>
              </w:rPr>
            </w:pPr>
            <w:r>
              <w:rPr>
                <w:rFonts w:hint="default"/>
                <w:color w:val="auto"/>
                <w:highlight w:val="none"/>
                <w:lang w:val="en-US" w:eastAsia="zh-CN"/>
              </w:rPr>
              <w:t>本项目区域现有</w:t>
            </w:r>
            <w:r>
              <w:rPr>
                <w:rFonts w:hint="eastAsia"/>
                <w:color w:val="auto"/>
                <w:highlight w:val="none"/>
                <w:lang w:val="en-US" w:eastAsia="zh-CN"/>
              </w:rPr>
              <w:t>坑塘</w:t>
            </w:r>
            <w:r>
              <w:rPr>
                <w:rFonts w:hint="default"/>
                <w:color w:val="auto"/>
                <w:highlight w:val="none"/>
                <w:lang w:val="en-US" w:eastAsia="zh-CN"/>
              </w:rPr>
              <w:t>不仅占用大量土地，且坑内及边缘的植被稀疏，土壤裸露较多，在风力、水力作用下，土壤结构容易变松，形成新的风蚀面，加重水土流失。</w:t>
            </w:r>
          </w:p>
          <w:p w14:paraId="6335AB0D">
            <w:pPr>
              <w:bidi w:val="0"/>
              <w:rPr>
                <w:rFonts w:hint="default"/>
                <w:color w:val="auto"/>
                <w:highlight w:val="none"/>
                <w:lang w:val="en-US" w:eastAsia="zh-CN"/>
              </w:rPr>
            </w:pPr>
            <w:r>
              <w:rPr>
                <w:rFonts w:hint="default"/>
                <w:color w:val="auto"/>
                <w:highlight w:val="none"/>
                <w:lang w:val="en-US" w:eastAsia="zh-CN"/>
              </w:rPr>
              <w:t>项目实施过程中土方开挖、土地平整会对</w:t>
            </w:r>
            <w:r>
              <w:rPr>
                <w:rFonts w:hint="eastAsia"/>
                <w:color w:val="auto"/>
                <w:highlight w:val="none"/>
                <w:lang w:val="en-US" w:eastAsia="zh-CN"/>
              </w:rPr>
              <w:t>坑塘</w:t>
            </w:r>
            <w:r>
              <w:rPr>
                <w:rFonts w:hint="default"/>
                <w:color w:val="auto"/>
                <w:highlight w:val="none"/>
                <w:lang w:val="en-US" w:eastAsia="zh-CN"/>
              </w:rPr>
              <w:t>内植被造成扰动，但随着堆填场封场的结束，且通过种植大面积恢复植被，区域内生态质量可以得到较好的恢复。</w:t>
            </w:r>
          </w:p>
          <w:p w14:paraId="3B35F040">
            <w:pPr>
              <w:pStyle w:val="28"/>
              <w:numPr>
                <w:ilvl w:val="0"/>
                <w:numId w:val="25"/>
              </w:numPr>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水土流失影响分析</w:t>
            </w:r>
          </w:p>
          <w:p w14:paraId="37CCC328">
            <w:pPr>
              <w:pStyle w:val="28"/>
              <w:numPr>
                <w:ilvl w:val="0"/>
                <w:numId w:val="0"/>
              </w:numPr>
              <w:ind w:right="0" w:righ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随着施工场地开挖、填方、平整，原有地表土层受到破坏，土壤松动，或者施工过程中由于挖方及填方过程中形成的土堆不能及时清理，遇到较大降雨冲刷，易发生水土流失，使局部生态环境受到影响。</w:t>
            </w:r>
          </w:p>
          <w:p w14:paraId="352B0AD5">
            <w:pPr>
              <w:pStyle w:val="28"/>
              <w:numPr>
                <w:ilvl w:val="0"/>
                <w:numId w:val="0"/>
              </w:numPr>
              <w:ind w:right="0" w:righ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考虑到本工程拟建场区地形条件的特点，工程设计时尽量将</w:t>
            </w:r>
            <w:r>
              <w:rPr>
                <w:rFonts w:hint="eastAsia" w:ascii="Times New Roman" w:hAnsi="Times New Roman" w:eastAsia="宋体" w:cs="Times New Roman"/>
                <w:color w:val="auto"/>
                <w:kern w:val="2"/>
                <w:sz w:val="24"/>
                <w:szCs w:val="24"/>
                <w:highlight w:val="none"/>
                <w:lang w:val="en-US" w:eastAsia="zh-CN" w:bidi="ar-SA"/>
              </w:rPr>
              <w:t>工程</w:t>
            </w:r>
            <w:r>
              <w:rPr>
                <w:rFonts w:hint="default" w:ascii="Times New Roman" w:hAnsi="Times New Roman" w:eastAsia="宋体" w:cs="Times New Roman"/>
                <w:color w:val="auto"/>
                <w:kern w:val="2"/>
                <w:sz w:val="24"/>
                <w:szCs w:val="24"/>
                <w:highlight w:val="none"/>
                <w:lang w:val="en-US" w:eastAsia="zh-CN" w:bidi="ar-SA"/>
              </w:rPr>
              <w:t>挖方用作场区填方处理，使外运余土方量降至最低。同时加强施工管理，合理安排施工进度，处理场</w:t>
            </w:r>
            <w:r>
              <w:rPr>
                <w:rFonts w:hint="eastAsia" w:ascii="Times New Roman" w:hAnsi="Times New Roman" w:eastAsia="宋体" w:cs="Times New Roman"/>
                <w:color w:val="auto"/>
                <w:kern w:val="2"/>
                <w:sz w:val="24"/>
                <w:szCs w:val="24"/>
                <w:highlight w:val="none"/>
                <w:lang w:val="en-US" w:eastAsia="zh-CN" w:bidi="ar-SA"/>
              </w:rPr>
              <w:t>封场</w:t>
            </w:r>
            <w:r>
              <w:rPr>
                <w:rFonts w:hint="default" w:ascii="Times New Roman" w:hAnsi="Times New Roman" w:eastAsia="宋体" w:cs="Times New Roman"/>
                <w:color w:val="auto"/>
                <w:kern w:val="2"/>
                <w:sz w:val="24"/>
                <w:szCs w:val="24"/>
                <w:highlight w:val="none"/>
                <w:lang w:val="en-US" w:eastAsia="zh-CN" w:bidi="ar-SA"/>
              </w:rPr>
              <w:t>后应制定土地整治、复原计划，搞好场区的植被恢复，使场区的水土保持功效逐步复原，就可以有效控制水土流失</w:t>
            </w:r>
            <w:r>
              <w:rPr>
                <w:rFonts w:hint="eastAsia" w:ascii="Times New Roman" w:hAnsi="Times New Roman" w:eastAsia="宋体" w:cs="Times New Roman"/>
                <w:color w:val="auto"/>
                <w:kern w:val="2"/>
                <w:sz w:val="24"/>
                <w:szCs w:val="24"/>
                <w:highlight w:val="none"/>
                <w:lang w:val="en-US" w:eastAsia="zh-CN" w:bidi="ar-SA"/>
              </w:rPr>
              <w:t>。</w:t>
            </w:r>
          </w:p>
          <w:p w14:paraId="43D41E67">
            <w:pPr>
              <w:bidi w:val="0"/>
              <w:rPr>
                <w:rFonts w:hint="default"/>
                <w:color w:val="auto"/>
                <w:highlight w:val="none"/>
                <w:lang w:val="en-US" w:eastAsia="zh-CN"/>
              </w:rPr>
            </w:pPr>
            <w:r>
              <w:rPr>
                <w:rFonts w:hint="default"/>
                <w:color w:val="auto"/>
                <w:highlight w:val="none"/>
                <w:lang w:val="en-US" w:eastAsia="zh-CN"/>
              </w:rPr>
              <w:t>（</w:t>
            </w:r>
            <w:r>
              <w:rPr>
                <w:rFonts w:hint="eastAsia"/>
                <w:color w:val="auto"/>
                <w:highlight w:val="none"/>
                <w:lang w:val="en-US" w:eastAsia="zh-CN"/>
              </w:rPr>
              <w:t>5</w:t>
            </w:r>
            <w:r>
              <w:rPr>
                <w:rFonts w:hint="default"/>
                <w:color w:val="auto"/>
                <w:highlight w:val="none"/>
                <w:lang w:val="en-US" w:eastAsia="zh-CN"/>
              </w:rPr>
              <w:t>）对生态景观的影响分析</w:t>
            </w:r>
          </w:p>
          <w:p w14:paraId="35FC066F">
            <w:pPr>
              <w:bidi w:val="0"/>
              <w:rPr>
                <w:rFonts w:hint="default"/>
                <w:color w:val="auto"/>
                <w:highlight w:val="none"/>
                <w:lang w:val="en-US" w:eastAsia="zh-CN"/>
              </w:rPr>
            </w:pPr>
            <w:r>
              <w:rPr>
                <w:rFonts w:hint="default"/>
                <w:color w:val="auto"/>
                <w:highlight w:val="none"/>
                <w:lang w:val="en-US" w:eastAsia="zh-CN"/>
              </w:rPr>
              <w:t>本项目区域内占地形成的裸露边坡等劣质景观已破坏了当地原有景观，使本项目区域与周围环境在地域连续性、环境条件的匹配性等生态系统的完整性方面受损，引起了局部景观格局的破碎化的现象，阻碍生物系统间物质和能量的交换，增加景观的异质性，使区域地表景观空间格局发生更明显的改变。本项目堆填场封场结束后，对区域内现状景观问题进行有效治理，大大改善区域内生态景观。</w:t>
            </w:r>
          </w:p>
          <w:p w14:paraId="3274B1B9">
            <w:pPr>
              <w:bidi w:val="0"/>
              <w:rPr>
                <w:rFonts w:hint="default"/>
                <w:color w:val="auto"/>
                <w:highlight w:val="none"/>
                <w:lang w:val="en-US" w:eastAsia="zh-CN"/>
              </w:rPr>
            </w:pPr>
            <w:r>
              <w:rPr>
                <w:rFonts w:hint="default"/>
                <w:color w:val="auto"/>
                <w:highlight w:val="none"/>
                <w:lang w:val="en-US" w:eastAsia="zh-CN"/>
              </w:rPr>
              <w:t>综上所述，施工期对环境的影响是相对的，污染防治和减缓措施主要手段是加强管理。因此，建设单位及施工单位要从管理入手，文明施工，按照国家有关法律法规制定相应的施工规范、作业制度，并严格执行，同时加强对施工人员进行环保法律法规的宣传教育，可以减少施工期环境影响。</w:t>
            </w:r>
          </w:p>
          <w:p w14:paraId="7CA073A3">
            <w:pPr>
              <w:pStyle w:val="28"/>
              <w:rPr>
                <w:rFonts w:hint="default"/>
                <w:color w:val="auto"/>
                <w:highlight w:val="none"/>
                <w:lang w:val="en-US" w:eastAsia="zh-CN"/>
              </w:rPr>
            </w:pPr>
          </w:p>
          <w:p w14:paraId="3614F28E">
            <w:pPr>
              <w:rPr>
                <w:rFonts w:hint="eastAsia"/>
                <w:color w:val="auto"/>
                <w:highlight w:val="none"/>
                <w:lang w:val="en-US" w:eastAsia="zh-CN"/>
              </w:rPr>
            </w:pPr>
          </w:p>
        </w:tc>
      </w:tr>
      <w:tr w14:paraId="10C6CF7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jc w:val="center"/>
        </w:trPr>
        <w:tc>
          <w:tcPr>
            <w:tcW w:w="727" w:type="dxa"/>
            <w:tcBorders>
              <w:tl2br w:val="nil"/>
              <w:tr2bl w:val="nil"/>
            </w:tcBorders>
            <w:vAlign w:val="center"/>
          </w:tcPr>
          <w:p w14:paraId="5C62EA9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运营</w:t>
            </w:r>
          </w:p>
          <w:p w14:paraId="149A3ABA">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期环</w:t>
            </w:r>
          </w:p>
          <w:p w14:paraId="73080A54">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境影</w:t>
            </w:r>
          </w:p>
          <w:p w14:paraId="389519B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响和</w:t>
            </w:r>
          </w:p>
          <w:p w14:paraId="63386FE2">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4"/>
                <w:szCs w:val="24"/>
                <w:highlight w:val="none"/>
              </w:rPr>
            </w:pPr>
            <w:r>
              <w:rPr>
                <w:rFonts w:hint="eastAsia"/>
                <w:color w:val="auto"/>
                <w:sz w:val="24"/>
                <w:szCs w:val="24"/>
                <w:highlight w:val="none"/>
              </w:rPr>
              <w:t>保护</w:t>
            </w:r>
          </w:p>
          <w:p w14:paraId="5AB7B31D">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4"/>
                <w:szCs w:val="24"/>
                <w:highlight w:val="none"/>
              </w:rPr>
            </w:pPr>
            <w:r>
              <w:rPr>
                <w:rFonts w:hint="eastAsia"/>
                <w:color w:val="auto"/>
                <w:sz w:val="24"/>
                <w:szCs w:val="24"/>
                <w:highlight w:val="none"/>
              </w:rPr>
              <w:t>措施</w:t>
            </w:r>
          </w:p>
        </w:tc>
        <w:tc>
          <w:tcPr>
            <w:tcW w:w="8344" w:type="dxa"/>
            <w:tcBorders>
              <w:tl2br w:val="nil"/>
              <w:tr2bl w:val="nil"/>
            </w:tcBorders>
            <w:vAlign w:val="center"/>
          </w:tcPr>
          <w:p w14:paraId="2D4963AC">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500" w:lineRule="exact"/>
              <w:ind w:left="0" w:leftChars="0" w:right="0" w:firstLine="0" w:firstLineChars="0"/>
              <w:textAlignment w:val="auto"/>
              <w:rPr>
                <w:rFonts w:hint="default"/>
                <w:b/>
                <w:bCs/>
                <w:color w:val="auto"/>
                <w:highlight w:val="none"/>
                <w:lang w:val="en-US" w:eastAsia="zh-CN"/>
              </w:rPr>
            </w:pPr>
            <w:r>
              <w:rPr>
                <w:rFonts w:hint="default"/>
                <w:b/>
                <w:bCs/>
                <w:color w:val="auto"/>
                <w:highlight w:val="none"/>
              </w:rPr>
              <w:t>1</w:t>
            </w:r>
            <w:r>
              <w:rPr>
                <w:rFonts w:hint="eastAsia"/>
                <w:b/>
                <w:bCs/>
                <w:color w:val="auto"/>
                <w:highlight w:val="none"/>
                <w:lang w:eastAsia="zh-CN"/>
              </w:rPr>
              <w:t>.</w:t>
            </w:r>
            <w:r>
              <w:rPr>
                <w:rFonts w:hint="eastAsia"/>
                <w:b/>
                <w:bCs/>
                <w:color w:val="auto"/>
                <w:highlight w:val="none"/>
                <w:lang w:val="en-US" w:eastAsia="zh-CN"/>
              </w:rPr>
              <w:t>废气</w:t>
            </w:r>
          </w:p>
          <w:p w14:paraId="591F9172">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500" w:lineRule="exact"/>
              <w:ind w:left="0" w:leftChars="0" w:right="0" w:firstLine="0" w:firstLineChars="0"/>
              <w:textAlignment w:val="auto"/>
              <w:rPr>
                <w:rFonts w:hint="eastAsia"/>
                <w:b/>
                <w:bCs/>
                <w:color w:val="auto"/>
                <w:highlight w:val="none"/>
                <w:lang w:eastAsia="zh-CN"/>
              </w:rPr>
            </w:pPr>
            <w:r>
              <w:rPr>
                <w:rFonts w:hint="eastAsia"/>
                <w:b/>
                <w:bCs/>
                <w:color w:val="auto"/>
                <w:highlight w:val="none"/>
                <w:lang w:val="en-US" w:eastAsia="zh-CN"/>
              </w:rPr>
              <w:t>1.1</w:t>
            </w:r>
            <w:r>
              <w:rPr>
                <w:rFonts w:hint="eastAsia"/>
                <w:b/>
                <w:bCs/>
                <w:color w:val="auto"/>
                <w:highlight w:val="none"/>
                <w:lang w:eastAsia="zh-CN"/>
              </w:rPr>
              <w:t>废气源强及治理措施</w:t>
            </w:r>
          </w:p>
          <w:p w14:paraId="1DC005B7">
            <w:pPr>
              <w:pStyle w:val="36"/>
              <w:numPr>
                <w:ilvl w:val="0"/>
                <w:numId w:val="27"/>
              </w:numPr>
              <w:bidi w:val="0"/>
              <w:ind w:left="0" w:leftChars="0" w:firstLine="0" w:firstLineChars="0"/>
              <w:rPr>
                <w:rFonts w:hint="eastAsia"/>
                <w:color w:val="auto"/>
                <w:sz w:val="21"/>
                <w:szCs w:val="21"/>
                <w:highlight w:val="none"/>
                <w:lang w:val="en-US" w:eastAsia="zh-CN"/>
              </w:rPr>
            </w:pPr>
            <w:r>
              <w:rPr>
                <w:rFonts w:hint="eastAsia"/>
                <w:color w:val="auto"/>
                <w:sz w:val="21"/>
                <w:szCs w:val="21"/>
                <w:highlight w:val="none"/>
                <w:lang w:val="en-US" w:eastAsia="zh-CN"/>
              </w:rPr>
              <w:t>废气源强、治理措施一览表</w:t>
            </w:r>
          </w:p>
          <w:tbl>
            <w:tblPr>
              <w:tblStyle w:val="29"/>
              <w:tblW w:w="810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579"/>
              <w:gridCol w:w="558"/>
              <w:gridCol w:w="680"/>
              <w:gridCol w:w="803"/>
              <w:gridCol w:w="610"/>
              <w:gridCol w:w="1859"/>
              <w:gridCol w:w="635"/>
              <w:gridCol w:w="837"/>
              <w:gridCol w:w="715"/>
              <w:gridCol w:w="831"/>
            </w:tblGrid>
            <w:tr w14:paraId="7D156E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364" w:hRule="atLeast"/>
                <w:jc w:val="center"/>
              </w:trPr>
              <w:tc>
                <w:tcPr>
                  <w:tcW w:w="579" w:type="dxa"/>
                  <w:vMerge w:val="restart"/>
                  <w:tcBorders>
                    <w:tl2br w:val="nil"/>
                    <w:tr2bl w:val="nil"/>
                  </w:tcBorders>
                  <w:noWrap w:val="0"/>
                  <w:vAlign w:val="center"/>
                </w:tcPr>
                <w:p w14:paraId="65D7E7E7">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position w:val="0"/>
                      <w:sz w:val="21"/>
                      <w:szCs w:val="21"/>
                      <w:highlight w:val="none"/>
                      <w:lang w:eastAsia="zh-CN"/>
                    </w:rPr>
                    <w:t>产排污环节</w:t>
                  </w:r>
                </w:p>
              </w:tc>
              <w:tc>
                <w:tcPr>
                  <w:tcW w:w="558" w:type="dxa"/>
                  <w:vMerge w:val="restart"/>
                  <w:tcBorders>
                    <w:tl2br w:val="nil"/>
                    <w:tr2bl w:val="nil"/>
                  </w:tcBorders>
                  <w:noWrap w:val="0"/>
                  <w:vAlign w:val="center"/>
                </w:tcPr>
                <w:p w14:paraId="15E65B3B">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eastAsia="zh-CN"/>
                    </w:rPr>
                  </w:pPr>
                  <w:r>
                    <w:rPr>
                      <w:rFonts w:hint="default" w:ascii="Times New Roman" w:hAnsi="Times New Roman" w:eastAsia="宋体" w:cs="Times New Roman"/>
                      <w:bCs/>
                      <w:caps w:val="0"/>
                      <w:color w:val="auto"/>
                      <w:spacing w:val="0"/>
                      <w:position w:val="0"/>
                      <w:sz w:val="21"/>
                      <w:szCs w:val="21"/>
                      <w:highlight w:val="none"/>
                    </w:rPr>
                    <w:t>污染物</w:t>
                  </w:r>
                  <w:r>
                    <w:rPr>
                      <w:rFonts w:hint="eastAsia" w:ascii="Times New Roman" w:hAnsi="Times New Roman" w:eastAsia="宋体" w:cs="Times New Roman"/>
                      <w:bCs/>
                      <w:caps w:val="0"/>
                      <w:color w:val="auto"/>
                      <w:spacing w:val="0"/>
                      <w:position w:val="0"/>
                      <w:sz w:val="21"/>
                      <w:szCs w:val="21"/>
                      <w:highlight w:val="none"/>
                      <w:lang w:eastAsia="zh-CN"/>
                    </w:rPr>
                    <w:t>种类</w:t>
                  </w:r>
                </w:p>
              </w:tc>
              <w:tc>
                <w:tcPr>
                  <w:tcW w:w="1483" w:type="dxa"/>
                  <w:gridSpan w:val="2"/>
                  <w:tcBorders>
                    <w:tl2br w:val="nil"/>
                    <w:tr2bl w:val="nil"/>
                  </w:tcBorders>
                  <w:noWrap w:val="0"/>
                  <w:vAlign w:val="center"/>
                </w:tcPr>
                <w:p w14:paraId="6EF18FEE">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产生情况</w:t>
                  </w:r>
                </w:p>
              </w:tc>
              <w:tc>
                <w:tcPr>
                  <w:tcW w:w="610" w:type="dxa"/>
                  <w:vMerge w:val="restart"/>
                  <w:tcBorders>
                    <w:tl2br w:val="nil"/>
                    <w:tr2bl w:val="nil"/>
                  </w:tcBorders>
                  <w:noWrap w:val="0"/>
                  <w:vAlign w:val="center"/>
                </w:tcPr>
                <w:p w14:paraId="44D803DA">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val="en-US" w:eastAsia="zh-CN"/>
                    </w:rPr>
                  </w:pPr>
                  <w:r>
                    <w:rPr>
                      <w:rFonts w:hint="eastAsia" w:ascii="Times New Roman" w:hAnsi="Times New Roman" w:cs="Times New Roman"/>
                      <w:bCs/>
                      <w:caps w:val="0"/>
                      <w:color w:val="auto"/>
                      <w:spacing w:val="0"/>
                      <w:position w:val="0"/>
                      <w:sz w:val="21"/>
                      <w:szCs w:val="21"/>
                      <w:highlight w:val="none"/>
                      <w:lang w:val="en-US" w:eastAsia="zh-CN"/>
                    </w:rPr>
                    <w:t>排放形式</w:t>
                  </w:r>
                </w:p>
              </w:tc>
              <w:tc>
                <w:tcPr>
                  <w:tcW w:w="3331" w:type="dxa"/>
                  <w:gridSpan w:val="3"/>
                  <w:tcBorders>
                    <w:tl2br w:val="nil"/>
                    <w:tr2bl w:val="nil"/>
                  </w:tcBorders>
                  <w:noWrap w:val="0"/>
                  <w:vAlign w:val="center"/>
                </w:tcPr>
                <w:p w14:paraId="4EAA8101">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rPr>
                  </w:pPr>
                  <w:r>
                    <w:rPr>
                      <w:rFonts w:hint="default" w:ascii="Times New Roman" w:hAnsi="Times New Roman" w:eastAsia="宋体" w:cs="Times New Roman"/>
                      <w:bCs/>
                      <w:caps w:val="0"/>
                      <w:color w:val="auto"/>
                      <w:spacing w:val="0"/>
                      <w:position w:val="0"/>
                      <w:sz w:val="21"/>
                      <w:szCs w:val="21"/>
                      <w:highlight w:val="none"/>
                    </w:rPr>
                    <w:t>治理措施</w:t>
                  </w:r>
                </w:p>
              </w:tc>
              <w:tc>
                <w:tcPr>
                  <w:tcW w:w="1546" w:type="dxa"/>
                  <w:gridSpan w:val="2"/>
                  <w:tcBorders>
                    <w:tl2br w:val="nil"/>
                    <w:tr2bl w:val="nil"/>
                  </w:tcBorders>
                  <w:noWrap w:val="0"/>
                  <w:vAlign w:val="center"/>
                </w:tcPr>
                <w:p w14:paraId="57EB378E">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rPr>
                  </w:pPr>
                  <w:r>
                    <w:rPr>
                      <w:rFonts w:hint="default" w:ascii="Times New Roman" w:hAnsi="Times New Roman" w:eastAsia="宋体" w:cs="Times New Roman"/>
                      <w:bCs/>
                      <w:caps w:val="0"/>
                      <w:color w:val="auto"/>
                      <w:spacing w:val="0"/>
                      <w:position w:val="0"/>
                      <w:sz w:val="21"/>
                      <w:szCs w:val="21"/>
                      <w:highlight w:val="none"/>
                    </w:rPr>
                    <w:t>排放</w:t>
                  </w:r>
                  <w:r>
                    <w:rPr>
                      <w:rFonts w:hint="default" w:ascii="Times New Roman" w:hAnsi="Times New Roman" w:cs="Times New Roman"/>
                      <w:bCs/>
                      <w:caps w:val="0"/>
                      <w:color w:val="auto"/>
                      <w:spacing w:val="0"/>
                      <w:position w:val="0"/>
                      <w:sz w:val="21"/>
                      <w:szCs w:val="21"/>
                      <w:highlight w:val="none"/>
                      <w:lang w:eastAsia="zh-CN"/>
                    </w:rPr>
                    <w:t>情况</w:t>
                  </w:r>
                </w:p>
              </w:tc>
            </w:tr>
            <w:tr w14:paraId="42EE7B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907" w:hRule="atLeast"/>
                <w:jc w:val="center"/>
              </w:trPr>
              <w:tc>
                <w:tcPr>
                  <w:tcW w:w="579" w:type="dxa"/>
                  <w:vMerge w:val="continue"/>
                  <w:tcBorders>
                    <w:tl2br w:val="nil"/>
                    <w:tr2bl w:val="nil"/>
                  </w:tcBorders>
                  <w:noWrap w:val="0"/>
                  <w:vAlign w:val="center"/>
                </w:tcPr>
                <w:p w14:paraId="22690963">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p>
              </w:tc>
              <w:tc>
                <w:tcPr>
                  <w:tcW w:w="558" w:type="dxa"/>
                  <w:vMerge w:val="continue"/>
                  <w:tcBorders>
                    <w:tl2br w:val="nil"/>
                    <w:tr2bl w:val="nil"/>
                  </w:tcBorders>
                  <w:noWrap w:val="0"/>
                  <w:vAlign w:val="center"/>
                </w:tcPr>
                <w:p w14:paraId="271AE8DC">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rPr>
                  </w:pPr>
                </w:p>
              </w:tc>
              <w:tc>
                <w:tcPr>
                  <w:tcW w:w="680" w:type="dxa"/>
                  <w:tcBorders>
                    <w:tl2br w:val="nil"/>
                    <w:tr2bl w:val="nil"/>
                  </w:tcBorders>
                  <w:noWrap w:val="0"/>
                  <w:vAlign w:val="center"/>
                </w:tcPr>
                <w:p w14:paraId="7421EE59">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rPr>
                  </w:pPr>
                  <w:r>
                    <w:rPr>
                      <w:rFonts w:hint="eastAsia" w:cs="Times New Roman"/>
                      <w:bCs/>
                      <w:caps w:val="0"/>
                      <w:color w:val="auto"/>
                      <w:spacing w:val="0"/>
                      <w:position w:val="0"/>
                      <w:sz w:val="21"/>
                      <w:szCs w:val="21"/>
                      <w:highlight w:val="none"/>
                      <w:lang w:val="en-US" w:eastAsia="zh-CN"/>
                    </w:rPr>
                    <w:t>产生量（t/a）</w:t>
                  </w:r>
                </w:p>
              </w:tc>
              <w:tc>
                <w:tcPr>
                  <w:tcW w:w="803" w:type="dxa"/>
                  <w:tcBorders>
                    <w:tl2br w:val="nil"/>
                    <w:tr2bl w:val="nil"/>
                  </w:tcBorders>
                  <w:noWrap w:val="0"/>
                  <w:vAlign w:val="center"/>
                </w:tcPr>
                <w:p w14:paraId="3B1BD009">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生产速率kg/h</w:t>
                  </w:r>
                </w:p>
              </w:tc>
              <w:tc>
                <w:tcPr>
                  <w:tcW w:w="610" w:type="dxa"/>
                  <w:vMerge w:val="continue"/>
                  <w:tcBorders>
                    <w:tl2br w:val="nil"/>
                    <w:tr2bl w:val="nil"/>
                  </w:tcBorders>
                  <w:noWrap w:val="0"/>
                  <w:vAlign w:val="center"/>
                </w:tcPr>
                <w:p w14:paraId="19A7A900">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eastAsia="zh-CN"/>
                    </w:rPr>
                  </w:pPr>
                </w:p>
              </w:tc>
              <w:tc>
                <w:tcPr>
                  <w:tcW w:w="1859" w:type="dxa"/>
                  <w:tcBorders>
                    <w:tl2br w:val="nil"/>
                    <w:tr2bl w:val="nil"/>
                  </w:tcBorders>
                  <w:noWrap w:val="0"/>
                  <w:vAlign w:val="center"/>
                </w:tcPr>
                <w:p w14:paraId="2A55D0B4">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eastAsia="zh-CN"/>
                    </w:rPr>
                  </w:pPr>
                  <w:r>
                    <w:rPr>
                      <w:rFonts w:hint="default" w:ascii="Times New Roman" w:hAnsi="Times New Roman" w:eastAsia="宋体" w:cs="Times New Roman"/>
                      <w:bCs/>
                      <w:caps w:val="0"/>
                      <w:color w:val="auto"/>
                      <w:spacing w:val="0"/>
                      <w:position w:val="0"/>
                      <w:sz w:val="21"/>
                      <w:szCs w:val="21"/>
                      <w:highlight w:val="none"/>
                    </w:rPr>
                    <w:t>工艺</w:t>
                  </w:r>
                </w:p>
              </w:tc>
              <w:tc>
                <w:tcPr>
                  <w:tcW w:w="635" w:type="dxa"/>
                  <w:tcBorders>
                    <w:tl2br w:val="nil"/>
                    <w:tr2bl w:val="nil"/>
                  </w:tcBorders>
                  <w:noWrap w:val="0"/>
                  <w:vAlign w:val="center"/>
                </w:tcPr>
                <w:p w14:paraId="0B344D1F">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cs="Times New Roman"/>
                      <w:bCs/>
                      <w:caps w:val="0"/>
                      <w:color w:val="auto"/>
                      <w:spacing w:val="0"/>
                      <w:position w:val="0"/>
                      <w:sz w:val="21"/>
                      <w:szCs w:val="21"/>
                      <w:highlight w:val="none"/>
                      <w:lang w:eastAsia="zh-CN"/>
                    </w:rPr>
                  </w:pPr>
                  <w:r>
                    <w:rPr>
                      <w:rFonts w:hint="eastAsia" w:ascii="Times New Roman" w:hAnsi="Times New Roman" w:cs="Times New Roman"/>
                      <w:bCs/>
                      <w:caps w:val="0"/>
                      <w:color w:val="auto"/>
                      <w:spacing w:val="0"/>
                      <w:position w:val="0"/>
                      <w:sz w:val="21"/>
                      <w:szCs w:val="21"/>
                      <w:highlight w:val="none"/>
                      <w:lang w:eastAsia="zh-CN"/>
                    </w:rPr>
                    <w:t>去除率</w:t>
                  </w:r>
                  <w:r>
                    <w:rPr>
                      <w:rFonts w:hint="eastAsia" w:ascii="Times New Roman" w:hAnsi="Times New Roman" w:cs="Times New Roman"/>
                      <w:bCs/>
                      <w:caps w:val="0"/>
                      <w:color w:val="auto"/>
                      <w:spacing w:val="0"/>
                      <w:position w:val="0"/>
                      <w:sz w:val="21"/>
                      <w:szCs w:val="21"/>
                      <w:highlight w:val="none"/>
                      <w:lang w:val="en-US" w:eastAsia="zh-CN"/>
                    </w:rPr>
                    <w:t>（</w:t>
                  </w:r>
                  <w:r>
                    <w:rPr>
                      <w:rFonts w:hint="default" w:ascii="Times New Roman" w:hAnsi="Times New Roman" w:cs="Times New Roman"/>
                      <w:bCs/>
                      <w:caps w:val="0"/>
                      <w:color w:val="auto"/>
                      <w:spacing w:val="0"/>
                      <w:position w:val="0"/>
                      <w:sz w:val="21"/>
                      <w:szCs w:val="21"/>
                      <w:highlight w:val="none"/>
                      <w:lang w:val="en-US" w:eastAsia="zh-CN"/>
                    </w:rPr>
                    <w:t>%</w:t>
                  </w:r>
                  <w:r>
                    <w:rPr>
                      <w:rFonts w:hint="eastAsia" w:ascii="Times New Roman" w:hAnsi="Times New Roman" w:cs="Times New Roman"/>
                      <w:bCs/>
                      <w:caps w:val="0"/>
                      <w:color w:val="auto"/>
                      <w:spacing w:val="0"/>
                      <w:position w:val="0"/>
                      <w:sz w:val="21"/>
                      <w:szCs w:val="21"/>
                      <w:highlight w:val="none"/>
                      <w:lang w:val="en-US" w:eastAsia="zh-CN"/>
                    </w:rPr>
                    <w:t>）</w:t>
                  </w:r>
                </w:p>
              </w:tc>
              <w:tc>
                <w:tcPr>
                  <w:tcW w:w="837" w:type="dxa"/>
                  <w:tcBorders>
                    <w:tl2br w:val="nil"/>
                    <w:tr2bl w:val="nil"/>
                  </w:tcBorders>
                  <w:noWrap w:val="0"/>
                  <w:vAlign w:val="center"/>
                </w:tcPr>
                <w:p w14:paraId="638605A8">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是否为可行性技术</w:t>
                  </w:r>
                </w:p>
              </w:tc>
              <w:tc>
                <w:tcPr>
                  <w:tcW w:w="715" w:type="dxa"/>
                  <w:tcBorders>
                    <w:tl2br w:val="nil"/>
                    <w:tr2bl w:val="nil"/>
                  </w:tcBorders>
                  <w:noWrap w:val="0"/>
                  <w:vAlign w:val="center"/>
                </w:tcPr>
                <w:p w14:paraId="3D515968">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eastAsia="zh-CN"/>
                    </w:rPr>
                  </w:pPr>
                  <w:r>
                    <w:rPr>
                      <w:rFonts w:hint="eastAsia" w:ascii="Times New Roman" w:hAnsi="Times New Roman" w:eastAsia="宋体" w:cs="Times New Roman"/>
                      <w:bCs/>
                      <w:caps w:val="0"/>
                      <w:color w:val="auto"/>
                      <w:spacing w:val="0"/>
                      <w:position w:val="0"/>
                      <w:sz w:val="21"/>
                      <w:szCs w:val="21"/>
                      <w:highlight w:val="none"/>
                      <w:lang w:eastAsia="zh-CN"/>
                    </w:rPr>
                    <w:t>排放速率</w:t>
                  </w:r>
                  <w:r>
                    <w:rPr>
                      <w:rFonts w:hint="eastAsia" w:ascii="Times New Roman" w:hAnsi="Times New Roman" w:eastAsia="宋体" w:cs="Times New Roman"/>
                      <w:bCs/>
                      <w:caps w:val="0"/>
                      <w:color w:val="auto"/>
                      <w:spacing w:val="0"/>
                      <w:position w:val="0"/>
                      <w:sz w:val="21"/>
                      <w:szCs w:val="21"/>
                      <w:highlight w:val="none"/>
                      <w:lang w:val="en-US" w:eastAsia="zh-CN"/>
                    </w:rPr>
                    <w:t>（kg/h）</w:t>
                  </w:r>
                </w:p>
              </w:tc>
              <w:tc>
                <w:tcPr>
                  <w:tcW w:w="831" w:type="dxa"/>
                  <w:tcBorders>
                    <w:tl2br w:val="nil"/>
                    <w:tr2bl w:val="nil"/>
                  </w:tcBorders>
                  <w:noWrap w:val="0"/>
                  <w:vAlign w:val="center"/>
                </w:tcPr>
                <w:p w14:paraId="0225F27E">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eastAsia" w:ascii="Times New Roman" w:hAnsi="Times New Roman" w:eastAsia="宋体" w:cs="Times New Roman"/>
                      <w:bCs/>
                      <w:caps w:val="0"/>
                      <w:color w:val="auto"/>
                      <w:spacing w:val="0"/>
                      <w:position w:val="0"/>
                      <w:sz w:val="21"/>
                      <w:szCs w:val="21"/>
                      <w:highlight w:val="none"/>
                      <w:lang w:val="en-US" w:eastAsia="zh-CN"/>
                    </w:rPr>
                  </w:pPr>
                  <w:r>
                    <w:rPr>
                      <w:rFonts w:hint="eastAsia" w:ascii="Times New Roman" w:hAnsi="Times New Roman" w:eastAsia="宋体" w:cs="Times New Roman"/>
                      <w:bCs/>
                      <w:caps w:val="0"/>
                      <w:color w:val="auto"/>
                      <w:spacing w:val="0"/>
                      <w:position w:val="0"/>
                      <w:sz w:val="21"/>
                      <w:szCs w:val="21"/>
                      <w:highlight w:val="none"/>
                      <w:lang w:eastAsia="zh-CN"/>
                    </w:rPr>
                    <w:t>无组织排放量</w:t>
                  </w:r>
                  <w:r>
                    <w:rPr>
                      <w:rFonts w:hint="eastAsia" w:ascii="Times New Roman" w:hAnsi="Times New Roman" w:eastAsia="宋体" w:cs="Times New Roman"/>
                      <w:bCs/>
                      <w:caps w:val="0"/>
                      <w:color w:val="auto"/>
                      <w:spacing w:val="0"/>
                      <w:position w:val="0"/>
                      <w:sz w:val="21"/>
                      <w:szCs w:val="21"/>
                      <w:highlight w:val="none"/>
                      <w:lang w:val="en-US" w:eastAsia="zh-CN"/>
                    </w:rPr>
                    <w:t>（t/a）</w:t>
                  </w:r>
                </w:p>
              </w:tc>
            </w:tr>
            <w:tr w14:paraId="71CA26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2001" w:hRule="atLeast"/>
                <w:jc w:val="center"/>
              </w:trPr>
              <w:tc>
                <w:tcPr>
                  <w:tcW w:w="579" w:type="dxa"/>
                  <w:tcBorders>
                    <w:tl2br w:val="nil"/>
                    <w:tr2bl w:val="nil"/>
                  </w:tcBorders>
                  <w:noWrap w:val="0"/>
                  <w:vAlign w:val="center"/>
                </w:tcPr>
                <w:p w14:paraId="22C3DC64">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kern w:val="2"/>
                      <w:position w:val="0"/>
                      <w:sz w:val="21"/>
                      <w:szCs w:val="21"/>
                      <w:highlight w:val="none"/>
                      <w:lang w:val="en-US" w:eastAsia="zh-CN" w:bidi="ar-SA"/>
                    </w:rPr>
                    <w:t>卸车、堆填废气</w:t>
                  </w:r>
                </w:p>
              </w:tc>
              <w:tc>
                <w:tcPr>
                  <w:tcW w:w="558" w:type="dxa"/>
                  <w:tcBorders>
                    <w:tl2br w:val="nil"/>
                    <w:tr2bl w:val="nil"/>
                  </w:tcBorders>
                  <w:noWrap w:val="0"/>
                  <w:vAlign w:val="center"/>
                </w:tcPr>
                <w:p w14:paraId="5310E5E8">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ascii="Times New Roman" w:hAnsi="Times New Roman" w:eastAsia="宋体" w:cs="Times New Roman"/>
                      <w:bCs/>
                      <w:caps w:val="0"/>
                      <w:color w:val="auto"/>
                      <w:spacing w:val="0"/>
                      <w:position w:val="0"/>
                      <w:sz w:val="21"/>
                      <w:szCs w:val="21"/>
                      <w:highlight w:val="none"/>
                      <w:lang w:val="en-US" w:eastAsia="zh-CN"/>
                    </w:rPr>
                    <w:t>颗粒物</w:t>
                  </w:r>
                </w:p>
              </w:tc>
              <w:tc>
                <w:tcPr>
                  <w:tcW w:w="680" w:type="dxa"/>
                  <w:tcBorders>
                    <w:right w:val="single" w:color="auto" w:sz="4" w:space="0"/>
                    <w:tl2br w:val="nil"/>
                    <w:tr2bl w:val="nil"/>
                  </w:tcBorders>
                  <w:noWrap w:val="0"/>
                  <w:vAlign w:val="center"/>
                </w:tcPr>
                <w:p w14:paraId="3D0E8F9A">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492.818</w:t>
                  </w:r>
                </w:p>
              </w:tc>
              <w:tc>
                <w:tcPr>
                  <w:tcW w:w="803" w:type="dxa"/>
                  <w:tcBorders>
                    <w:left w:val="single" w:color="auto" w:sz="4" w:space="0"/>
                    <w:tl2br w:val="nil"/>
                    <w:tr2bl w:val="nil"/>
                  </w:tcBorders>
                  <w:noWrap w:val="0"/>
                  <w:vAlign w:val="center"/>
                </w:tcPr>
                <w:p w14:paraId="77FC4312">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171.117</w:t>
                  </w:r>
                </w:p>
              </w:tc>
              <w:tc>
                <w:tcPr>
                  <w:tcW w:w="610" w:type="dxa"/>
                  <w:tcBorders>
                    <w:tl2br w:val="nil"/>
                    <w:tr2bl w:val="nil"/>
                  </w:tcBorders>
                  <w:noWrap w:val="0"/>
                  <w:vAlign w:val="center"/>
                </w:tcPr>
                <w:p w14:paraId="71810FE2">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ascii="Times New Roman" w:hAnsi="Times New Roman" w:eastAsia="宋体" w:cs="Times New Roman"/>
                      <w:bCs/>
                      <w:caps w:val="0"/>
                      <w:color w:val="auto"/>
                      <w:spacing w:val="0"/>
                      <w:position w:val="0"/>
                      <w:sz w:val="21"/>
                      <w:szCs w:val="21"/>
                      <w:highlight w:val="none"/>
                      <w:lang w:val="en-US" w:eastAsia="zh-CN"/>
                    </w:rPr>
                    <w:t>无组织</w:t>
                  </w:r>
                </w:p>
              </w:tc>
              <w:tc>
                <w:tcPr>
                  <w:tcW w:w="1859" w:type="dxa"/>
                  <w:tcBorders>
                    <w:tl2br w:val="nil"/>
                    <w:tr2bl w:val="nil"/>
                  </w:tcBorders>
                  <w:noWrap w:val="0"/>
                  <w:vAlign w:val="center"/>
                </w:tcPr>
                <w:p w14:paraId="6D87D241">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0" w:firstLineChars="0"/>
                    <w:textAlignment w:val="auto"/>
                    <w:rPr>
                      <w:rFonts w:hint="default" w:ascii="Times New Roman" w:hAnsi="Times New Roman" w:eastAsia="宋体" w:cs="Times New Roman"/>
                      <w:bCs/>
                      <w:caps w:val="0"/>
                      <w:color w:val="auto"/>
                      <w:spacing w:val="0"/>
                      <w:position w:val="0"/>
                      <w:sz w:val="21"/>
                      <w:szCs w:val="21"/>
                      <w:highlight w:val="none"/>
                    </w:rPr>
                  </w:pPr>
                  <w:r>
                    <w:rPr>
                      <w:rFonts w:hint="default" w:ascii="Times New Roman" w:hAnsi="Times New Roman" w:eastAsia="宋体" w:cs="Times New Roman"/>
                      <w:bCs/>
                      <w:caps w:val="0"/>
                      <w:color w:val="auto"/>
                      <w:spacing w:val="0"/>
                      <w:position w:val="0"/>
                      <w:sz w:val="21"/>
                      <w:szCs w:val="21"/>
                      <w:highlight w:val="none"/>
                      <w:lang w:val="en-US" w:eastAsia="zh-CN"/>
                    </w:rPr>
                    <w:t>装卸降低高度落差，移动雾炮喷雾抑尘；及时覆盖、压实作业面</w:t>
                  </w:r>
                  <w:r>
                    <w:rPr>
                      <w:rFonts w:hint="eastAsia" w:cs="Times New Roman"/>
                      <w:bCs/>
                      <w:caps w:val="0"/>
                      <w:color w:val="auto"/>
                      <w:spacing w:val="0"/>
                      <w:position w:val="0"/>
                      <w:sz w:val="21"/>
                      <w:szCs w:val="21"/>
                      <w:highlight w:val="none"/>
                      <w:lang w:val="en-US" w:eastAsia="zh-CN"/>
                    </w:rPr>
                    <w:t>；</w:t>
                  </w:r>
                  <w:r>
                    <w:rPr>
                      <w:rFonts w:hint="eastAsia"/>
                      <w:color w:val="auto"/>
                      <w:highlight w:val="none"/>
                      <w:lang w:val="en-US" w:eastAsia="zh-CN"/>
                    </w:rPr>
                    <w:t>场区边界设置扬尘监测系统，对无组织颗粒物进行监测</w:t>
                  </w:r>
                </w:p>
              </w:tc>
              <w:tc>
                <w:tcPr>
                  <w:tcW w:w="635" w:type="dxa"/>
                  <w:tcBorders>
                    <w:tl2br w:val="nil"/>
                    <w:tr2bl w:val="nil"/>
                  </w:tcBorders>
                  <w:noWrap w:val="0"/>
                  <w:vAlign w:val="center"/>
                </w:tcPr>
                <w:p w14:paraId="4FBEBD5A">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96.36</w:t>
                  </w:r>
                </w:p>
              </w:tc>
              <w:tc>
                <w:tcPr>
                  <w:tcW w:w="837" w:type="dxa"/>
                  <w:tcBorders>
                    <w:tl2br w:val="nil"/>
                    <w:tr2bl w:val="nil"/>
                  </w:tcBorders>
                  <w:noWrap w:val="0"/>
                  <w:vAlign w:val="center"/>
                </w:tcPr>
                <w:p w14:paraId="617699C5">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是</w:t>
                  </w:r>
                </w:p>
              </w:tc>
              <w:tc>
                <w:tcPr>
                  <w:tcW w:w="715" w:type="dxa"/>
                  <w:tcBorders>
                    <w:tl2br w:val="nil"/>
                    <w:tr2bl w:val="nil"/>
                  </w:tcBorders>
                  <w:noWrap w:val="0"/>
                  <w:vAlign w:val="center"/>
                </w:tcPr>
                <w:p w14:paraId="0BD8D2F6">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6.229</w:t>
                  </w:r>
                </w:p>
              </w:tc>
              <w:tc>
                <w:tcPr>
                  <w:tcW w:w="831" w:type="dxa"/>
                  <w:tcBorders>
                    <w:tl2br w:val="nil"/>
                    <w:tr2bl w:val="nil"/>
                  </w:tcBorders>
                  <w:noWrap w:val="0"/>
                  <w:vAlign w:val="center"/>
                </w:tcPr>
                <w:p w14:paraId="29E1EAF5">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17.939</w:t>
                  </w:r>
                </w:p>
              </w:tc>
            </w:tr>
            <w:tr w14:paraId="7CA56F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91" w:hRule="atLeast"/>
                <w:jc w:val="center"/>
              </w:trPr>
              <w:tc>
                <w:tcPr>
                  <w:tcW w:w="579" w:type="dxa"/>
                  <w:tcBorders>
                    <w:tl2br w:val="nil"/>
                    <w:tr2bl w:val="nil"/>
                  </w:tcBorders>
                  <w:shd w:val="clear" w:color="auto" w:fill="auto"/>
                  <w:noWrap w:val="0"/>
                  <w:vAlign w:val="center"/>
                </w:tcPr>
                <w:p w14:paraId="71D3F29F">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kern w:val="2"/>
                      <w:position w:val="0"/>
                      <w:sz w:val="21"/>
                      <w:szCs w:val="21"/>
                      <w:highlight w:val="none"/>
                      <w:lang w:val="en-US" w:eastAsia="zh-CN" w:bidi="ar-SA"/>
                    </w:rPr>
                    <w:t>运输废气</w:t>
                  </w:r>
                </w:p>
              </w:tc>
              <w:tc>
                <w:tcPr>
                  <w:tcW w:w="558" w:type="dxa"/>
                  <w:tcBorders>
                    <w:tl2br w:val="nil"/>
                    <w:tr2bl w:val="nil"/>
                  </w:tcBorders>
                  <w:shd w:val="clear" w:color="auto" w:fill="auto"/>
                  <w:noWrap w:val="0"/>
                  <w:vAlign w:val="center"/>
                </w:tcPr>
                <w:p w14:paraId="0FA862AD">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kern w:val="2"/>
                      <w:position w:val="0"/>
                      <w:sz w:val="21"/>
                      <w:szCs w:val="21"/>
                      <w:highlight w:val="none"/>
                      <w:lang w:val="en-US" w:eastAsia="zh-CN" w:bidi="ar-SA"/>
                    </w:rPr>
                    <w:t>颗粒物</w:t>
                  </w:r>
                </w:p>
              </w:tc>
              <w:tc>
                <w:tcPr>
                  <w:tcW w:w="1483" w:type="dxa"/>
                  <w:gridSpan w:val="2"/>
                  <w:tcBorders>
                    <w:tl2br w:val="nil"/>
                    <w:tr2bl w:val="nil"/>
                  </w:tcBorders>
                  <w:shd w:val="clear" w:color="auto" w:fill="auto"/>
                  <w:noWrap w:val="0"/>
                  <w:vAlign w:val="center"/>
                </w:tcPr>
                <w:p w14:paraId="31E74558">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cs="Times New Roman"/>
                      <w:bCs/>
                      <w:caps w:val="0"/>
                      <w:color w:val="auto"/>
                      <w:spacing w:val="0"/>
                      <w:kern w:val="2"/>
                      <w:position w:val="0"/>
                      <w:sz w:val="21"/>
                      <w:szCs w:val="21"/>
                      <w:highlight w:val="none"/>
                      <w:lang w:val="en-US" w:eastAsia="zh-CN" w:bidi="ar-SA"/>
                    </w:rPr>
                    <w:t>/</w:t>
                  </w:r>
                </w:p>
              </w:tc>
              <w:tc>
                <w:tcPr>
                  <w:tcW w:w="610" w:type="dxa"/>
                  <w:tcBorders>
                    <w:tl2br w:val="nil"/>
                    <w:tr2bl w:val="nil"/>
                  </w:tcBorders>
                  <w:shd w:val="clear" w:color="auto" w:fill="auto"/>
                  <w:noWrap w:val="0"/>
                  <w:vAlign w:val="center"/>
                </w:tcPr>
                <w:p w14:paraId="44F15C27">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ascii="Times New Roman" w:hAnsi="Times New Roman" w:eastAsia="宋体" w:cs="Times New Roman"/>
                      <w:bCs/>
                      <w:caps w:val="0"/>
                      <w:color w:val="auto"/>
                      <w:spacing w:val="0"/>
                      <w:kern w:val="2"/>
                      <w:position w:val="0"/>
                      <w:sz w:val="21"/>
                      <w:szCs w:val="21"/>
                      <w:highlight w:val="none"/>
                      <w:lang w:val="en-US" w:eastAsia="zh-CN" w:bidi="ar-SA"/>
                    </w:rPr>
                  </w:pPr>
                  <w:r>
                    <w:rPr>
                      <w:rFonts w:hint="eastAsia" w:ascii="Times New Roman" w:hAnsi="Times New Roman" w:eastAsia="宋体" w:cs="Times New Roman"/>
                      <w:bCs/>
                      <w:caps w:val="0"/>
                      <w:color w:val="auto"/>
                      <w:spacing w:val="0"/>
                      <w:kern w:val="2"/>
                      <w:position w:val="0"/>
                      <w:sz w:val="21"/>
                      <w:szCs w:val="21"/>
                      <w:highlight w:val="none"/>
                      <w:lang w:val="en-US" w:eastAsia="zh-CN" w:bidi="ar-SA"/>
                    </w:rPr>
                    <w:t>无组织</w:t>
                  </w:r>
                </w:p>
              </w:tc>
              <w:tc>
                <w:tcPr>
                  <w:tcW w:w="1859" w:type="dxa"/>
                  <w:tcBorders>
                    <w:tl2br w:val="nil"/>
                    <w:tr2bl w:val="nil"/>
                  </w:tcBorders>
                  <w:noWrap w:val="0"/>
                  <w:vAlign w:val="center"/>
                </w:tcPr>
                <w:p w14:paraId="3D2A3A1C">
                  <w:pPr>
                    <w:pStyle w:val="35"/>
                    <w:keepNext w:val="0"/>
                    <w:keepLines w:val="0"/>
                    <w:pageBreakBefore w:val="0"/>
                    <w:widowControl w:val="0"/>
                    <w:kinsoku/>
                    <w:wordWrap/>
                    <w:overflowPunct/>
                    <w:topLinePunct w:val="0"/>
                    <w:autoSpaceDE/>
                    <w:autoSpaceDN/>
                    <w:bidi w:val="0"/>
                    <w:adjustRightInd/>
                    <w:snapToGrid/>
                    <w:spacing w:before="0" w:after="0"/>
                    <w:ind w:left="0" w:leftChars="0" w:right="0" w:rightChars="0" w:firstLine="0" w:firstLineChars="0"/>
                    <w:textAlignment w:val="auto"/>
                    <w:rPr>
                      <w:rFonts w:hint="default"/>
                      <w:color w:val="auto"/>
                      <w:sz w:val="21"/>
                      <w:szCs w:val="21"/>
                      <w:highlight w:val="none"/>
                      <w:lang w:val="en-US" w:eastAsia="zh-CN"/>
                    </w:rPr>
                  </w:pPr>
                  <w:r>
                    <w:rPr>
                      <w:rFonts w:hint="eastAsia"/>
                      <w:color w:val="auto"/>
                      <w:highlight w:val="none"/>
                      <w:lang w:val="en-US" w:eastAsia="zh-CN"/>
                    </w:rPr>
                    <w:t>运输车辆加盖苫布，</w:t>
                  </w:r>
                  <w:r>
                    <w:rPr>
                      <w:rFonts w:hint="default"/>
                      <w:color w:val="auto"/>
                      <w:highlight w:val="none"/>
                      <w:lang w:val="en-US" w:eastAsia="zh-CN"/>
                    </w:rPr>
                    <w:t>配备1台洒水车定期洒水降尘</w:t>
                  </w:r>
                  <w:r>
                    <w:rPr>
                      <w:rFonts w:hint="eastAsia"/>
                      <w:color w:val="auto"/>
                      <w:highlight w:val="none"/>
                      <w:lang w:val="en-US" w:eastAsia="zh-CN"/>
                    </w:rPr>
                    <w:t>，场区设置洗车平台，对进出场车辆进行清洗；运输车辆定期、及时维修、保养，对非道路移动机械进行环保登记</w:t>
                  </w:r>
                </w:p>
              </w:tc>
              <w:tc>
                <w:tcPr>
                  <w:tcW w:w="635" w:type="dxa"/>
                  <w:tcBorders>
                    <w:tl2br w:val="nil"/>
                    <w:tr2bl w:val="nil"/>
                  </w:tcBorders>
                  <w:noWrap w:val="0"/>
                  <w:vAlign w:val="center"/>
                </w:tcPr>
                <w:p w14:paraId="5EDC8ECB">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w:t>
                  </w:r>
                </w:p>
              </w:tc>
              <w:tc>
                <w:tcPr>
                  <w:tcW w:w="837" w:type="dxa"/>
                  <w:tcBorders>
                    <w:tl2br w:val="nil"/>
                    <w:tr2bl w:val="nil"/>
                  </w:tcBorders>
                  <w:noWrap w:val="0"/>
                  <w:vAlign w:val="center"/>
                </w:tcPr>
                <w:p w14:paraId="5E877FFE">
                  <w:pPr>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auto"/>
                    <w:rPr>
                      <w:rFonts w:hint="default" w:cs="Times New Roman"/>
                      <w:bCs/>
                      <w:caps w:val="0"/>
                      <w:color w:val="auto"/>
                      <w:spacing w:val="0"/>
                      <w:position w:val="0"/>
                      <w:sz w:val="21"/>
                      <w:szCs w:val="21"/>
                      <w:highlight w:val="none"/>
                      <w:lang w:val="en-US" w:eastAsia="zh-CN"/>
                    </w:rPr>
                  </w:pPr>
                  <w:r>
                    <w:rPr>
                      <w:rFonts w:hint="eastAsia" w:cs="Times New Roman"/>
                      <w:bCs/>
                      <w:caps w:val="0"/>
                      <w:color w:val="auto"/>
                      <w:spacing w:val="0"/>
                      <w:position w:val="0"/>
                      <w:sz w:val="21"/>
                      <w:szCs w:val="21"/>
                      <w:highlight w:val="none"/>
                      <w:lang w:val="en-US" w:eastAsia="zh-CN"/>
                    </w:rPr>
                    <w:t>/</w:t>
                  </w:r>
                </w:p>
              </w:tc>
              <w:tc>
                <w:tcPr>
                  <w:tcW w:w="715" w:type="dxa"/>
                  <w:tcBorders>
                    <w:tl2br w:val="nil"/>
                    <w:tr2bl w:val="nil"/>
                  </w:tcBorders>
                  <w:noWrap w:val="0"/>
                  <w:vAlign w:val="center"/>
                </w:tcPr>
                <w:p w14:paraId="68190725">
                  <w:pPr>
                    <w:pStyle w:val="35"/>
                    <w:keepNext w:val="0"/>
                    <w:keepLines w:val="0"/>
                    <w:pageBreakBefore w:val="0"/>
                    <w:widowControl w:val="0"/>
                    <w:kinsoku/>
                    <w:wordWrap/>
                    <w:overflowPunct/>
                    <w:topLinePunct w:val="0"/>
                    <w:autoSpaceDE/>
                    <w:autoSpaceDN/>
                    <w:bidi w:val="0"/>
                    <w:adjustRightInd/>
                    <w:snapToGrid/>
                    <w:spacing w:line="0" w:lineRule="atLeast"/>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831" w:type="dxa"/>
                  <w:tcBorders>
                    <w:tl2br w:val="nil"/>
                    <w:tr2bl w:val="nil"/>
                  </w:tcBorders>
                  <w:noWrap w:val="0"/>
                  <w:vAlign w:val="center"/>
                </w:tcPr>
                <w:p w14:paraId="0E964FAF">
                  <w:pPr>
                    <w:pStyle w:val="35"/>
                    <w:keepNext w:val="0"/>
                    <w:keepLines w:val="0"/>
                    <w:pageBreakBefore w:val="0"/>
                    <w:widowControl w:val="0"/>
                    <w:kinsoku/>
                    <w:wordWrap/>
                    <w:overflowPunct/>
                    <w:topLinePunct w:val="0"/>
                    <w:autoSpaceDE/>
                    <w:autoSpaceDN/>
                    <w:bidi w:val="0"/>
                    <w:adjustRightInd/>
                    <w:snapToGrid/>
                    <w:spacing w:line="0" w:lineRule="atLeast"/>
                    <w:ind w:firstLine="0" w:firstLineChars="0"/>
                    <w:textAlignment w:val="auto"/>
                    <w:rPr>
                      <w:rFonts w:hint="default"/>
                      <w:color w:val="auto"/>
                      <w:sz w:val="21"/>
                      <w:szCs w:val="21"/>
                      <w:highlight w:val="none"/>
                      <w:lang w:val="en-US" w:eastAsia="zh-CN"/>
                    </w:rPr>
                  </w:pPr>
                  <w:r>
                    <w:rPr>
                      <w:rFonts w:hint="eastAsia"/>
                      <w:color w:val="auto"/>
                      <w:sz w:val="21"/>
                      <w:szCs w:val="21"/>
                      <w:highlight w:val="none"/>
                      <w:lang w:val="en-US" w:eastAsia="zh-CN"/>
                    </w:rPr>
                    <w:t>/</w:t>
                  </w:r>
                </w:p>
              </w:tc>
            </w:tr>
          </w:tbl>
          <w:p w14:paraId="7DBFB48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bCs/>
                <w:color w:val="auto"/>
                <w:highlight w:val="none"/>
                <w:lang w:eastAsia="zh-CN"/>
              </w:rPr>
            </w:pPr>
            <w:r>
              <w:rPr>
                <w:rFonts w:hint="eastAsia"/>
                <w:b/>
                <w:bCs/>
                <w:color w:val="auto"/>
                <w:highlight w:val="none"/>
                <w:lang w:val="en-US" w:eastAsia="zh-CN"/>
              </w:rPr>
              <w:t>1.2</w:t>
            </w:r>
            <w:r>
              <w:rPr>
                <w:rFonts w:hint="eastAsia"/>
                <w:b/>
                <w:bCs/>
                <w:color w:val="auto"/>
                <w:highlight w:val="none"/>
                <w:lang w:eastAsia="zh-CN"/>
              </w:rPr>
              <w:t>源强核算分析过程</w:t>
            </w:r>
          </w:p>
          <w:p w14:paraId="58B2019B">
            <w:pPr>
              <w:bidi w:val="0"/>
              <w:rPr>
                <w:rFonts w:hint="default"/>
                <w:color w:val="auto"/>
                <w:highlight w:val="none"/>
                <w:lang w:val="en-US" w:eastAsia="zh-CN"/>
              </w:rPr>
            </w:pPr>
            <w:r>
              <w:rPr>
                <w:rFonts w:hint="eastAsia"/>
                <w:color w:val="auto"/>
                <w:highlight w:val="none"/>
                <w:lang w:val="en-US" w:eastAsia="zh-CN"/>
              </w:rPr>
              <w:t>本项目运营期废气</w:t>
            </w:r>
            <w:r>
              <w:rPr>
                <w:rFonts w:hint="eastAsia"/>
                <w:color w:val="auto"/>
                <w:sz w:val="24"/>
                <w:szCs w:val="24"/>
                <w:highlight w:val="none"/>
                <w:lang w:val="en-US" w:eastAsia="zh-CN"/>
              </w:rPr>
              <w:t>主要为卸车、堆填废气，运输废气。</w:t>
            </w:r>
          </w:p>
          <w:p w14:paraId="3BBE5354">
            <w:pPr>
              <w:bidi w:val="0"/>
              <w:rPr>
                <w:rFonts w:hint="eastAsia"/>
                <w:b/>
                <w:bCs/>
                <w:color w:val="auto"/>
                <w:highlight w:val="none"/>
                <w:lang w:val="en-US" w:eastAsia="zh-CN"/>
              </w:rPr>
            </w:pPr>
            <w:r>
              <w:rPr>
                <w:rFonts w:hint="eastAsia"/>
                <w:b/>
                <w:bCs/>
                <w:color w:val="auto"/>
                <w:highlight w:val="none"/>
                <w:lang w:val="en-US" w:eastAsia="zh-CN"/>
              </w:rPr>
              <w:t>1.2.1</w:t>
            </w:r>
            <w:r>
              <w:rPr>
                <w:rFonts w:hint="eastAsia"/>
                <w:b/>
                <w:bCs/>
                <w:color w:val="auto"/>
                <w:sz w:val="24"/>
                <w:szCs w:val="24"/>
                <w:highlight w:val="none"/>
                <w:lang w:val="en-US" w:eastAsia="zh-CN"/>
              </w:rPr>
              <w:t>卸车、堆填废气</w:t>
            </w:r>
          </w:p>
          <w:p w14:paraId="3EB147D9">
            <w:pPr>
              <w:bidi w:val="0"/>
              <w:rPr>
                <w:color w:val="auto"/>
                <w:highlight w:val="none"/>
              </w:rPr>
            </w:pPr>
            <w:r>
              <w:rPr>
                <w:rFonts w:hint="eastAsia"/>
                <w:color w:val="auto"/>
                <w:sz w:val="24"/>
                <w:szCs w:val="24"/>
                <w:highlight w:val="none"/>
                <w:lang w:val="en-US" w:eastAsia="zh-CN"/>
              </w:rPr>
              <w:t>本项目卸车、堆填废气包含装卸扬尘和风蚀扬尘，卸车、堆填废气颗粒物产生及排放情况</w:t>
            </w:r>
            <w:r>
              <w:rPr>
                <w:rFonts w:ascii="Times New Roman" w:hAnsi="Times New Roman" w:eastAsia="宋体" w:cs="Times New Roman"/>
                <w:color w:val="auto"/>
                <w:spacing w:val="0"/>
                <w:sz w:val="24"/>
                <w:highlight w:val="none"/>
              </w:rPr>
              <w:t>参</w:t>
            </w:r>
            <w:r>
              <w:rPr>
                <w:rFonts w:hint="eastAsia" w:ascii="Times New Roman" w:hAnsi="Times New Roman" w:eastAsia="宋体" w:cs="Times New Roman"/>
                <w:color w:val="auto"/>
                <w:spacing w:val="0"/>
                <w:sz w:val="24"/>
                <w:highlight w:val="none"/>
                <w:lang w:val="en-US" w:eastAsia="zh-CN"/>
              </w:rPr>
              <w:t>照</w:t>
            </w:r>
            <w:r>
              <w:rPr>
                <w:rFonts w:hint="eastAsia"/>
                <w:color w:val="auto"/>
                <w:sz w:val="24"/>
                <w:highlight w:val="none"/>
                <w:lang w:eastAsia="zh-CN"/>
              </w:rPr>
              <w:t>《排放源统计调查产排污核算方法和系数手册》</w:t>
            </w:r>
            <w:r>
              <w:rPr>
                <w:rFonts w:hint="eastAsia"/>
                <w:color w:val="auto"/>
                <w:sz w:val="24"/>
                <w:highlight w:val="none"/>
                <w:lang w:val="en-US" w:eastAsia="zh-CN"/>
              </w:rPr>
              <w:t>附表2固体物料堆存颗粒物产排污系数核算系数手册中固体物料堆场颗粒物的产生量和排放量的核算</w:t>
            </w:r>
            <w:r>
              <w:rPr>
                <w:color w:val="auto"/>
                <w:highlight w:val="none"/>
              </w:rPr>
              <w:t>方法进行计算。</w:t>
            </w:r>
          </w:p>
          <w:p w14:paraId="34858A1E">
            <w:pPr>
              <w:bidi w:val="0"/>
              <w:rPr>
                <w:rFonts w:hint="default" w:eastAsia="宋体"/>
                <w:color w:val="auto"/>
                <w:highlight w:val="none"/>
                <w:lang w:val="en-US"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lang w:val="en-US" w:eastAsia="zh-CN"/>
              </w:rPr>
              <w:t>颗粒物产生情况</w:t>
            </w:r>
          </w:p>
          <w:p w14:paraId="7C4C730A">
            <w:pPr>
              <w:bidi w:val="0"/>
              <w:rPr>
                <w:color w:val="auto"/>
                <w:highlight w:val="none"/>
              </w:rPr>
            </w:pPr>
            <w:r>
              <w:rPr>
                <w:rFonts w:hint="eastAsia"/>
                <w:color w:val="auto"/>
                <w:highlight w:val="none"/>
                <w:lang w:val="en-US" w:eastAsia="zh-CN"/>
              </w:rPr>
              <w:t>颗粒物产生量核算公式</w:t>
            </w:r>
            <w:r>
              <w:rPr>
                <w:color w:val="auto"/>
                <w:highlight w:val="none"/>
              </w:rPr>
              <w:t>如下：</w:t>
            </w:r>
          </w:p>
          <w:p w14:paraId="28D307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highlight w:val="none"/>
                <w:lang w:val="en-US" w:eastAsia="zh-CN"/>
              </w:rPr>
            </w:pPr>
            <w:r>
              <w:rPr>
                <w:rFonts w:hint="default"/>
                <w:i/>
                <w:iCs/>
                <w:color w:val="auto"/>
                <w:position w:val="-14"/>
                <w:highlight w:val="none"/>
                <w:lang w:val="en-US" w:eastAsia="zh-CN"/>
              </w:rPr>
              <w:object>
                <v:shape id="_x0000_i1026" o:spt="75" type="#_x0000_t75" style="height:20pt;width:246pt;" o:ole="t" filled="f" o:preferrelative="t" stroked="f" coordsize="21600,21600">
                  <v:path/>
                  <v:fill on="f" focussize="0,0"/>
                  <v:stroke on="f"/>
                  <v:imagedata r:id="rId20" o:title=""/>
                  <o:lock v:ext="edit" aspectratio="t"/>
                  <w10:wrap type="none"/>
                  <w10:anchorlock/>
                </v:shape>
                <o:OLEObject Type="Embed" ProgID="Equation.KSEE3" ShapeID="_x0000_i1026" DrawAspect="Content" ObjectID="_1468075726" r:id="rId19">
                  <o:LockedField>false</o:LockedField>
                </o:OLEObject>
              </w:object>
            </w:r>
          </w:p>
          <w:p w14:paraId="1DFE6E09">
            <w:pPr>
              <w:ind w:left="0" w:leftChars="0" w:firstLine="0" w:firstLineChars="0"/>
              <w:rPr>
                <w:color w:val="auto"/>
                <w:sz w:val="24"/>
                <w:szCs w:val="24"/>
                <w:highlight w:val="none"/>
              </w:rPr>
            </w:pPr>
            <w:r>
              <w:rPr>
                <w:color w:val="auto"/>
                <w:sz w:val="24"/>
                <w:szCs w:val="24"/>
                <w:highlight w:val="none"/>
              </w:rPr>
              <w:t>式中：</w:t>
            </w:r>
          </w:p>
          <w:p w14:paraId="63985290">
            <w:pPr>
              <w:ind w:firstLine="489"/>
              <w:rPr>
                <w:color w:val="auto"/>
                <w:sz w:val="24"/>
                <w:szCs w:val="24"/>
                <w:highlight w:val="none"/>
              </w:rPr>
            </w:pPr>
            <w:r>
              <w:rPr>
                <w:rFonts w:hint="eastAsia"/>
                <w:color w:val="auto"/>
                <w:sz w:val="24"/>
                <w:szCs w:val="24"/>
                <w:highlight w:val="none"/>
                <w:lang w:val="en-US" w:eastAsia="zh-CN"/>
              </w:rPr>
              <w:t>P</w:t>
            </w:r>
            <w:r>
              <w:rPr>
                <w:color w:val="auto"/>
                <w:sz w:val="24"/>
                <w:szCs w:val="24"/>
                <w:highlight w:val="none"/>
              </w:rPr>
              <w:t>——</w:t>
            </w:r>
            <w:r>
              <w:rPr>
                <w:rFonts w:hint="eastAsia"/>
                <w:color w:val="auto"/>
                <w:sz w:val="24"/>
                <w:szCs w:val="24"/>
                <w:highlight w:val="none"/>
                <w:lang w:val="en-US" w:eastAsia="zh-CN"/>
              </w:rPr>
              <w:t>颗粒物产生量，t/a</w:t>
            </w:r>
            <w:r>
              <w:rPr>
                <w:color w:val="auto"/>
                <w:sz w:val="24"/>
                <w:szCs w:val="24"/>
                <w:highlight w:val="none"/>
              </w:rPr>
              <w:t>。</w:t>
            </w:r>
          </w:p>
          <w:p w14:paraId="731C3518">
            <w:pPr>
              <w:ind w:firstLine="489"/>
              <w:rPr>
                <w:color w:val="auto"/>
                <w:sz w:val="24"/>
                <w:szCs w:val="24"/>
                <w:highlight w:val="none"/>
              </w:rPr>
            </w:pPr>
            <w:r>
              <w:rPr>
                <w:rFonts w:hint="eastAsia"/>
                <w:color w:val="auto"/>
                <w:sz w:val="24"/>
                <w:szCs w:val="24"/>
                <w:highlight w:val="none"/>
                <w:lang w:val="en-US" w:eastAsia="zh-CN"/>
              </w:rPr>
              <w:t>ZC</w:t>
            </w:r>
            <w:r>
              <w:rPr>
                <w:rFonts w:hint="eastAsia"/>
                <w:color w:val="auto"/>
                <w:sz w:val="24"/>
                <w:szCs w:val="24"/>
                <w:highlight w:val="none"/>
                <w:vertAlign w:val="subscript"/>
                <w:lang w:val="en-US" w:eastAsia="zh-CN"/>
              </w:rPr>
              <w:t>y</w:t>
            </w:r>
            <w:r>
              <w:rPr>
                <w:color w:val="auto"/>
                <w:sz w:val="24"/>
                <w:szCs w:val="24"/>
                <w:highlight w:val="none"/>
              </w:rPr>
              <w:t>——</w:t>
            </w:r>
            <w:r>
              <w:rPr>
                <w:rFonts w:hint="eastAsia"/>
                <w:color w:val="auto"/>
                <w:sz w:val="24"/>
                <w:szCs w:val="24"/>
                <w:highlight w:val="none"/>
                <w:lang w:val="en-US" w:eastAsia="zh-CN"/>
              </w:rPr>
              <w:t>装卸扬尘产生量，t/a</w:t>
            </w:r>
            <w:r>
              <w:rPr>
                <w:color w:val="auto"/>
                <w:sz w:val="24"/>
                <w:szCs w:val="24"/>
                <w:highlight w:val="none"/>
              </w:rPr>
              <w:t>。</w:t>
            </w:r>
          </w:p>
          <w:p w14:paraId="42028C50">
            <w:pPr>
              <w:ind w:firstLine="489"/>
              <w:rPr>
                <w:color w:val="auto"/>
                <w:sz w:val="24"/>
                <w:szCs w:val="24"/>
                <w:highlight w:val="none"/>
              </w:rPr>
            </w:pPr>
            <w:r>
              <w:rPr>
                <w:rFonts w:hint="eastAsia"/>
                <w:color w:val="auto"/>
                <w:sz w:val="24"/>
                <w:szCs w:val="24"/>
                <w:highlight w:val="none"/>
                <w:lang w:val="en-US" w:eastAsia="zh-CN"/>
              </w:rPr>
              <w:t>FC</w:t>
            </w:r>
            <w:r>
              <w:rPr>
                <w:rFonts w:hint="eastAsia"/>
                <w:color w:val="auto"/>
                <w:sz w:val="24"/>
                <w:szCs w:val="24"/>
                <w:highlight w:val="none"/>
                <w:vertAlign w:val="subscript"/>
                <w:lang w:val="en-US" w:eastAsia="zh-CN"/>
              </w:rPr>
              <w:t>y</w:t>
            </w:r>
            <w:r>
              <w:rPr>
                <w:color w:val="auto"/>
                <w:sz w:val="24"/>
                <w:szCs w:val="24"/>
                <w:highlight w:val="none"/>
              </w:rPr>
              <w:t>——</w:t>
            </w:r>
            <w:r>
              <w:rPr>
                <w:rFonts w:hint="eastAsia"/>
                <w:color w:val="auto"/>
                <w:sz w:val="24"/>
                <w:szCs w:val="24"/>
                <w:highlight w:val="none"/>
                <w:lang w:val="en-US" w:eastAsia="zh-CN"/>
              </w:rPr>
              <w:t>风蚀扬尘产生量，t/a</w:t>
            </w:r>
            <w:r>
              <w:rPr>
                <w:color w:val="auto"/>
                <w:sz w:val="24"/>
                <w:szCs w:val="24"/>
                <w:highlight w:val="none"/>
              </w:rPr>
              <w:t>。</w:t>
            </w:r>
          </w:p>
          <w:p w14:paraId="0EE98026">
            <w:pPr>
              <w:ind w:firstLine="489"/>
              <w:rPr>
                <w:color w:val="auto"/>
                <w:sz w:val="24"/>
                <w:szCs w:val="24"/>
                <w:highlight w:val="none"/>
              </w:rPr>
            </w:pPr>
            <w:r>
              <w:rPr>
                <w:rFonts w:hint="eastAsia"/>
                <w:color w:val="auto"/>
                <w:sz w:val="24"/>
                <w:szCs w:val="24"/>
                <w:highlight w:val="none"/>
                <w:lang w:val="en-US" w:eastAsia="zh-CN"/>
              </w:rPr>
              <w:t>N</w:t>
            </w:r>
            <w:r>
              <w:rPr>
                <w:rFonts w:hint="eastAsia"/>
                <w:color w:val="auto"/>
                <w:sz w:val="24"/>
                <w:szCs w:val="24"/>
                <w:highlight w:val="none"/>
                <w:vertAlign w:val="subscript"/>
                <w:lang w:val="en-US" w:eastAsia="zh-CN"/>
              </w:rPr>
              <w:t>c</w:t>
            </w:r>
            <w:r>
              <w:rPr>
                <w:color w:val="auto"/>
                <w:sz w:val="24"/>
                <w:szCs w:val="24"/>
                <w:highlight w:val="none"/>
              </w:rPr>
              <w:t>——</w:t>
            </w:r>
            <w:r>
              <w:rPr>
                <w:rFonts w:hint="eastAsia"/>
                <w:color w:val="auto"/>
                <w:sz w:val="24"/>
                <w:szCs w:val="24"/>
                <w:highlight w:val="none"/>
                <w:lang w:val="en-US" w:eastAsia="zh-CN"/>
              </w:rPr>
              <w:t>年物料运载车次，车/a，项目堆填场建筑垃圾库容19万m</w:t>
            </w:r>
            <w:r>
              <w:rPr>
                <w:rFonts w:hint="eastAsia"/>
                <w:color w:val="auto"/>
                <w:sz w:val="24"/>
                <w:szCs w:val="24"/>
                <w:highlight w:val="none"/>
                <w:vertAlign w:val="superscript"/>
                <w:lang w:val="en-US" w:eastAsia="zh-CN"/>
              </w:rPr>
              <w:t>3</w:t>
            </w:r>
            <w:r>
              <w:rPr>
                <w:rFonts w:hint="eastAsia"/>
                <w:color w:val="auto"/>
                <w:sz w:val="24"/>
                <w:szCs w:val="24"/>
                <w:highlight w:val="none"/>
                <w:lang w:val="en-US" w:eastAsia="zh-CN"/>
              </w:rPr>
              <w:t>，不同的建筑垃圾堆填密度不同，堆填密度1.45-1.9t/m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w:t>
            </w:r>
            <w:r>
              <w:rPr>
                <w:rFonts w:hint="eastAsia"/>
                <w:color w:val="auto"/>
                <w:sz w:val="24"/>
                <w:szCs w:val="24"/>
                <w:highlight w:val="none"/>
                <w:lang w:val="en-US" w:eastAsia="zh-CN"/>
              </w:rPr>
              <w:t>本评价按1.68t/m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计</w:t>
            </w:r>
            <w:r>
              <w:rPr>
                <w:rFonts w:hint="eastAsia"/>
                <w:color w:val="auto"/>
                <w:sz w:val="24"/>
                <w:szCs w:val="24"/>
                <w:highlight w:val="none"/>
                <w:lang w:val="en-US" w:eastAsia="zh-CN"/>
              </w:rPr>
              <w:t>，堆存量约31.9万t，覆盖层物料量约2.3万t，合计34.2万t，运输车辆平均载货量17t，设计服务年限3年，则年物料运载车次6706车</w:t>
            </w:r>
            <w:r>
              <w:rPr>
                <w:color w:val="auto"/>
                <w:sz w:val="24"/>
                <w:szCs w:val="24"/>
                <w:highlight w:val="none"/>
              </w:rPr>
              <w:t>。</w:t>
            </w:r>
          </w:p>
          <w:p w14:paraId="70E74F3E">
            <w:pPr>
              <w:ind w:firstLine="489"/>
              <w:rPr>
                <w:rFonts w:hint="eastAsia"/>
                <w:color w:val="auto"/>
                <w:sz w:val="24"/>
                <w:szCs w:val="24"/>
                <w:highlight w:val="none"/>
                <w:lang w:val="en-US" w:eastAsia="zh-CN"/>
              </w:rPr>
            </w:pPr>
            <w:r>
              <w:rPr>
                <w:rFonts w:hint="eastAsia"/>
                <w:color w:val="auto"/>
                <w:sz w:val="24"/>
                <w:szCs w:val="24"/>
                <w:highlight w:val="none"/>
                <w:lang w:val="en-US" w:eastAsia="zh-CN"/>
              </w:rPr>
              <w:t>D</w:t>
            </w:r>
            <w:r>
              <w:rPr>
                <w:color w:val="auto"/>
                <w:sz w:val="24"/>
                <w:szCs w:val="24"/>
                <w:highlight w:val="none"/>
              </w:rPr>
              <w:t>——</w:t>
            </w:r>
            <w:r>
              <w:rPr>
                <w:rFonts w:hint="eastAsia"/>
                <w:color w:val="auto"/>
                <w:sz w:val="24"/>
                <w:szCs w:val="24"/>
                <w:highlight w:val="none"/>
                <w:lang w:val="en-US" w:eastAsia="zh-CN"/>
              </w:rPr>
              <w:t>单车平均运载量，t/车，17t。</w:t>
            </w:r>
          </w:p>
          <w:p w14:paraId="0CA39F6A">
            <w:pPr>
              <w:ind w:firstLine="489"/>
              <w:rPr>
                <w:rFonts w:hint="default"/>
                <w:color w:val="auto"/>
                <w:sz w:val="24"/>
                <w:szCs w:val="24"/>
                <w:highlight w:val="none"/>
                <w:lang w:val="en-US" w:eastAsia="zh-CN"/>
              </w:rPr>
            </w:pPr>
            <w:r>
              <w:rPr>
                <w:rFonts w:hint="eastAsia"/>
                <w:color w:val="auto"/>
                <w:sz w:val="24"/>
                <w:szCs w:val="24"/>
                <w:highlight w:val="none"/>
                <w:lang w:val="en-US" w:eastAsia="zh-CN"/>
              </w:rPr>
              <w:t>a/b</w:t>
            </w:r>
            <w:r>
              <w:rPr>
                <w:color w:val="auto"/>
                <w:sz w:val="24"/>
                <w:szCs w:val="24"/>
                <w:highlight w:val="none"/>
              </w:rPr>
              <w:t>——</w:t>
            </w:r>
            <w:r>
              <w:rPr>
                <w:rFonts w:hint="eastAsia"/>
                <w:color w:val="auto"/>
                <w:sz w:val="24"/>
                <w:szCs w:val="24"/>
                <w:highlight w:val="none"/>
                <w:lang w:val="en-US" w:eastAsia="zh-CN"/>
              </w:rPr>
              <w:t>装卸扬尘概化系数，kg/t，a为0.0010，</w:t>
            </w:r>
            <w:r>
              <w:rPr>
                <w:rFonts w:hint="eastAsia" w:ascii="Times New Roman" w:hAnsi="Times New Roman" w:eastAsia="宋体" w:cs="Times New Roman"/>
                <w:color w:val="auto"/>
                <w:sz w:val="24"/>
                <w:szCs w:val="24"/>
                <w:highlight w:val="none"/>
                <w:lang w:val="en-US" w:eastAsia="zh-CN"/>
              </w:rPr>
              <w:t>项目堆填场主要堆填工程渣土、工程泥浆、工程垃圾等，工程垃圾的含水率一般为8%</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18%，工程渣土（原状开挖）含水率一般为：18%</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35%，工程泥浆（钻孔、盾构泥浆）的原生泥浆含水率为：60%</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90%，其中</w:t>
            </w:r>
            <w:r>
              <w:rPr>
                <w:rFonts w:hint="default" w:ascii="Times New Roman" w:hAnsi="Times New Roman" w:eastAsia="宋体" w:cs="Times New Roman"/>
                <w:color w:val="auto"/>
                <w:sz w:val="24"/>
                <w:szCs w:val="24"/>
                <w:highlight w:val="none"/>
                <w:lang w:val="en-US" w:eastAsia="zh-CN"/>
              </w:rPr>
              <w:t>工程渣土与泥浆</w:t>
            </w:r>
            <w:r>
              <w:rPr>
                <w:rFonts w:hint="eastAsia" w:ascii="Times New Roman" w:hAnsi="Times New Roman" w:eastAsia="宋体" w:cs="Times New Roman"/>
                <w:color w:val="auto"/>
                <w:sz w:val="24"/>
                <w:szCs w:val="24"/>
                <w:highlight w:val="none"/>
                <w:lang w:val="en-US" w:eastAsia="zh-CN"/>
              </w:rPr>
              <w:t>须经</w:t>
            </w:r>
            <w:r>
              <w:rPr>
                <w:rFonts w:hint="default" w:ascii="Times New Roman" w:hAnsi="Times New Roman" w:eastAsia="宋体" w:cs="Times New Roman"/>
                <w:color w:val="auto"/>
                <w:sz w:val="24"/>
                <w:szCs w:val="24"/>
                <w:highlight w:val="none"/>
                <w:lang w:val="en-US" w:eastAsia="zh-CN"/>
              </w:rPr>
              <w:t>预处理</w:t>
            </w:r>
            <w:r>
              <w:rPr>
                <w:rFonts w:hint="eastAsia" w:ascii="Times New Roman" w:hAnsi="Times New Roman" w:eastAsia="宋体" w:cs="Times New Roman"/>
                <w:color w:val="auto"/>
                <w:sz w:val="24"/>
                <w:szCs w:val="24"/>
                <w:highlight w:val="none"/>
                <w:lang w:val="en-US" w:eastAsia="zh-CN"/>
              </w:rPr>
              <w:t>改性后满足</w:t>
            </w:r>
            <w:r>
              <w:rPr>
                <w:rFonts w:hint="default" w:ascii="Times New Roman" w:hAnsi="Times New Roman" w:eastAsia="宋体" w:cs="Times New Roman"/>
                <w:color w:val="auto"/>
                <w:sz w:val="24"/>
                <w:szCs w:val="24"/>
                <w:highlight w:val="none"/>
                <w:lang w:val="en-US" w:eastAsia="zh-CN"/>
              </w:rPr>
              <w:t>物料含水率小于40%</w:t>
            </w:r>
            <w:r>
              <w:rPr>
                <w:rFonts w:hint="eastAsia" w:ascii="Times New Roman" w:hAnsi="Times New Roman" w:eastAsia="宋体" w:cs="Times New Roman"/>
                <w:color w:val="auto"/>
                <w:sz w:val="24"/>
                <w:szCs w:val="24"/>
                <w:highlight w:val="none"/>
                <w:lang w:val="en-US" w:eastAsia="zh-CN"/>
              </w:rPr>
              <w:t>，才可入场。鉴于各种建筑垃圾含水率不固定且不统一，</w:t>
            </w:r>
            <w:r>
              <w:rPr>
                <w:rFonts w:hint="eastAsia"/>
                <w:color w:val="auto"/>
                <w:sz w:val="24"/>
                <w:szCs w:val="24"/>
                <w:highlight w:val="none"/>
                <w:lang w:val="en-US" w:eastAsia="zh-CN"/>
              </w:rPr>
              <w:t>本评价按15%计，参照</w:t>
            </w:r>
            <w:r>
              <w:rPr>
                <w:rFonts w:hint="eastAsia"/>
                <w:color w:val="auto"/>
                <w:sz w:val="24"/>
                <w:szCs w:val="24"/>
                <w:highlight w:val="none"/>
                <w:lang w:eastAsia="zh-CN"/>
              </w:rPr>
              <w:t>《排放源统计调查产排污核算方法和系数手册》</w:t>
            </w:r>
            <w:r>
              <w:rPr>
                <w:rFonts w:hint="eastAsia"/>
                <w:color w:val="auto"/>
                <w:sz w:val="24"/>
                <w:szCs w:val="24"/>
                <w:highlight w:val="none"/>
                <w:lang w:val="en-US" w:eastAsia="zh-CN"/>
              </w:rPr>
              <w:t>附表2固体物料堆存颗粒物产排污系数核算系数手册附录2，表土（含水10%）b=0.0151，含油碱渣（含水20%）b=0.0398，本项目b取0.0274。</w:t>
            </w:r>
          </w:p>
          <w:p w14:paraId="7E597937">
            <w:pPr>
              <w:ind w:firstLine="489"/>
              <w:rPr>
                <w:color w:val="auto"/>
                <w:sz w:val="24"/>
                <w:szCs w:val="24"/>
                <w:highlight w:val="none"/>
              </w:rPr>
            </w:pPr>
            <w:r>
              <w:rPr>
                <w:rFonts w:hint="eastAsia"/>
                <w:color w:val="auto"/>
                <w:sz w:val="24"/>
                <w:szCs w:val="24"/>
                <w:highlight w:val="none"/>
                <w:lang w:val="en-US" w:eastAsia="zh-CN"/>
              </w:rPr>
              <w:t>E</w:t>
            </w:r>
            <w:r>
              <w:rPr>
                <w:rFonts w:hint="eastAsia"/>
                <w:color w:val="auto"/>
                <w:sz w:val="24"/>
                <w:szCs w:val="24"/>
                <w:highlight w:val="none"/>
                <w:vertAlign w:val="subscript"/>
                <w:lang w:val="en-US" w:eastAsia="zh-CN"/>
              </w:rPr>
              <w:t>f</w:t>
            </w:r>
            <w:r>
              <w:rPr>
                <w:color w:val="auto"/>
                <w:sz w:val="24"/>
                <w:szCs w:val="24"/>
                <w:highlight w:val="none"/>
              </w:rPr>
              <w:t>——</w:t>
            </w:r>
            <w:r>
              <w:rPr>
                <w:rFonts w:hint="eastAsia"/>
                <w:color w:val="auto"/>
                <w:sz w:val="24"/>
                <w:szCs w:val="24"/>
                <w:highlight w:val="none"/>
                <w:lang w:val="en-US" w:eastAsia="zh-CN"/>
              </w:rPr>
              <w:t>堆场风蚀扬尘概化系数</w:t>
            </w:r>
            <w:r>
              <w:rPr>
                <w:color w:val="auto"/>
                <w:sz w:val="24"/>
                <w:szCs w:val="24"/>
                <w:highlight w:val="none"/>
              </w:rPr>
              <w:t>，kg/m</w:t>
            </w:r>
            <w:r>
              <w:rPr>
                <w:color w:val="auto"/>
                <w:sz w:val="24"/>
                <w:szCs w:val="24"/>
                <w:highlight w:val="none"/>
                <w:vertAlign w:val="superscript"/>
              </w:rPr>
              <w:t>2</w:t>
            </w:r>
            <w:r>
              <w:rPr>
                <w:color w:val="auto"/>
                <w:sz w:val="24"/>
                <w:szCs w:val="24"/>
                <w:highlight w:val="none"/>
              </w:rPr>
              <w:t>，</w:t>
            </w:r>
            <w:r>
              <w:rPr>
                <w:rFonts w:hint="eastAsia"/>
                <w:color w:val="auto"/>
                <w:sz w:val="24"/>
                <w:szCs w:val="24"/>
                <w:highlight w:val="none"/>
                <w:lang w:val="en-US" w:eastAsia="zh-CN"/>
              </w:rPr>
              <w:t>参照</w:t>
            </w:r>
            <w:r>
              <w:rPr>
                <w:rFonts w:hint="eastAsia"/>
                <w:color w:val="auto"/>
                <w:sz w:val="24"/>
                <w:szCs w:val="24"/>
                <w:highlight w:val="none"/>
                <w:lang w:eastAsia="zh-CN"/>
              </w:rPr>
              <w:t>《排放源统计调查产排污核算方法和系数手册》</w:t>
            </w:r>
            <w:r>
              <w:rPr>
                <w:rFonts w:hint="eastAsia"/>
                <w:color w:val="auto"/>
                <w:sz w:val="24"/>
                <w:szCs w:val="24"/>
                <w:highlight w:val="none"/>
                <w:lang w:val="en-US" w:eastAsia="zh-CN"/>
              </w:rPr>
              <w:t>附表2固体物料堆存颗粒物产排污系数核算系数手册附录3，E</w:t>
            </w:r>
            <w:r>
              <w:rPr>
                <w:rFonts w:hint="eastAsia"/>
                <w:color w:val="auto"/>
                <w:sz w:val="24"/>
                <w:szCs w:val="24"/>
                <w:highlight w:val="none"/>
                <w:vertAlign w:val="subscript"/>
                <w:lang w:val="en-US" w:eastAsia="zh-CN"/>
              </w:rPr>
              <w:t>f</w:t>
            </w:r>
            <w:r>
              <w:rPr>
                <w:rFonts w:hint="eastAsia"/>
                <w:color w:val="auto"/>
                <w:sz w:val="24"/>
                <w:szCs w:val="24"/>
                <w:highlight w:val="none"/>
                <w:vertAlign w:val="baseline"/>
                <w:lang w:val="en-US" w:eastAsia="zh-CN"/>
              </w:rPr>
              <w:t>取</w:t>
            </w:r>
            <w:r>
              <w:rPr>
                <w:rFonts w:hint="eastAsia"/>
                <w:color w:val="auto"/>
                <w:sz w:val="24"/>
                <w:szCs w:val="24"/>
                <w:highlight w:val="none"/>
                <w:lang w:val="en-US" w:eastAsia="zh-CN"/>
              </w:rPr>
              <w:t>41.5808</w:t>
            </w:r>
            <w:r>
              <w:rPr>
                <w:color w:val="auto"/>
                <w:sz w:val="24"/>
                <w:szCs w:val="24"/>
                <w:highlight w:val="none"/>
              </w:rPr>
              <w:t>。</w:t>
            </w:r>
          </w:p>
          <w:p w14:paraId="746B02D1">
            <w:pPr>
              <w:ind w:firstLine="489"/>
              <w:rPr>
                <w:color w:val="auto"/>
                <w:sz w:val="24"/>
                <w:szCs w:val="24"/>
                <w:highlight w:val="none"/>
              </w:rPr>
            </w:pPr>
            <w:r>
              <w:rPr>
                <w:rFonts w:hint="eastAsia"/>
                <w:color w:val="auto"/>
                <w:sz w:val="24"/>
                <w:szCs w:val="24"/>
                <w:highlight w:val="none"/>
              </w:rPr>
              <w:t>S</w:t>
            </w:r>
            <w:r>
              <w:rPr>
                <w:color w:val="auto"/>
                <w:sz w:val="24"/>
                <w:szCs w:val="24"/>
                <w:highlight w:val="none"/>
              </w:rPr>
              <w:t>——</w:t>
            </w:r>
            <w:r>
              <w:rPr>
                <w:rFonts w:hint="eastAsia"/>
                <w:color w:val="auto"/>
                <w:sz w:val="24"/>
                <w:szCs w:val="24"/>
                <w:highlight w:val="none"/>
              </w:rPr>
              <w:t>堆场占地面积</w:t>
            </w:r>
            <w:r>
              <w:rPr>
                <w:color w:val="auto"/>
                <w:sz w:val="24"/>
                <w:szCs w:val="24"/>
                <w:highlight w:val="none"/>
              </w:rPr>
              <w:t>，m</w:t>
            </w:r>
            <w:r>
              <w:rPr>
                <w:color w:val="auto"/>
                <w:sz w:val="24"/>
                <w:szCs w:val="24"/>
                <w:highlight w:val="none"/>
                <w:vertAlign w:val="superscript"/>
              </w:rPr>
              <w:t>2</w:t>
            </w:r>
            <w:r>
              <w:rPr>
                <w:rFonts w:hint="eastAsia"/>
                <w:color w:val="auto"/>
                <w:sz w:val="24"/>
                <w:szCs w:val="24"/>
                <w:highlight w:val="none"/>
                <w:vertAlign w:val="baseline"/>
                <w:lang w:eastAsia="zh-CN"/>
              </w:rPr>
              <w:t>，</w:t>
            </w:r>
            <w:r>
              <w:rPr>
                <w:rFonts w:hint="eastAsia"/>
                <w:color w:val="auto"/>
                <w:sz w:val="24"/>
                <w:szCs w:val="24"/>
                <w:highlight w:val="none"/>
                <w:lang w:val="en-US" w:eastAsia="zh-CN"/>
              </w:rPr>
              <w:t>5876m</w:t>
            </w:r>
            <w:r>
              <w:rPr>
                <w:rFonts w:hint="eastAsia"/>
                <w:color w:val="auto"/>
                <w:sz w:val="24"/>
                <w:szCs w:val="24"/>
                <w:highlight w:val="none"/>
                <w:vertAlign w:val="superscript"/>
                <w:lang w:val="en-US" w:eastAsia="zh-CN"/>
              </w:rPr>
              <w:t>2</w:t>
            </w:r>
            <w:r>
              <w:rPr>
                <w:color w:val="auto"/>
                <w:sz w:val="24"/>
                <w:szCs w:val="24"/>
                <w:highlight w:val="none"/>
              </w:rPr>
              <w:t>。</w:t>
            </w:r>
          </w:p>
          <w:p w14:paraId="1581AE03">
            <w:pPr>
              <w:bidi w:val="0"/>
              <w:rPr>
                <w:rFonts w:hint="default" w:eastAsia="宋体"/>
                <w:color w:val="auto"/>
                <w:highlight w:val="none"/>
                <w:lang w:val="en-US" w:eastAsia="zh-CN"/>
              </w:rPr>
            </w:pPr>
            <w:r>
              <w:rPr>
                <w:rFonts w:hint="eastAsia"/>
                <w:color w:val="auto"/>
                <w:highlight w:val="none"/>
                <w:lang w:val="en-US" w:eastAsia="zh-CN"/>
              </w:rPr>
              <w:t>经计算，</w:t>
            </w:r>
            <w:r>
              <w:rPr>
                <w:rFonts w:hint="eastAsia"/>
                <w:color w:val="auto"/>
                <w:sz w:val="24"/>
                <w:szCs w:val="24"/>
                <w:highlight w:val="none"/>
                <w:lang w:val="en-US" w:eastAsia="zh-CN"/>
              </w:rPr>
              <w:t>卸车、堆填废气颗粒物产生量为492.818t/a，产生速率为171.117kg/h。</w:t>
            </w:r>
          </w:p>
          <w:p w14:paraId="1F9E9AA0">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（2）颗粒物排放情况</w:t>
            </w:r>
          </w:p>
          <w:p w14:paraId="381CA416">
            <w:pPr>
              <w:pStyle w:val="14"/>
              <w:numPr>
                <w:ilvl w:val="0"/>
                <w:numId w:val="0"/>
              </w:numPr>
              <w:ind w:leftChars="200" w:right="1680" w:rightChars="700"/>
              <w:rPr>
                <w:rFonts w:hint="default"/>
                <w:color w:val="auto"/>
                <w:highlight w:val="none"/>
                <w:lang w:val="en-US" w:eastAsia="zh-CN"/>
              </w:rPr>
            </w:pPr>
            <w:r>
              <w:rPr>
                <w:rFonts w:hint="eastAsia"/>
                <w:color w:val="auto"/>
                <w:highlight w:val="none"/>
                <w:lang w:val="en-US" w:eastAsia="zh-CN"/>
              </w:rPr>
              <w:t>颗粒物排放量核算公式</w:t>
            </w:r>
            <w:r>
              <w:rPr>
                <w:color w:val="auto"/>
                <w:highlight w:val="none"/>
              </w:rPr>
              <w:t>如下：</w:t>
            </w:r>
          </w:p>
          <w:p w14:paraId="0AE201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rPr>
            </w:pPr>
            <w:r>
              <w:rPr>
                <w:rFonts w:hint="eastAsia" w:eastAsia="宋体"/>
                <w:color w:val="auto"/>
                <w:position w:val="-12"/>
                <w:highlight w:val="none"/>
                <w:lang w:eastAsia="zh-CN"/>
              </w:rPr>
              <w:object>
                <v:shape id="_x0000_i1027" o:spt="75" type="#_x0000_t75" style="height:18pt;width:125pt;" o:ole="t" filled="f" o:preferrelative="t" stroked="f" coordsize="21600,21600">
                  <v:path/>
                  <v:fill on="f" focussize="0,0"/>
                  <v:stroke on="f"/>
                  <v:imagedata r:id="rId22" o:title=""/>
                  <o:lock v:ext="edit" aspectratio="t"/>
                  <w10:wrap type="none"/>
                  <w10:anchorlock/>
                </v:shape>
                <o:OLEObject Type="Embed" ProgID="Equation.KSEE3" ShapeID="_x0000_i1027" DrawAspect="Content" ObjectID="_1468075727" r:id="rId21">
                  <o:LockedField>false</o:LockedField>
                </o:OLEObject>
              </w:object>
            </w:r>
          </w:p>
          <w:p w14:paraId="349EF40A">
            <w:pPr>
              <w:ind w:firstLine="489"/>
              <w:rPr>
                <w:color w:val="auto"/>
                <w:highlight w:val="none"/>
              </w:rPr>
            </w:pPr>
            <w:r>
              <w:rPr>
                <w:color w:val="auto"/>
                <w:highlight w:val="none"/>
              </w:rPr>
              <w:t>式中：</w:t>
            </w:r>
          </w:p>
          <w:p w14:paraId="57ECF7F4">
            <w:pPr>
              <w:ind w:firstLine="489"/>
              <w:rPr>
                <w:color w:val="auto"/>
                <w:highlight w:val="none"/>
              </w:rPr>
            </w:pPr>
            <w:r>
              <w:rPr>
                <w:rFonts w:hint="eastAsia"/>
                <w:color w:val="auto"/>
                <w:highlight w:val="none"/>
                <w:lang w:val="en-US" w:eastAsia="zh-CN"/>
              </w:rPr>
              <w:t>P</w:t>
            </w:r>
            <w:r>
              <w:rPr>
                <w:color w:val="auto"/>
                <w:highlight w:val="none"/>
              </w:rPr>
              <w:t>——</w:t>
            </w:r>
            <w:r>
              <w:rPr>
                <w:rFonts w:hint="eastAsia"/>
                <w:color w:val="auto"/>
                <w:highlight w:val="none"/>
                <w:lang w:val="en-US" w:eastAsia="zh-CN"/>
              </w:rPr>
              <w:t>颗粒物产生量，t/a</w:t>
            </w:r>
            <w:r>
              <w:rPr>
                <w:color w:val="auto"/>
                <w:highlight w:val="none"/>
              </w:rPr>
              <w:t>。</w:t>
            </w:r>
          </w:p>
          <w:p w14:paraId="1810BDC7">
            <w:pPr>
              <w:ind w:firstLine="489"/>
              <w:rPr>
                <w:color w:val="auto"/>
                <w:highlight w:val="none"/>
              </w:rPr>
            </w:pPr>
            <w:r>
              <w:rPr>
                <w:rFonts w:hint="eastAsia"/>
                <w:color w:val="auto"/>
                <w:highlight w:val="none"/>
                <w:lang w:val="en-US" w:eastAsia="zh-CN"/>
              </w:rPr>
              <w:t>Uc</w:t>
            </w:r>
            <w:r>
              <w:rPr>
                <w:color w:val="auto"/>
                <w:highlight w:val="none"/>
              </w:rPr>
              <w:t>——</w:t>
            </w:r>
            <w:r>
              <w:rPr>
                <w:rFonts w:hint="eastAsia"/>
                <w:color w:val="auto"/>
                <w:highlight w:val="none"/>
                <w:lang w:val="en-US" w:eastAsia="zh-CN"/>
              </w:rPr>
              <w:t>颗粒物排放量，t/a</w:t>
            </w:r>
            <w:r>
              <w:rPr>
                <w:color w:val="auto"/>
                <w:highlight w:val="none"/>
              </w:rPr>
              <w:t>。</w:t>
            </w:r>
          </w:p>
          <w:p w14:paraId="7D1A98FB">
            <w:pPr>
              <w:ind w:firstLine="489"/>
              <w:rPr>
                <w:color w:val="auto"/>
                <w:highlight w:val="none"/>
              </w:rPr>
            </w:pPr>
            <w:r>
              <w:rPr>
                <w:rFonts w:hint="eastAsia"/>
                <w:color w:val="auto"/>
                <w:highlight w:val="none"/>
                <w:lang w:val="en-US" w:eastAsia="zh-CN"/>
              </w:rPr>
              <w:t>C</w:t>
            </w:r>
            <w:r>
              <w:rPr>
                <w:rFonts w:hint="eastAsia"/>
                <w:color w:val="auto"/>
                <w:highlight w:val="none"/>
                <w:vertAlign w:val="subscript"/>
                <w:lang w:val="en-US" w:eastAsia="zh-CN"/>
              </w:rPr>
              <w:t>m</w:t>
            </w:r>
            <w:r>
              <w:rPr>
                <w:color w:val="auto"/>
                <w:highlight w:val="none"/>
              </w:rPr>
              <w:t>——</w:t>
            </w:r>
            <w:r>
              <w:rPr>
                <w:rFonts w:hint="eastAsia"/>
                <w:color w:val="auto"/>
                <w:highlight w:val="none"/>
                <w:lang w:val="en-US" w:eastAsia="zh-CN"/>
              </w:rPr>
              <w:t>颗粒物控制措施控制效率，%，本项目设置雾炮抑尘，同时非堆填区采取苫盖措施，</w:t>
            </w:r>
            <w:r>
              <w:rPr>
                <w:rFonts w:hint="eastAsia"/>
                <w:color w:val="auto"/>
                <w:sz w:val="24"/>
                <w:szCs w:val="24"/>
                <w:highlight w:val="none"/>
                <w:lang w:val="en-US" w:eastAsia="zh-CN"/>
              </w:rPr>
              <w:t>参照</w:t>
            </w:r>
            <w:r>
              <w:rPr>
                <w:rFonts w:hint="eastAsia"/>
                <w:color w:val="auto"/>
                <w:sz w:val="24"/>
                <w:szCs w:val="24"/>
                <w:highlight w:val="none"/>
                <w:lang w:eastAsia="zh-CN"/>
              </w:rPr>
              <w:t>《排放源统计调查产排污核算方法和系数手册》</w:t>
            </w:r>
            <w:r>
              <w:rPr>
                <w:rFonts w:hint="eastAsia"/>
                <w:color w:val="auto"/>
                <w:sz w:val="24"/>
                <w:szCs w:val="24"/>
                <w:highlight w:val="none"/>
                <w:lang w:val="en-US" w:eastAsia="zh-CN"/>
              </w:rPr>
              <w:t>附表2固体物料堆存颗粒物产排污系数核算系数手册附录4，雾炮抑尘</w:t>
            </w:r>
            <w:r>
              <w:rPr>
                <w:rFonts w:hint="eastAsia"/>
                <w:color w:val="auto"/>
                <w:highlight w:val="none"/>
                <w:lang w:val="en-US" w:eastAsia="zh-CN"/>
              </w:rPr>
              <w:t>控制效率取74%，苫盖抑尘控制效率取86%，合计效率为96.36%</w:t>
            </w:r>
            <w:r>
              <w:rPr>
                <w:color w:val="auto"/>
                <w:highlight w:val="none"/>
              </w:rPr>
              <w:t>。</w:t>
            </w:r>
          </w:p>
          <w:p w14:paraId="28015269">
            <w:pPr>
              <w:ind w:firstLine="489"/>
              <w:rPr>
                <w:color w:val="auto"/>
                <w:highlight w:val="none"/>
              </w:rPr>
            </w:pPr>
            <w:r>
              <w:rPr>
                <w:rFonts w:hint="eastAsia"/>
                <w:color w:val="auto"/>
                <w:highlight w:val="none"/>
                <w:lang w:val="en-US" w:eastAsia="zh-CN"/>
              </w:rPr>
              <w:t>T</w:t>
            </w:r>
            <w:r>
              <w:rPr>
                <w:rFonts w:hint="eastAsia"/>
                <w:color w:val="auto"/>
                <w:highlight w:val="none"/>
                <w:vertAlign w:val="subscript"/>
                <w:lang w:val="en-US" w:eastAsia="zh-CN"/>
              </w:rPr>
              <w:t>m</w:t>
            </w:r>
            <w:r>
              <w:rPr>
                <w:color w:val="auto"/>
                <w:highlight w:val="none"/>
              </w:rPr>
              <w:t>——</w:t>
            </w:r>
            <w:r>
              <w:rPr>
                <w:rFonts w:hint="eastAsia"/>
                <w:color w:val="auto"/>
                <w:highlight w:val="none"/>
                <w:lang w:val="en-US" w:eastAsia="zh-CN"/>
              </w:rPr>
              <w:t>堆场类型控制效率，%，本项目为敞开式堆场，参照</w:t>
            </w:r>
            <w:r>
              <w:rPr>
                <w:rFonts w:hint="eastAsia"/>
                <w:color w:val="auto"/>
                <w:sz w:val="24"/>
                <w:szCs w:val="24"/>
                <w:highlight w:val="none"/>
                <w:lang w:eastAsia="zh-CN"/>
              </w:rPr>
              <w:t>《排放源统计调查产排污核算方法和系数手册》</w:t>
            </w:r>
            <w:r>
              <w:rPr>
                <w:rFonts w:hint="eastAsia"/>
                <w:color w:val="auto"/>
                <w:sz w:val="24"/>
                <w:szCs w:val="24"/>
                <w:highlight w:val="none"/>
                <w:lang w:val="en-US" w:eastAsia="zh-CN"/>
              </w:rPr>
              <w:t>附表2固体物料堆存颗粒物产排污系数核算系数手册附录5</w:t>
            </w:r>
            <w:r>
              <w:rPr>
                <w:rFonts w:hint="eastAsia"/>
                <w:color w:val="auto"/>
                <w:highlight w:val="none"/>
                <w:lang w:val="en-US" w:eastAsia="zh-CN"/>
              </w:rPr>
              <w:t>，控制效率为0%</w:t>
            </w:r>
            <w:r>
              <w:rPr>
                <w:color w:val="auto"/>
                <w:highlight w:val="none"/>
              </w:rPr>
              <w:t>。</w:t>
            </w:r>
          </w:p>
          <w:p w14:paraId="5F0FE17C">
            <w:pPr>
              <w:bidi w:val="0"/>
              <w:rPr>
                <w:rFonts w:hint="eastAsia"/>
                <w:color w:val="auto"/>
                <w:sz w:val="24"/>
                <w:szCs w:val="24"/>
                <w:highlight w:val="none"/>
                <w:lang w:val="en-US" w:eastAsia="zh-CN"/>
              </w:rPr>
            </w:pPr>
            <w:r>
              <w:rPr>
                <w:rFonts w:hint="eastAsia"/>
                <w:color w:val="auto"/>
                <w:highlight w:val="none"/>
                <w:lang w:val="en-US" w:eastAsia="zh-CN"/>
              </w:rPr>
              <w:t>经计算，</w:t>
            </w:r>
            <w:r>
              <w:rPr>
                <w:rFonts w:hint="eastAsia"/>
                <w:color w:val="auto"/>
                <w:sz w:val="24"/>
                <w:szCs w:val="24"/>
                <w:highlight w:val="none"/>
                <w:lang w:val="en-US" w:eastAsia="zh-CN"/>
              </w:rPr>
              <w:t>卸车、堆填废气颗粒物排放量为17.939t/a，排放速率为6.229kg/h。</w:t>
            </w:r>
          </w:p>
          <w:p w14:paraId="001182BC">
            <w:pPr>
              <w:bidi w:val="0"/>
              <w:rPr>
                <w:rFonts w:hint="eastAsia"/>
                <w:b/>
                <w:bCs/>
                <w:color w:val="auto"/>
                <w:highlight w:val="none"/>
                <w:lang w:val="en-US" w:eastAsia="zh-CN"/>
              </w:rPr>
            </w:pPr>
            <w:r>
              <w:rPr>
                <w:rFonts w:hint="eastAsia"/>
                <w:b/>
                <w:bCs/>
                <w:color w:val="auto"/>
                <w:highlight w:val="none"/>
                <w:lang w:val="en-US" w:eastAsia="zh-CN"/>
              </w:rPr>
              <w:t>1.2.2</w:t>
            </w:r>
            <w:r>
              <w:rPr>
                <w:rFonts w:hint="eastAsia"/>
                <w:b/>
                <w:bCs/>
                <w:color w:val="auto"/>
                <w:sz w:val="24"/>
                <w:szCs w:val="24"/>
                <w:highlight w:val="none"/>
                <w:lang w:val="en-US" w:eastAsia="zh-CN"/>
              </w:rPr>
              <w:t>运输废气</w:t>
            </w:r>
          </w:p>
          <w:p w14:paraId="1F62F3A0">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建筑垃圾由专用渣土或规范运输车辆，按照规定时间、路线将建筑垃圾分类收集、运输，</w:t>
            </w:r>
            <w:r>
              <w:rPr>
                <w:rFonts w:hint="eastAsia"/>
                <w:color w:val="auto"/>
                <w:highlight w:val="none"/>
                <w:lang w:val="en-US" w:eastAsia="zh-CN"/>
              </w:rPr>
              <w:t>运输过程</w:t>
            </w:r>
            <w:r>
              <w:rPr>
                <w:rFonts w:hint="default"/>
                <w:color w:val="auto"/>
                <w:highlight w:val="none"/>
                <w:lang w:val="en-US" w:eastAsia="zh-CN"/>
              </w:rPr>
              <w:t>密闭</w:t>
            </w:r>
            <w:r>
              <w:rPr>
                <w:rFonts w:hint="eastAsia"/>
                <w:color w:val="auto"/>
                <w:highlight w:val="none"/>
                <w:lang w:val="en-US" w:eastAsia="zh-CN"/>
              </w:rPr>
              <w:t>，</w:t>
            </w:r>
            <w:r>
              <w:rPr>
                <w:rFonts w:hint="eastAsia" w:ascii="宋体" w:hAnsi="宋体" w:eastAsia="宋体" w:cs="宋体"/>
                <w:color w:val="auto"/>
                <w:kern w:val="0"/>
                <w:sz w:val="24"/>
                <w:szCs w:val="24"/>
                <w:highlight w:val="none"/>
                <w:lang w:val="en-US" w:eastAsia="zh-CN" w:bidi="ar"/>
              </w:rPr>
              <w:t>严禁超载，杜绝汽车沿路抛洒。</w:t>
            </w:r>
          </w:p>
          <w:p w14:paraId="61577009">
            <w:pPr>
              <w:keepNext w:val="0"/>
              <w:keepLines w:val="0"/>
              <w:widowControl/>
              <w:suppressLineNumbers w:val="0"/>
              <w:jc w:val="left"/>
              <w:rPr>
                <w:rFonts w:hint="eastAsia"/>
                <w:b w:val="0"/>
                <w:bCs w:val="0"/>
                <w:color w:val="auto"/>
                <w:highlight w:val="none"/>
                <w:lang w:val="en-US" w:eastAsia="zh-CN"/>
              </w:rPr>
            </w:pPr>
            <w:r>
              <w:rPr>
                <w:rFonts w:hint="eastAsia" w:ascii="宋体" w:hAnsi="宋体" w:eastAsia="宋体" w:cs="宋体"/>
                <w:color w:val="auto"/>
                <w:kern w:val="0"/>
                <w:sz w:val="24"/>
                <w:szCs w:val="24"/>
                <w:highlight w:val="none"/>
                <w:lang w:val="en-US" w:eastAsia="zh-CN" w:bidi="ar"/>
              </w:rPr>
              <w:t>在场区出入口设置洗车平台，对进出场区的运输车辆进行冲洗，防止运输车辆轮胎夹带粉状物料污染环境。</w:t>
            </w:r>
            <w:r>
              <w:rPr>
                <w:rFonts w:hint="eastAsia"/>
                <w:b w:val="0"/>
                <w:bCs w:val="0"/>
                <w:color w:val="auto"/>
                <w:highlight w:val="none"/>
                <w:lang w:val="en-US" w:eastAsia="zh-CN"/>
              </w:rPr>
              <w:t>场区内道路为</w:t>
            </w:r>
            <w:r>
              <w:rPr>
                <w:rFonts w:hint="eastAsia"/>
                <w:color w:val="auto"/>
                <w:highlight w:val="none"/>
                <w:lang w:val="en-US" w:eastAsia="zh-CN"/>
              </w:rPr>
              <w:t>水泥混凝土道路</w:t>
            </w:r>
            <w:r>
              <w:rPr>
                <w:rFonts w:hint="eastAsia"/>
                <w:b w:val="0"/>
                <w:bCs w:val="0"/>
                <w:color w:val="auto"/>
                <w:highlight w:val="none"/>
                <w:lang w:val="en-US" w:eastAsia="zh-CN"/>
              </w:rPr>
              <w:t>，在场区内运输，不易产生道路扬尘。路面定期进行清扫、洒水降尘，运输车辆减速行驶，且运输距离短，同时加强对进出车辆的管理，采取一系列措施后，可有效降低道路起尘量。</w:t>
            </w:r>
          </w:p>
          <w:p w14:paraId="3495A641">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项目堆填过程运输车辆及非道路移动机械燃油产生的废气，废气中污染物主要为烟尘、</w:t>
            </w:r>
            <w:r>
              <w:rPr>
                <w:rFonts w:hint="default" w:ascii="Times New Roman" w:hAnsi="Times New Roman" w:eastAsia="宋体" w:cs="Times New Roman"/>
                <w:color w:val="auto"/>
                <w:kern w:val="0"/>
                <w:sz w:val="24"/>
                <w:szCs w:val="24"/>
                <w:highlight w:val="none"/>
                <w:lang w:val="en-US" w:eastAsia="zh-CN" w:bidi="ar"/>
              </w:rPr>
              <w:t>NOx</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CO</w:t>
            </w:r>
            <w:r>
              <w:rPr>
                <w:rFonts w:hint="eastAsia" w:ascii="宋体" w:hAnsi="宋体" w:eastAsia="宋体" w:cs="宋体"/>
                <w:color w:val="auto"/>
                <w:kern w:val="0"/>
                <w:sz w:val="24"/>
                <w:szCs w:val="24"/>
                <w:highlight w:val="none"/>
                <w:lang w:val="en-US" w:eastAsia="zh-CN" w:bidi="ar"/>
              </w:rPr>
              <w:t>及</w:t>
            </w:r>
            <w:r>
              <w:rPr>
                <w:rFonts w:hint="default" w:ascii="Times New Roman" w:hAnsi="Times New Roman" w:eastAsia="宋体" w:cs="Times New Roman"/>
                <w:color w:val="auto"/>
                <w:kern w:val="0"/>
                <w:sz w:val="24"/>
                <w:szCs w:val="24"/>
                <w:highlight w:val="none"/>
                <w:lang w:val="en-US" w:eastAsia="zh-CN" w:bidi="ar"/>
              </w:rPr>
              <w:t>CHx</w:t>
            </w:r>
            <w:r>
              <w:rPr>
                <w:rFonts w:hint="eastAsia" w:ascii="宋体" w:hAnsi="宋体" w:eastAsia="宋体" w:cs="宋体"/>
                <w:color w:val="auto"/>
                <w:kern w:val="0"/>
                <w:sz w:val="24"/>
                <w:szCs w:val="24"/>
                <w:highlight w:val="none"/>
                <w:lang w:val="en-US" w:eastAsia="zh-CN" w:bidi="ar"/>
              </w:rPr>
              <w:t>等。污染物产生量较小，呈无组织排放。对移动源车辆按周期进行专业化维修保养，对非道路移动机械进行环保登记、取得唯一性编码并张贴标识。燃油废气自然扩散，项目区域稀释条件较好，经大气稀释扩散后，对区域环境空气质量的影响较小。</w:t>
            </w:r>
          </w:p>
          <w:p w14:paraId="3AB780A2">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本评价不再对运输废气污染物产生及排放情况进行定量核算。</w:t>
            </w:r>
          </w:p>
          <w:p w14:paraId="1EBC1B56">
            <w:pPr>
              <w:bidi w:val="0"/>
              <w:rPr>
                <w:rFonts w:hint="eastAsia"/>
                <w:b/>
                <w:bCs/>
                <w:color w:val="auto"/>
                <w:sz w:val="24"/>
                <w:szCs w:val="24"/>
                <w:highlight w:val="none"/>
                <w:lang w:val="en-US" w:eastAsia="zh-CN"/>
              </w:rPr>
            </w:pPr>
            <w:r>
              <w:rPr>
                <w:rFonts w:hint="eastAsia"/>
                <w:b/>
                <w:bCs/>
                <w:color w:val="auto"/>
                <w:highlight w:val="none"/>
                <w:lang w:val="en-US" w:eastAsia="zh-CN"/>
              </w:rPr>
              <w:t>1.2.3</w:t>
            </w:r>
            <w:r>
              <w:rPr>
                <w:rFonts w:hint="eastAsia"/>
                <w:b/>
                <w:bCs/>
                <w:color w:val="auto"/>
                <w:sz w:val="24"/>
                <w:szCs w:val="24"/>
                <w:highlight w:val="none"/>
                <w:lang w:val="en-US" w:eastAsia="zh-CN"/>
              </w:rPr>
              <w:t>污染治理措施</w:t>
            </w:r>
          </w:p>
          <w:p w14:paraId="5CF71597">
            <w:pPr>
              <w:keepNext w:val="0"/>
              <w:keepLines w:val="0"/>
              <w:pageBreakBefore w:val="0"/>
              <w:kinsoku/>
              <w:wordWrap/>
              <w:overflowPunct/>
              <w:topLinePunct w:val="0"/>
              <w:autoSpaceDE/>
              <w:autoSpaceDN/>
              <w:bidi w:val="0"/>
              <w:adjustRightInd/>
              <w:snapToGrid/>
              <w:ind w:left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本项目运营期废气均呈无组织排放。项目采取如下措施进行控制：</w:t>
            </w:r>
          </w:p>
          <w:p w14:paraId="4400A783">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bidi="ar"/>
              </w:rPr>
              <w:t>建筑垃圾由专用渣土或规范运输车辆</w:t>
            </w:r>
            <w:r>
              <w:rPr>
                <w:rFonts w:hint="eastAsia" w:cs="Times New Roman"/>
                <w:color w:val="auto"/>
                <w:kern w:val="0"/>
                <w:sz w:val="24"/>
                <w:szCs w:val="24"/>
                <w:highlight w:val="none"/>
                <w:lang w:val="en-US" w:eastAsia="zh-CN" w:bidi="ar"/>
              </w:rPr>
              <w:t>运输</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rPr>
              <w:t>运输过程</w:t>
            </w:r>
            <w:r>
              <w:rPr>
                <w:rFonts w:hint="eastAsia" w:cs="Times New Roman"/>
                <w:color w:val="auto"/>
                <w:sz w:val="24"/>
                <w:szCs w:val="24"/>
                <w:highlight w:val="none"/>
                <w:lang w:val="en-US" w:eastAsia="zh-CN"/>
              </w:rPr>
              <w:t>苫盖苫布</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严禁超载，避免在运输过程中的抛洒现象。</w:t>
            </w:r>
          </w:p>
          <w:p w14:paraId="34DF05A1">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2</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在场区出入口设置洗车平台，对进出场区的运输车辆进行冲洗，防止运输车辆轮胎夹带粉状物料污染环境。</w:t>
            </w:r>
          </w:p>
          <w:p w14:paraId="76A0B9B3">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（3）</w:t>
            </w:r>
            <w:r>
              <w:rPr>
                <w:rFonts w:hint="default" w:ascii="Times New Roman" w:hAnsi="Times New Roman" w:eastAsia="宋体" w:cs="Times New Roman"/>
                <w:b w:val="0"/>
                <w:bCs w:val="0"/>
                <w:color w:val="auto"/>
                <w:sz w:val="24"/>
                <w:szCs w:val="24"/>
                <w:highlight w:val="none"/>
                <w:lang w:val="en-US" w:eastAsia="zh-CN"/>
              </w:rPr>
              <w:t>场区内道路设置为</w:t>
            </w:r>
            <w:r>
              <w:rPr>
                <w:rFonts w:hint="default" w:ascii="Times New Roman" w:hAnsi="Times New Roman" w:eastAsia="宋体" w:cs="Times New Roman"/>
                <w:color w:val="auto"/>
                <w:sz w:val="24"/>
                <w:szCs w:val="24"/>
                <w:highlight w:val="none"/>
                <w:lang w:val="en-US" w:eastAsia="zh-CN"/>
              </w:rPr>
              <w:t>水泥混凝土道路</w:t>
            </w:r>
            <w:r>
              <w:rPr>
                <w:rFonts w:hint="default" w:ascii="Times New Roman" w:hAnsi="Times New Roman" w:eastAsia="宋体" w:cs="Times New Roman"/>
                <w:b w:val="0"/>
                <w:bCs w:val="0"/>
                <w:color w:val="auto"/>
                <w:sz w:val="24"/>
                <w:szCs w:val="24"/>
                <w:highlight w:val="none"/>
                <w:lang w:val="en-US" w:eastAsia="zh-CN"/>
              </w:rPr>
              <w:t>，并定期进行清扫、洒水降尘，</w:t>
            </w:r>
            <w:r>
              <w:rPr>
                <w:rFonts w:hint="default" w:ascii="Times New Roman" w:hAnsi="Times New Roman" w:eastAsia="宋体" w:cs="Times New Roman"/>
                <w:color w:val="auto"/>
                <w:kern w:val="0"/>
                <w:sz w:val="24"/>
                <w:szCs w:val="24"/>
                <w:highlight w:val="none"/>
                <w:lang w:val="en-US" w:eastAsia="zh-CN" w:bidi="ar"/>
              </w:rPr>
              <w:t>运输车辆在进入场区沿途中降低行驶速度，</w:t>
            </w:r>
            <w:r>
              <w:rPr>
                <w:rFonts w:hint="default" w:ascii="Times New Roman" w:hAnsi="Times New Roman" w:eastAsia="宋体" w:cs="Times New Roman"/>
                <w:b w:val="0"/>
                <w:bCs w:val="0"/>
                <w:color w:val="auto"/>
                <w:sz w:val="24"/>
                <w:szCs w:val="24"/>
                <w:highlight w:val="none"/>
                <w:lang w:val="en-US" w:eastAsia="zh-CN"/>
              </w:rPr>
              <w:t>同时加强对进出车辆的管理，</w:t>
            </w:r>
            <w:r>
              <w:rPr>
                <w:rFonts w:hint="default" w:ascii="Times New Roman" w:hAnsi="Times New Roman" w:eastAsia="宋体" w:cs="Times New Roman"/>
                <w:color w:val="auto"/>
                <w:kern w:val="0"/>
                <w:sz w:val="24"/>
                <w:szCs w:val="24"/>
                <w:highlight w:val="none"/>
                <w:lang w:val="en-US" w:eastAsia="zh-CN" w:bidi="ar"/>
              </w:rPr>
              <w:t>降低扬尘的产生。</w:t>
            </w:r>
          </w:p>
          <w:p w14:paraId="5E3A8785">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（4）建筑垃圾运输车辆应按照要求，在规定的时间、按规定的路线运输，并到指定地点倾倒。</w:t>
            </w:r>
          </w:p>
          <w:p w14:paraId="021BD41F">
            <w:pPr>
              <w:pStyle w:val="28"/>
              <w:keepNext w:val="0"/>
              <w:keepLines w:val="0"/>
              <w:pageBreakBefore w:val="0"/>
              <w:kinsoku/>
              <w:wordWrap/>
              <w:overflowPunct/>
              <w:topLinePunct w:val="0"/>
              <w:autoSpaceDE/>
              <w:autoSpaceDN/>
              <w:bidi w:val="0"/>
              <w:adjustRightInd/>
              <w:snapToGrid/>
              <w:ind w:leftChars="0"/>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（5）场区堆填时，</w:t>
            </w:r>
            <w:r>
              <w:rPr>
                <w:rFonts w:hint="default" w:ascii="Times New Roman" w:hAnsi="Times New Roman" w:eastAsia="宋体" w:cs="Times New Roman"/>
                <w:color w:val="auto"/>
                <w:sz w:val="24"/>
                <w:szCs w:val="24"/>
                <w:highlight w:val="none"/>
                <w:lang w:val="en-US" w:eastAsia="zh-CN"/>
              </w:rPr>
              <w:t>实行</w:t>
            </w:r>
            <w:r>
              <w:rPr>
                <w:rFonts w:hint="eastAsia" w:ascii="宋体" w:hAnsi="宋体" w:eastAsia="宋体" w:cs="宋体"/>
                <w:color w:val="auto"/>
                <w:sz w:val="24"/>
                <w:szCs w:val="24"/>
                <w:highlight w:val="none"/>
                <w:lang w:val="en-US" w:eastAsia="zh-CN"/>
              </w:rPr>
              <w:t>“随倒随压、层层压实”</w:t>
            </w:r>
            <w:r>
              <w:rPr>
                <w:rFonts w:hint="default" w:ascii="Times New Roman" w:hAnsi="Times New Roman" w:eastAsia="宋体" w:cs="Times New Roman"/>
                <w:color w:val="auto"/>
                <w:sz w:val="24"/>
                <w:szCs w:val="24"/>
                <w:highlight w:val="none"/>
                <w:lang w:val="en-US" w:eastAsia="zh-CN"/>
              </w:rPr>
              <w:t>工艺，同时采取分单元、分层堆填作业方式；卸车</w:t>
            </w:r>
            <w:r>
              <w:rPr>
                <w:rFonts w:hint="default" w:ascii="Times New Roman" w:hAnsi="Times New Roman" w:eastAsia="宋体" w:cs="Times New Roman"/>
                <w:color w:val="auto"/>
                <w:kern w:val="0"/>
                <w:sz w:val="24"/>
                <w:szCs w:val="24"/>
                <w:highlight w:val="none"/>
                <w:lang w:val="en-US" w:eastAsia="zh-CN" w:bidi="ar"/>
              </w:rPr>
              <w:t>过程要尽可能的</w:t>
            </w:r>
            <w:r>
              <w:rPr>
                <w:rFonts w:hint="default" w:ascii="Times New Roman" w:hAnsi="Times New Roman" w:eastAsia="宋体" w:cs="Times New Roman"/>
                <w:color w:val="auto"/>
                <w:sz w:val="24"/>
                <w:szCs w:val="24"/>
                <w:highlight w:val="none"/>
                <w:lang w:val="en-US" w:eastAsia="zh-CN"/>
              </w:rPr>
              <w:t>降低高度落差，并设置移动雾炮喷雾抑尘；堆填后要及时覆盖、压实作业面</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kern w:val="0"/>
                <w:sz w:val="24"/>
                <w:szCs w:val="24"/>
                <w:highlight w:val="none"/>
                <w:lang w:val="en-US" w:eastAsia="zh-CN" w:bidi="ar"/>
              </w:rPr>
              <w:t>项目运输车辆定期、及时维修、保养，对非道路移动机械进行环保登记。</w:t>
            </w:r>
          </w:p>
          <w:p w14:paraId="6F6F12C7">
            <w:pPr>
              <w:keepNext w:val="0"/>
              <w:keepLines w:val="0"/>
              <w:pageBreakBefore w:val="0"/>
              <w:widowControl/>
              <w:suppressLineNumbers w:val="0"/>
              <w:kinsoku/>
              <w:wordWrap/>
              <w:overflowPunct/>
              <w:topLinePunct w:val="0"/>
              <w:autoSpaceDE/>
              <w:autoSpaceDN/>
              <w:bidi w:val="0"/>
              <w:adjustRightInd/>
              <w:snapToGrid/>
              <w:ind w:left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综上所述，项目在采取相应的污染防治措施后</w:t>
            </w:r>
            <w:r>
              <w:rPr>
                <w:rFonts w:hint="eastAsia" w:ascii="Times New Roman" w:hAnsi="Times New Roman" w:eastAsia="宋体" w:cs="Times New Roman"/>
                <w:color w:val="auto"/>
                <w:kern w:val="0"/>
                <w:sz w:val="24"/>
                <w:szCs w:val="24"/>
                <w:highlight w:val="none"/>
                <w:lang w:val="en-US" w:eastAsia="zh-CN" w:bidi="ar"/>
              </w:rPr>
              <w:t>颗粒物无组织排放浓度小于1.0</w:t>
            </w:r>
            <w:r>
              <w:rPr>
                <w:rFonts w:hint="eastAsia" w:ascii="Times New Roman" w:eastAsia="宋体"/>
                <w:color w:val="auto"/>
                <w:highlight w:val="none"/>
                <w:lang w:val="en-US" w:eastAsia="zh-CN"/>
              </w:rPr>
              <w:t>mg/m</w:t>
            </w:r>
            <w:r>
              <w:rPr>
                <w:rFonts w:hint="eastAsia" w:ascii="Times New Roman" w:eastAsia="宋体"/>
                <w:color w:val="auto"/>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bidi="ar"/>
              </w:rPr>
              <w:t>，满足</w:t>
            </w:r>
            <w:r>
              <w:rPr>
                <w:rFonts w:hint="eastAsia" w:ascii="Times New Roman" w:eastAsia="宋体"/>
                <w:color w:val="auto"/>
                <w:highlight w:val="none"/>
                <w:lang w:val="en-US" w:eastAsia="zh-CN"/>
              </w:rPr>
              <w:t>《大气污染物综合排放标准》（</w:t>
            </w:r>
            <w:r>
              <w:rPr>
                <w:rFonts w:hint="eastAsia"/>
                <w:color w:val="auto"/>
                <w:highlight w:val="none"/>
                <w:lang w:val="en-US" w:eastAsia="zh-CN"/>
              </w:rPr>
              <w:t>GB16297</w:t>
            </w:r>
            <w:r>
              <w:rPr>
                <w:rFonts w:hint="eastAsia" w:ascii="Times New Roman" w:eastAsia="宋体"/>
                <w:color w:val="auto"/>
                <w:highlight w:val="none"/>
                <w:lang w:val="en-US" w:eastAsia="zh-CN"/>
              </w:rPr>
              <w:t>-</w:t>
            </w:r>
            <w:r>
              <w:rPr>
                <w:rFonts w:hint="eastAsia"/>
                <w:color w:val="auto"/>
                <w:highlight w:val="none"/>
                <w:lang w:val="en-US" w:eastAsia="zh-CN"/>
              </w:rPr>
              <w:t>1996</w:t>
            </w:r>
            <w:r>
              <w:rPr>
                <w:rFonts w:hint="eastAsia" w:ascii="Times New Roman" w:eastAsia="宋体"/>
                <w:color w:val="auto"/>
                <w:highlight w:val="none"/>
                <w:lang w:val="en-US" w:eastAsia="zh-CN"/>
              </w:rPr>
              <w:t>）表</w:t>
            </w:r>
            <w:r>
              <w:rPr>
                <w:rFonts w:hint="eastAsia"/>
                <w:color w:val="auto"/>
                <w:highlight w:val="none"/>
                <w:lang w:val="en-US" w:eastAsia="zh-CN"/>
              </w:rPr>
              <w:t>2中</w:t>
            </w:r>
            <w:r>
              <w:rPr>
                <w:rFonts w:hint="eastAsia" w:ascii="Times New Roman" w:eastAsia="宋体"/>
                <w:color w:val="auto"/>
                <w:highlight w:val="none"/>
                <w:lang w:val="en-US" w:eastAsia="zh-CN"/>
              </w:rPr>
              <w:t>颗粒物</w:t>
            </w:r>
            <w:r>
              <w:rPr>
                <w:rFonts w:hint="eastAsia"/>
                <w:color w:val="auto"/>
                <w:highlight w:val="none"/>
                <w:lang w:val="en-US" w:eastAsia="zh-CN"/>
              </w:rPr>
              <w:t>无组织排放浓度</w:t>
            </w:r>
            <w:r>
              <w:rPr>
                <w:rFonts w:hint="eastAsia" w:ascii="Times New Roman" w:eastAsia="宋体"/>
                <w:color w:val="auto"/>
                <w:highlight w:val="none"/>
                <w:lang w:val="en-US" w:eastAsia="zh-CN"/>
              </w:rPr>
              <w:t>限值</w:t>
            </w:r>
            <w:r>
              <w:rPr>
                <w:rFonts w:hint="eastAsia"/>
                <w:color w:val="auto"/>
                <w:highlight w:val="none"/>
                <w:lang w:val="en-US" w:eastAsia="zh-CN"/>
              </w:rPr>
              <w:t>1</w:t>
            </w:r>
            <w:r>
              <w:rPr>
                <w:rFonts w:hint="eastAsia" w:ascii="Times New Roman" w:eastAsia="宋体"/>
                <w:color w:val="auto"/>
                <w:highlight w:val="none"/>
                <w:lang w:val="en-US" w:eastAsia="zh-CN"/>
              </w:rPr>
              <w:t>.0mg/m</w:t>
            </w:r>
            <w:r>
              <w:rPr>
                <w:rFonts w:hint="eastAsia" w:ascii="Times New Roman" w:eastAsia="宋体"/>
                <w:color w:val="auto"/>
                <w:highlight w:val="none"/>
                <w:vertAlign w:val="superscript"/>
                <w:lang w:val="en-US" w:eastAsia="zh-CN"/>
              </w:rPr>
              <w:t>3</w:t>
            </w:r>
            <w:r>
              <w:rPr>
                <w:rFonts w:hint="default" w:ascii="Times New Roman" w:hAnsi="Times New Roman" w:eastAsia="宋体"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可实现</w:t>
            </w:r>
            <w:r>
              <w:rPr>
                <w:rFonts w:hint="default" w:ascii="Times New Roman" w:hAnsi="Times New Roman" w:eastAsia="宋体" w:cs="Times New Roman"/>
                <w:color w:val="auto"/>
                <w:kern w:val="0"/>
                <w:sz w:val="24"/>
                <w:szCs w:val="24"/>
                <w:highlight w:val="none"/>
                <w:lang w:val="en-US" w:eastAsia="zh-CN" w:bidi="ar"/>
              </w:rPr>
              <w:t>达标排放</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项目运营过程中产生的废气对大气环境影响较小。</w:t>
            </w:r>
          </w:p>
          <w:p w14:paraId="017479B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right="0" w:rightChars="0"/>
              <w:textAlignment w:val="auto"/>
              <w:rPr>
                <w:rFonts w:hint="eastAsia"/>
                <w:b/>
                <w:bCs/>
                <w:color w:val="auto"/>
                <w:highlight w:val="none"/>
                <w:lang w:val="en-US" w:eastAsia="zh-CN"/>
              </w:rPr>
            </w:pPr>
            <w:r>
              <w:rPr>
                <w:rFonts w:hint="eastAsia"/>
                <w:b/>
                <w:bCs/>
                <w:color w:val="auto"/>
                <w:highlight w:val="none"/>
                <w:lang w:val="en-US" w:eastAsia="zh-CN"/>
              </w:rPr>
              <w:t>1.3非正常情况分析</w:t>
            </w:r>
          </w:p>
          <w:p w14:paraId="678DBC98">
            <w:pPr>
              <w:bidi w:val="0"/>
              <w:rPr>
                <w:rFonts w:hint="default"/>
                <w:color w:val="auto"/>
                <w:highlight w:val="none"/>
              </w:rPr>
            </w:pPr>
            <w:r>
              <w:rPr>
                <w:rFonts w:hint="default"/>
                <w:color w:val="auto"/>
                <w:highlight w:val="none"/>
              </w:rPr>
              <w:t>非正常生产排污包括</w:t>
            </w:r>
            <w:r>
              <w:rPr>
                <w:rFonts w:hint="default"/>
                <w:color w:val="auto"/>
                <w:highlight w:val="none"/>
                <w:lang w:eastAsia="zh-CN"/>
              </w:rPr>
              <w:t>开机</w:t>
            </w:r>
            <w:r>
              <w:rPr>
                <w:rFonts w:hint="default"/>
                <w:color w:val="auto"/>
                <w:highlight w:val="none"/>
              </w:rPr>
              <w:t>、</w:t>
            </w:r>
            <w:r>
              <w:rPr>
                <w:rFonts w:hint="default"/>
                <w:color w:val="auto"/>
                <w:highlight w:val="none"/>
                <w:lang w:eastAsia="zh-CN"/>
              </w:rPr>
              <w:t>停机</w:t>
            </w:r>
            <w:r>
              <w:rPr>
                <w:rFonts w:hint="default"/>
                <w:color w:val="auto"/>
                <w:highlight w:val="none"/>
              </w:rPr>
              <w:t>、检修和非正常状况的污染物排放</w:t>
            </w:r>
            <w:r>
              <w:rPr>
                <w:rFonts w:hint="eastAsia"/>
                <w:color w:val="auto"/>
                <w:highlight w:val="none"/>
                <w:lang w:eastAsia="zh-CN"/>
              </w:rPr>
              <w:t>，</w:t>
            </w:r>
            <w:r>
              <w:rPr>
                <w:rFonts w:hint="default"/>
                <w:color w:val="auto"/>
                <w:highlight w:val="none"/>
              </w:rPr>
              <w:t>如有计划的开停</w:t>
            </w:r>
            <w:r>
              <w:rPr>
                <w:rFonts w:hint="default"/>
                <w:color w:val="auto"/>
                <w:highlight w:val="none"/>
                <w:lang w:eastAsia="zh-CN"/>
              </w:rPr>
              <w:t>机</w:t>
            </w:r>
            <w:r>
              <w:rPr>
                <w:rFonts w:hint="default"/>
                <w:color w:val="auto"/>
                <w:highlight w:val="none"/>
              </w:rPr>
              <w:t>检修和临时性故障停</w:t>
            </w:r>
            <w:r>
              <w:rPr>
                <w:rFonts w:hint="default"/>
                <w:color w:val="auto"/>
                <w:highlight w:val="none"/>
                <w:lang w:eastAsia="zh-CN"/>
              </w:rPr>
              <w:t>机</w:t>
            </w:r>
            <w:r>
              <w:rPr>
                <w:rFonts w:hint="default"/>
                <w:color w:val="auto"/>
                <w:highlight w:val="none"/>
              </w:rPr>
              <w:t>的污染物排放，及工艺设备</w:t>
            </w:r>
            <w:r>
              <w:rPr>
                <w:rFonts w:hint="eastAsia"/>
                <w:color w:val="auto"/>
                <w:highlight w:val="none"/>
                <w:lang w:eastAsia="zh-CN"/>
              </w:rPr>
              <w:t>、</w:t>
            </w:r>
            <w:r>
              <w:rPr>
                <w:rFonts w:hint="default"/>
                <w:color w:val="auto"/>
                <w:highlight w:val="none"/>
              </w:rPr>
              <w:t>环保设施不正常运行污染物排放等。</w:t>
            </w:r>
          </w:p>
          <w:p w14:paraId="0F2566CD">
            <w:pPr>
              <w:bidi w:val="0"/>
              <w:rPr>
                <w:rFonts w:hint="default"/>
                <w:color w:val="auto"/>
                <w:highlight w:val="none"/>
              </w:rPr>
            </w:pPr>
            <w:r>
              <w:rPr>
                <w:rFonts w:hint="default"/>
                <w:color w:val="auto"/>
                <w:highlight w:val="none"/>
              </w:rPr>
              <w:t>①工艺装置开、停</w:t>
            </w:r>
            <w:r>
              <w:rPr>
                <w:rFonts w:hint="default"/>
                <w:color w:val="auto"/>
                <w:highlight w:val="none"/>
                <w:lang w:eastAsia="zh-CN"/>
              </w:rPr>
              <w:t>机</w:t>
            </w:r>
            <w:r>
              <w:rPr>
                <w:rFonts w:hint="default"/>
                <w:color w:val="auto"/>
                <w:highlight w:val="none"/>
              </w:rPr>
              <w:t>、检修时废气污染物排放分析</w:t>
            </w:r>
          </w:p>
          <w:p w14:paraId="03B53D7E">
            <w:pPr>
              <w:bidi w:val="0"/>
              <w:rPr>
                <w:rFonts w:hint="default"/>
                <w:color w:val="auto"/>
                <w:highlight w:val="none"/>
              </w:rPr>
            </w:pPr>
            <w:r>
              <w:rPr>
                <w:rFonts w:hint="default" w:ascii="Times New Roman" w:hAnsi="Times New Roman" w:eastAsia="宋体" w:cs="Times New Roman"/>
                <w:color w:val="auto"/>
                <w:sz w:val="24"/>
                <w:szCs w:val="24"/>
                <w:highlight w:val="none"/>
              </w:rPr>
              <w:t>各工艺装置进行有计划检修开停</w:t>
            </w:r>
            <w:r>
              <w:rPr>
                <w:rFonts w:hint="default" w:ascii="Times New Roman" w:hAnsi="Times New Roman" w:eastAsia="宋体" w:cs="Times New Roman"/>
                <w:color w:val="auto"/>
                <w:sz w:val="24"/>
                <w:szCs w:val="24"/>
                <w:highlight w:val="none"/>
                <w:lang w:eastAsia="zh-CN"/>
              </w:rPr>
              <w:t>机</w:t>
            </w:r>
            <w:r>
              <w:rPr>
                <w:rFonts w:hint="default" w:ascii="Times New Roman" w:hAnsi="Times New Roman" w:eastAsia="宋体" w:cs="Times New Roman"/>
                <w:color w:val="auto"/>
                <w:sz w:val="24"/>
                <w:szCs w:val="24"/>
                <w:highlight w:val="none"/>
              </w:rPr>
              <w:t>及临时性故障停</w:t>
            </w:r>
            <w:r>
              <w:rPr>
                <w:rFonts w:hint="default" w:ascii="Times New Roman" w:hAnsi="Times New Roman" w:eastAsia="宋体" w:cs="Times New Roman"/>
                <w:color w:val="auto"/>
                <w:sz w:val="24"/>
                <w:szCs w:val="24"/>
                <w:highlight w:val="none"/>
                <w:lang w:eastAsia="zh-CN"/>
              </w:rPr>
              <w:t>机</w:t>
            </w:r>
            <w:r>
              <w:rPr>
                <w:rFonts w:hint="default" w:ascii="Times New Roman" w:hAnsi="Times New Roman" w:eastAsia="宋体" w:cs="Times New Roman"/>
                <w:color w:val="auto"/>
                <w:sz w:val="24"/>
                <w:szCs w:val="24"/>
                <w:highlight w:val="none"/>
              </w:rPr>
              <w:t>时，</w:t>
            </w:r>
            <w:r>
              <w:rPr>
                <w:rFonts w:hint="default"/>
                <w:color w:val="auto"/>
                <w:sz w:val="24"/>
                <w:szCs w:val="24"/>
                <w:highlight w:val="none"/>
              </w:rPr>
              <w:t>废气收集系统先于生产设施启动，后于对应设施关闭</w:t>
            </w:r>
            <w:r>
              <w:rPr>
                <w:rFonts w:hint="eastAsia"/>
                <w:color w:val="auto"/>
                <w:sz w:val="24"/>
                <w:szCs w:val="24"/>
                <w:highlight w:val="none"/>
                <w:lang w:eastAsia="zh-CN"/>
              </w:rPr>
              <w:t>。</w:t>
            </w:r>
          </w:p>
          <w:p w14:paraId="6497CD3A">
            <w:pPr>
              <w:bidi w:val="0"/>
              <w:rPr>
                <w:rFonts w:hint="default"/>
                <w:color w:val="auto"/>
                <w:highlight w:val="none"/>
              </w:rPr>
            </w:pPr>
            <w:r>
              <w:rPr>
                <w:rFonts w:hint="default"/>
                <w:color w:val="auto"/>
                <w:highlight w:val="none"/>
              </w:rPr>
              <w:t>②工艺设备及环保设施不正常运行污染物排放</w:t>
            </w:r>
          </w:p>
          <w:p w14:paraId="7C3901B0">
            <w:pPr>
              <w:bidi w:val="0"/>
              <w:rPr>
                <w:rFonts w:hint="eastAsia"/>
                <w:color w:val="auto"/>
                <w:sz w:val="24"/>
                <w:szCs w:val="24"/>
                <w:highlight w:val="none"/>
                <w:lang w:eastAsia="zh-CN"/>
              </w:rPr>
            </w:pPr>
            <w:r>
              <w:rPr>
                <w:rFonts w:hint="default" w:ascii="Times New Roman" w:hAnsi="Times New Roman" w:eastAsia="宋体" w:cs="Times New Roman"/>
                <w:color w:val="auto"/>
                <w:sz w:val="24"/>
                <w:szCs w:val="24"/>
                <w:highlight w:val="none"/>
              </w:rPr>
              <w:t>当工艺设备运行不正常时，可直接导致工艺装置产生废气中污染物浓度大幅增加，通常调节工艺参数可实现工艺设备正常运行，或进行停</w:t>
            </w:r>
            <w:r>
              <w:rPr>
                <w:rFonts w:hint="default" w:ascii="Times New Roman" w:hAnsi="Times New Roman" w:eastAsia="宋体" w:cs="Times New Roman"/>
                <w:color w:val="auto"/>
                <w:sz w:val="24"/>
                <w:szCs w:val="24"/>
                <w:highlight w:val="none"/>
                <w:lang w:eastAsia="zh-CN"/>
              </w:rPr>
              <w:t>机</w:t>
            </w:r>
            <w:r>
              <w:rPr>
                <w:rFonts w:hint="default" w:ascii="Times New Roman" w:hAnsi="Times New Roman" w:eastAsia="宋体" w:cs="Times New Roman"/>
                <w:color w:val="auto"/>
                <w:sz w:val="24"/>
                <w:szCs w:val="24"/>
                <w:highlight w:val="none"/>
              </w:rPr>
              <w:t>处理</w:t>
            </w:r>
            <w:r>
              <w:rPr>
                <w:rFonts w:hint="eastAsia" w:ascii="Times New Roman" w:hAnsi="Times New Roman" w:eastAsia="宋体" w:cs="Times New Roman"/>
                <w:color w:val="auto"/>
                <w:sz w:val="24"/>
                <w:szCs w:val="24"/>
                <w:highlight w:val="none"/>
                <w:lang w:eastAsia="zh-CN"/>
              </w:rPr>
              <w:t>。</w:t>
            </w:r>
            <w:r>
              <w:rPr>
                <w:rFonts w:hint="default"/>
                <w:color w:val="auto"/>
                <w:sz w:val="24"/>
                <w:szCs w:val="24"/>
                <w:highlight w:val="none"/>
              </w:rPr>
              <w:t>废气收集处理系统发生故障或检修时，对应的生产工艺设备</w:t>
            </w:r>
            <w:r>
              <w:rPr>
                <w:rFonts w:hint="eastAsia"/>
                <w:color w:val="auto"/>
                <w:sz w:val="24"/>
                <w:szCs w:val="24"/>
                <w:highlight w:val="none"/>
                <w:lang w:val="en-US" w:eastAsia="zh-CN"/>
              </w:rPr>
              <w:t>先</w:t>
            </w:r>
            <w:r>
              <w:rPr>
                <w:rFonts w:hint="default"/>
                <w:color w:val="auto"/>
                <w:sz w:val="24"/>
                <w:szCs w:val="24"/>
                <w:highlight w:val="none"/>
              </w:rPr>
              <w:t>停止运行，待检修完毕后同步投入使用</w:t>
            </w:r>
            <w:r>
              <w:rPr>
                <w:rFonts w:hint="eastAsia"/>
                <w:color w:val="auto"/>
                <w:sz w:val="24"/>
                <w:szCs w:val="24"/>
                <w:highlight w:val="none"/>
                <w:lang w:eastAsia="zh-CN"/>
              </w:rPr>
              <w:t>。</w:t>
            </w:r>
          </w:p>
          <w:p w14:paraId="51EAAFFD">
            <w:pPr>
              <w:bidi w:val="0"/>
              <w:rPr>
                <w:rFonts w:hint="eastAsia"/>
                <w:color w:val="auto"/>
                <w:highlight w:val="none"/>
                <w:lang w:val="en-US" w:eastAsia="zh-CN"/>
              </w:rPr>
            </w:pPr>
            <w:r>
              <w:rPr>
                <w:rFonts w:hint="eastAsia" w:ascii="Times New Roman" w:hAnsi="Times New Roman" w:eastAsia="宋体" w:cs="Times New Roman"/>
                <w:color w:val="auto"/>
                <w:sz w:val="24"/>
                <w:szCs w:val="24"/>
                <w:highlight w:val="none"/>
                <w:lang w:val="en-US" w:eastAsia="zh-CN"/>
              </w:rPr>
              <w:t>本项目无有组织废气排放，</w:t>
            </w:r>
            <w:r>
              <w:rPr>
                <w:rFonts w:hint="eastAsia" w:cs="Times New Roman"/>
                <w:color w:val="auto"/>
                <w:sz w:val="24"/>
                <w:szCs w:val="24"/>
                <w:highlight w:val="none"/>
                <w:lang w:val="en-US" w:eastAsia="zh-CN"/>
              </w:rPr>
              <w:t>堆填（砌）</w:t>
            </w:r>
            <w:r>
              <w:rPr>
                <w:rFonts w:hint="eastAsia" w:ascii="Times New Roman" w:hAnsi="Times New Roman" w:eastAsia="宋体" w:cs="Times New Roman"/>
                <w:color w:val="auto"/>
                <w:sz w:val="24"/>
                <w:szCs w:val="24"/>
                <w:highlight w:val="none"/>
                <w:lang w:val="en-US" w:eastAsia="zh-CN"/>
              </w:rPr>
              <w:t>区设置雾炮抑尘，如果雾炮故障，会导致无组织排放增大，项目按故障频次按每年发生</w:t>
            </w:r>
            <w:r>
              <w:rPr>
                <w:rFonts w:hint="default"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次，每次持续</w:t>
            </w:r>
            <w:r>
              <w:rPr>
                <w:rFonts w:hint="default" w:ascii="Times New Roman" w:hAnsi="Times New Roman" w:eastAsia="宋体" w:cs="Times New Roman"/>
                <w:color w:val="auto"/>
                <w:sz w:val="24"/>
                <w:szCs w:val="24"/>
                <w:highlight w:val="none"/>
                <w:lang w:val="en-US" w:eastAsia="zh-CN"/>
              </w:rPr>
              <w:t>0.5h</w:t>
            </w:r>
            <w:r>
              <w:rPr>
                <w:rFonts w:hint="eastAsia" w:ascii="Times New Roman" w:hAnsi="Times New Roman" w:eastAsia="宋体" w:cs="Times New Roman"/>
                <w:color w:val="auto"/>
                <w:sz w:val="24"/>
                <w:szCs w:val="24"/>
                <w:highlight w:val="none"/>
                <w:lang w:val="en-US" w:eastAsia="zh-CN"/>
              </w:rPr>
              <w:t>计。雾炮发生故障后，立即停产，对故障设施进行检修，待故障设施恢复正常后恢复生产，本项目非正常工况污染物排放量为</w:t>
            </w:r>
            <w:r>
              <w:rPr>
                <w:rFonts w:hint="eastAsia" w:cs="Times New Roman"/>
                <w:color w:val="auto"/>
                <w:sz w:val="24"/>
                <w:szCs w:val="24"/>
                <w:highlight w:val="none"/>
                <w:lang w:val="en-US" w:eastAsia="zh-CN"/>
              </w:rPr>
              <w:t>11.978</w:t>
            </w:r>
            <w:r>
              <w:rPr>
                <w:rFonts w:hint="eastAsia" w:ascii="Times New Roman" w:hAnsi="Times New Roman" w:eastAsia="宋体" w:cs="Times New Roman"/>
                <w:color w:val="auto"/>
                <w:sz w:val="24"/>
                <w:szCs w:val="24"/>
                <w:highlight w:val="none"/>
                <w:lang w:val="en-US" w:eastAsia="zh-CN"/>
              </w:rPr>
              <w:t>kg</w:t>
            </w:r>
            <w:r>
              <w:rPr>
                <w:rFonts w:hint="eastAsia" w:cs="Times New Roman"/>
                <w:color w:val="auto"/>
                <w:sz w:val="24"/>
                <w:szCs w:val="24"/>
                <w:highlight w:val="none"/>
                <w:lang w:val="en-US" w:eastAsia="zh-CN"/>
              </w:rPr>
              <w:t>。项目</w:t>
            </w:r>
            <w:r>
              <w:rPr>
                <w:rFonts w:hint="eastAsia"/>
                <w:color w:val="auto"/>
                <w:highlight w:val="none"/>
                <w:lang w:val="en-US" w:eastAsia="zh-CN"/>
              </w:rPr>
              <w:t>采取如下措施防治无组织颗粒物超标排放：</w:t>
            </w:r>
          </w:p>
          <w:p w14:paraId="6AF0F8DF">
            <w:pPr>
              <w:numPr>
                <w:ilvl w:val="0"/>
                <w:numId w:val="30"/>
              </w:numPr>
              <w:bidi w:val="0"/>
              <w:rPr>
                <w:rFonts w:hint="eastAsia"/>
                <w:color w:val="auto"/>
                <w:highlight w:val="none"/>
                <w:lang w:val="en-US" w:eastAsia="zh-CN"/>
              </w:rPr>
            </w:pPr>
            <w:r>
              <w:rPr>
                <w:rFonts w:hint="eastAsia"/>
                <w:color w:val="auto"/>
                <w:highlight w:val="none"/>
                <w:lang w:val="en-US" w:eastAsia="zh-CN"/>
              </w:rPr>
              <w:t>注意雾炮降尘设施的维护保养，及时发现处理设备的隐患，确保雾炮降尘等设施正常运行，以保障无组织废气排放达标，杜绝无组织废气超标排放的可能性。</w:t>
            </w:r>
          </w:p>
          <w:p w14:paraId="3BDB83F3">
            <w:pPr>
              <w:numPr>
                <w:ilvl w:val="0"/>
                <w:numId w:val="30"/>
              </w:numPr>
              <w:bidi w:val="0"/>
              <w:rPr>
                <w:rFonts w:hint="default"/>
                <w:color w:val="auto"/>
                <w:highlight w:val="none"/>
                <w:lang w:val="en-US" w:eastAsia="zh-CN"/>
              </w:rPr>
            </w:pPr>
            <w:r>
              <w:rPr>
                <w:rFonts w:hint="default"/>
                <w:color w:val="auto"/>
                <w:highlight w:val="none"/>
                <w:lang w:val="en-US" w:eastAsia="zh-CN"/>
              </w:rPr>
              <w:t>进一步加强对厂区降尘装置的监管（比如，日常检查是否进行洒水除尘等）。</w:t>
            </w:r>
          </w:p>
          <w:p w14:paraId="2054DFDD">
            <w:pPr>
              <w:numPr>
                <w:ilvl w:val="0"/>
                <w:numId w:val="30"/>
              </w:numPr>
              <w:bidi w:val="0"/>
              <w:rPr>
                <w:rFonts w:hint="default"/>
                <w:color w:val="auto"/>
                <w:highlight w:val="none"/>
                <w:lang w:val="en-US" w:eastAsia="zh-CN"/>
              </w:rPr>
            </w:pPr>
            <w:r>
              <w:rPr>
                <w:rFonts w:hint="default"/>
                <w:color w:val="auto"/>
                <w:highlight w:val="none"/>
                <w:lang w:val="en-US" w:eastAsia="zh-CN"/>
              </w:rPr>
              <w:t>建立健全的环保管理机构，对环保管理人员和技术人员进行岗位培训。</w:t>
            </w:r>
          </w:p>
          <w:p w14:paraId="4136189D">
            <w:pPr>
              <w:bidi w:val="0"/>
              <w:ind w:left="0" w:leftChars="0" w:firstLine="0" w:firstLineChars="0"/>
              <w:rPr>
                <w:rFonts w:hint="eastAsia"/>
                <w:b/>
                <w:bCs/>
                <w:color w:val="auto"/>
                <w:highlight w:val="none"/>
              </w:rPr>
            </w:pPr>
            <w:r>
              <w:rPr>
                <w:rFonts w:hint="default"/>
                <w:b/>
                <w:bCs/>
                <w:color w:val="auto"/>
                <w:highlight w:val="none"/>
              </w:rPr>
              <w:t>1.</w:t>
            </w:r>
            <w:r>
              <w:rPr>
                <w:rFonts w:hint="eastAsia"/>
                <w:b/>
                <w:bCs/>
                <w:color w:val="auto"/>
                <w:highlight w:val="none"/>
                <w:lang w:val="en-US" w:eastAsia="zh-CN"/>
              </w:rPr>
              <w:t>4</w:t>
            </w:r>
            <w:r>
              <w:rPr>
                <w:rFonts w:hint="eastAsia"/>
                <w:b/>
                <w:bCs/>
                <w:color w:val="auto"/>
                <w:highlight w:val="none"/>
                <w:lang w:eastAsia="zh-CN"/>
              </w:rPr>
              <w:t>废气处理</w:t>
            </w:r>
            <w:r>
              <w:rPr>
                <w:rFonts w:hint="eastAsia"/>
                <w:b/>
                <w:bCs/>
                <w:color w:val="auto"/>
                <w:highlight w:val="none"/>
              </w:rPr>
              <w:t>设施可行性分析</w:t>
            </w:r>
          </w:p>
          <w:p w14:paraId="525A5771">
            <w:pPr>
              <w:bidi w:val="0"/>
              <w:rPr>
                <w:rFonts w:hint="default" w:eastAsia="宋体"/>
                <w:color w:val="auto"/>
                <w:highlight w:val="none"/>
                <w:lang w:val="en-US" w:eastAsia="zh-CN"/>
              </w:rPr>
            </w:pPr>
            <w:r>
              <w:rPr>
                <w:rFonts w:hint="eastAsia"/>
                <w:color w:val="auto"/>
                <w:highlight w:val="none"/>
                <w:lang w:val="en-US" w:eastAsia="zh-CN"/>
              </w:rPr>
              <w:t>参照《排污许可证申请与核发技术规范 工业固体废物和危险废物治理》（HJ 1033-2019），逐层填埋、覆土压实、及时覆盖、洒水抑尘、设置防风抑尘网、服务期满后及时封场为一般工业固体废物贮存、处置排污单位贮存、处置环节废气治理可行性技术，本项目对建筑垃圾进行堆填，采取逐层堆填、及时覆盖、洒水抑尘等废气治理措施，为可行性技术，污染物可达标排放。</w:t>
            </w:r>
          </w:p>
          <w:p w14:paraId="0E001AE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bCs/>
                <w:color w:val="auto"/>
                <w:highlight w:val="none"/>
                <w:lang w:val="en-US" w:eastAsia="zh-CN"/>
              </w:rPr>
            </w:pPr>
            <w:r>
              <w:rPr>
                <w:rFonts w:hint="default"/>
                <w:b/>
                <w:bCs/>
                <w:color w:val="auto"/>
                <w:highlight w:val="none"/>
              </w:rPr>
              <w:t>1.</w:t>
            </w:r>
            <w:r>
              <w:rPr>
                <w:rFonts w:hint="eastAsia"/>
                <w:b/>
                <w:bCs/>
                <w:color w:val="auto"/>
                <w:highlight w:val="none"/>
                <w:lang w:val="en-US" w:eastAsia="zh-CN"/>
              </w:rPr>
              <w:t>5大气环境评价结论</w:t>
            </w:r>
          </w:p>
          <w:p w14:paraId="48DACDA4">
            <w:pPr>
              <w:keepNext w:val="0"/>
              <w:keepLines w:val="0"/>
              <w:pageBreakBefore w:val="0"/>
              <w:widowControl w:val="0"/>
              <w:kinsoku/>
              <w:wordWrap/>
              <w:overflowPunct/>
              <w:topLinePunct w:val="0"/>
              <w:autoSpaceDE/>
              <w:autoSpaceDN/>
              <w:bidi w:val="0"/>
              <w:adjustRightInd/>
              <w:snapToGrid/>
              <w:textAlignment w:val="auto"/>
              <w:rPr>
                <w:rFonts w:hint="default"/>
                <w:b/>
                <w:bCs/>
                <w:color w:val="auto"/>
                <w:highlight w:val="none"/>
              </w:rPr>
            </w:pPr>
            <w:r>
              <w:rPr>
                <w:rFonts w:hint="eastAsia"/>
                <w:color w:val="auto"/>
                <w:highlight w:val="none"/>
                <w:lang w:val="en-US" w:eastAsia="zh-CN"/>
              </w:rPr>
              <w:t>项目</w:t>
            </w:r>
            <w:r>
              <w:rPr>
                <w:rFonts w:hint="default"/>
                <w:color w:val="auto"/>
                <w:highlight w:val="none"/>
                <w:lang w:val="en-US" w:eastAsia="zh-CN"/>
              </w:rPr>
              <w:t>所在区域环境空气质量属于不达标区。</w:t>
            </w:r>
            <w:r>
              <w:rPr>
                <w:rFonts w:hint="eastAsia"/>
                <w:color w:val="auto"/>
                <w:highlight w:val="none"/>
                <w:lang w:val="en-US" w:eastAsia="zh-CN"/>
              </w:rPr>
              <w:t>特征</w:t>
            </w:r>
            <w:r>
              <w:rPr>
                <w:rFonts w:hint="default"/>
                <w:color w:val="auto"/>
                <w:highlight w:val="none"/>
              </w:rPr>
              <w:t>污染物TSP</w:t>
            </w:r>
            <w:r>
              <w:rPr>
                <w:rFonts w:hint="eastAsia"/>
                <w:color w:val="auto"/>
                <w:highlight w:val="none"/>
              </w:rPr>
              <w:t xml:space="preserve"> </w:t>
            </w:r>
            <w:r>
              <w:rPr>
                <w:rFonts w:hint="default"/>
                <w:color w:val="auto"/>
                <w:highlight w:val="none"/>
              </w:rPr>
              <w:t>24小时浓度满足</w:t>
            </w:r>
            <w:r>
              <w:rPr>
                <w:rFonts w:hint="eastAsia"/>
                <w:color w:val="auto"/>
                <w:highlight w:val="none"/>
                <w:lang w:eastAsia="zh-CN"/>
              </w:rPr>
              <w:t>《环境空气质量标准》（GB3095-20</w:t>
            </w:r>
            <w:r>
              <w:rPr>
                <w:rFonts w:hint="eastAsia"/>
                <w:color w:val="auto"/>
                <w:highlight w:val="none"/>
                <w:lang w:val="en-US" w:eastAsia="zh-CN"/>
              </w:rPr>
              <w:t>26</w:t>
            </w:r>
            <w:r>
              <w:rPr>
                <w:rFonts w:hint="eastAsia"/>
                <w:color w:val="auto"/>
                <w:highlight w:val="none"/>
                <w:lang w:eastAsia="zh-CN"/>
              </w:rPr>
              <w:t>）</w:t>
            </w:r>
            <w:r>
              <w:rPr>
                <w:rFonts w:hint="eastAsia"/>
                <w:color w:val="auto"/>
                <w:highlight w:val="none"/>
                <w:lang w:val="en-US" w:eastAsia="zh-CN"/>
              </w:rPr>
              <w:t>中</w:t>
            </w:r>
            <w:r>
              <w:rPr>
                <w:rFonts w:hint="default"/>
                <w:color w:val="auto"/>
                <w:highlight w:val="none"/>
              </w:rPr>
              <w:t>二级标准</w:t>
            </w:r>
            <w:r>
              <w:rPr>
                <w:rFonts w:hint="eastAsia"/>
                <w:color w:val="auto"/>
                <w:highlight w:val="none"/>
                <w:lang w:val="en-US" w:eastAsia="zh-CN"/>
              </w:rPr>
              <w:t>的要求</w:t>
            </w:r>
            <w:r>
              <w:rPr>
                <w:rFonts w:hint="default"/>
                <w:color w:val="auto"/>
                <w:highlight w:val="none"/>
              </w:rPr>
              <w:t>。</w:t>
            </w:r>
            <w:r>
              <w:rPr>
                <w:rFonts w:hint="eastAsia"/>
                <w:color w:val="auto"/>
                <w:highlight w:val="none"/>
                <w:lang w:val="en-US" w:eastAsia="zh-CN"/>
              </w:rPr>
              <w:t>本项目废气采用废气处理设施处理后，颗粒物排放量为</w:t>
            </w:r>
            <w:r>
              <w:rPr>
                <w:rFonts w:hint="eastAsia"/>
                <w:color w:val="auto"/>
                <w:sz w:val="24"/>
                <w:szCs w:val="24"/>
                <w:highlight w:val="none"/>
                <w:lang w:val="en-US" w:eastAsia="zh-CN"/>
              </w:rPr>
              <w:t>17.939</w:t>
            </w:r>
            <w:r>
              <w:rPr>
                <w:rFonts w:hint="eastAsia"/>
                <w:color w:val="auto"/>
                <w:highlight w:val="none"/>
                <w:lang w:val="en-US" w:eastAsia="zh-CN"/>
              </w:rPr>
              <w:t>t/a。项目场界外500m范围内无大气环境保护目标，项目的实施不会对大气环境质量造成明显不利影响。因此，</w:t>
            </w:r>
            <w:r>
              <w:rPr>
                <w:color w:val="auto"/>
                <w:highlight w:val="none"/>
              </w:rPr>
              <w:t>本项目大气环境影响可接受</w:t>
            </w:r>
            <w:r>
              <w:rPr>
                <w:rFonts w:hint="eastAsia"/>
                <w:color w:val="auto"/>
                <w:highlight w:val="none"/>
              </w:rPr>
              <w:t>。</w:t>
            </w:r>
          </w:p>
          <w:p w14:paraId="1578A1A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1.6监测计划</w:t>
            </w:r>
          </w:p>
          <w:p w14:paraId="25A43CB6">
            <w:pPr>
              <w:bidi w:val="0"/>
              <w:rPr>
                <w:rFonts w:hint="default" w:ascii="Times New Roman" w:hAnsi="Times New Roman" w:cs="Times New Roman"/>
                <w:color w:val="auto"/>
                <w:kern w:val="1"/>
                <w:sz w:val="24"/>
                <w:szCs w:val="24"/>
                <w:highlight w:val="none"/>
                <w:lang w:val="en-US" w:eastAsia="zh-CN" w:bidi="ar"/>
              </w:rPr>
            </w:pPr>
            <w:r>
              <w:rPr>
                <w:rFonts w:hint="default" w:ascii="Times New Roman" w:hAnsi="Times New Roman" w:cs="Times New Roman"/>
                <w:snapToGrid w:val="0"/>
                <w:color w:val="auto"/>
                <w:kern w:val="0"/>
                <w:sz w:val="24"/>
                <w:szCs w:val="24"/>
                <w:highlight w:val="none"/>
                <w:lang w:bidi="ar"/>
              </w:rPr>
              <w:t>根据本建设项目性质，</w:t>
            </w:r>
            <w:r>
              <w:rPr>
                <w:rFonts w:hint="default" w:ascii="Times New Roman" w:hAnsi="Times New Roman" w:cs="Times New Roman"/>
                <w:color w:val="auto"/>
                <w:sz w:val="24"/>
                <w:szCs w:val="24"/>
                <w:highlight w:val="none"/>
              </w:rPr>
              <w:t>按照《排污单位自行监测技术指南 总则》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HJ819-2017</w:t>
            </w:r>
            <w:r>
              <w:rPr>
                <w:rFonts w:hint="default" w:ascii="Times New Roman" w:hAnsi="Times New Roman" w:cs="Times New Roman"/>
                <w:color w:val="auto"/>
                <w:sz w:val="24"/>
                <w:szCs w:val="24"/>
                <w:highlight w:val="none"/>
                <w:lang w:eastAsia="zh-CN"/>
              </w:rPr>
              <w:t>）</w:t>
            </w:r>
            <w:r>
              <w:rPr>
                <w:rFonts w:hint="eastAsia" w:ascii="Times New Roman" w:hAnsi="Times New Roman" w:eastAsia="宋体" w:cs="Times New Roman"/>
                <w:color w:val="auto"/>
                <w:kern w:val="1"/>
                <w:sz w:val="24"/>
                <w:szCs w:val="22"/>
                <w:highlight w:val="none"/>
                <w:lang w:val="en-US" w:eastAsia="zh-CN" w:bidi="ar"/>
              </w:rPr>
              <w:t>要求</w:t>
            </w:r>
            <w:r>
              <w:rPr>
                <w:rFonts w:hint="default" w:ascii="Times New Roman" w:hAnsi="Times New Roman" w:cs="Times New Roman"/>
                <w:color w:val="auto"/>
                <w:sz w:val="24"/>
                <w:szCs w:val="24"/>
                <w:highlight w:val="none"/>
                <w:lang w:eastAsia="zh-CN"/>
              </w:rPr>
              <w:t>，</w:t>
            </w:r>
            <w:r>
              <w:rPr>
                <w:rFonts w:hint="eastAsia" w:cs="Times New Roman"/>
                <w:color w:val="auto"/>
                <w:kern w:val="1"/>
                <w:sz w:val="24"/>
                <w:szCs w:val="24"/>
                <w:highlight w:val="none"/>
                <w:lang w:val="en-US" w:eastAsia="zh-CN" w:bidi="ar"/>
              </w:rPr>
              <w:t>本项目</w:t>
            </w:r>
            <w:r>
              <w:rPr>
                <w:rFonts w:hint="default" w:ascii="Times New Roman" w:hAnsi="Times New Roman" w:cs="Times New Roman"/>
                <w:color w:val="auto"/>
                <w:kern w:val="1"/>
                <w:sz w:val="24"/>
                <w:szCs w:val="24"/>
                <w:highlight w:val="none"/>
                <w:lang w:val="en-US" w:eastAsia="zh-CN" w:bidi="ar"/>
              </w:rPr>
              <w:t>废气监测因子、监测频次、执行排放标准情况见下表。</w:t>
            </w:r>
          </w:p>
          <w:p w14:paraId="343A8781">
            <w:pPr>
              <w:pStyle w:val="36"/>
              <w:numPr>
                <w:ilvl w:val="0"/>
                <w:numId w:val="27"/>
              </w:numPr>
              <w:bidi w:val="0"/>
              <w:rPr>
                <w:rFonts w:hint="default"/>
                <w:color w:val="auto"/>
                <w:highlight w:val="none"/>
              </w:rPr>
            </w:pPr>
            <w:r>
              <w:rPr>
                <w:rFonts w:hint="eastAsia"/>
                <w:color w:val="auto"/>
                <w:highlight w:val="none"/>
                <w:lang w:val="en-US" w:eastAsia="zh-CN"/>
              </w:rPr>
              <w:t>本</w:t>
            </w:r>
            <w:r>
              <w:rPr>
                <w:rFonts w:hint="default"/>
                <w:color w:val="auto"/>
                <w:highlight w:val="none"/>
              </w:rPr>
              <w:t>项目废</w:t>
            </w:r>
            <w:r>
              <w:rPr>
                <w:rFonts w:hint="eastAsia"/>
                <w:color w:val="auto"/>
                <w:highlight w:val="none"/>
                <w:lang w:val="en-US" w:eastAsia="zh-CN"/>
              </w:rPr>
              <w:t>气</w:t>
            </w:r>
            <w:r>
              <w:rPr>
                <w:rFonts w:hint="default"/>
                <w:color w:val="auto"/>
                <w:highlight w:val="none"/>
              </w:rPr>
              <w:t>监测计划</w:t>
            </w:r>
            <w:r>
              <w:rPr>
                <w:rFonts w:hint="eastAsia"/>
                <w:color w:val="auto"/>
                <w:highlight w:val="none"/>
                <w:lang w:val="en-US" w:eastAsia="zh-CN"/>
              </w:rPr>
              <w:t>一览</w:t>
            </w:r>
            <w:r>
              <w:rPr>
                <w:rFonts w:hint="default"/>
                <w:color w:val="auto"/>
                <w:highlight w:val="none"/>
              </w:rPr>
              <w:t>表</w:t>
            </w:r>
          </w:p>
          <w:tbl>
            <w:tblPr>
              <w:tblStyle w:val="29"/>
              <w:tblW w:w="810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57" w:type="dxa"/>
                <w:bottom w:w="0" w:type="dxa"/>
                <w:right w:w="57" w:type="dxa"/>
              </w:tblCellMar>
            </w:tblPr>
            <w:tblGrid>
              <w:gridCol w:w="1306"/>
              <w:gridCol w:w="1217"/>
              <w:gridCol w:w="1188"/>
              <w:gridCol w:w="4396"/>
            </w:tblGrid>
            <w:tr w14:paraId="171F15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377" w:hRule="atLeast"/>
                <w:jc w:val="center"/>
              </w:trPr>
              <w:tc>
                <w:tcPr>
                  <w:tcW w:w="1306" w:type="dxa"/>
                  <w:tcBorders>
                    <w:tl2br w:val="nil"/>
                    <w:tr2bl w:val="nil"/>
                  </w:tcBorders>
                  <w:noWrap w:val="0"/>
                  <w:tcMar>
                    <w:top w:w="15" w:type="dxa"/>
                    <w:left w:w="15" w:type="dxa"/>
                    <w:bottom w:w="15" w:type="dxa"/>
                    <w:right w:w="15" w:type="dxa"/>
                  </w:tcMar>
                  <w:vAlign w:val="center"/>
                </w:tcPr>
                <w:p w14:paraId="16254B8E">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监测点位</w:t>
                  </w:r>
                </w:p>
              </w:tc>
              <w:tc>
                <w:tcPr>
                  <w:tcW w:w="1217" w:type="dxa"/>
                  <w:tcBorders>
                    <w:tl2br w:val="nil"/>
                    <w:tr2bl w:val="nil"/>
                  </w:tcBorders>
                  <w:noWrap w:val="0"/>
                  <w:tcMar>
                    <w:top w:w="15" w:type="dxa"/>
                    <w:left w:w="15" w:type="dxa"/>
                    <w:bottom w:w="15" w:type="dxa"/>
                    <w:right w:w="15" w:type="dxa"/>
                  </w:tcMar>
                  <w:vAlign w:val="center"/>
                </w:tcPr>
                <w:p w14:paraId="51BF33D1">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eastAsia="zh-CN"/>
                    </w:rPr>
                  </w:pPr>
                  <w:r>
                    <w:rPr>
                      <w:rFonts w:hint="default"/>
                      <w:color w:val="auto"/>
                      <w:sz w:val="21"/>
                      <w:szCs w:val="21"/>
                      <w:highlight w:val="none"/>
                    </w:rPr>
                    <w:t>监测</w:t>
                  </w:r>
                  <w:r>
                    <w:rPr>
                      <w:rFonts w:hint="eastAsia"/>
                      <w:color w:val="auto"/>
                      <w:sz w:val="21"/>
                      <w:szCs w:val="21"/>
                      <w:highlight w:val="none"/>
                      <w:lang w:val="en-US" w:eastAsia="zh-CN"/>
                    </w:rPr>
                    <w:t>因子</w:t>
                  </w:r>
                </w:p>
              </w:tc>
              <w:tc>
                <w:tcPr>
                  <w:tcW w:w="1188" w:type="dxa"/>
                  <w:tcBorders>
                    <w:tl2br w:val="nil"/>
                    <w:tr2bl w:val="nil"/>
                  </w:tcBorders>
                  <w:noWrap w:val="0"/>
                  <w:tcMar>
                    <w:top w:w="15" w:type="dxa"/>
                    <w:left w:w="15" w:type="dxa"/>
                    <w:bottom w:w="15" w:type="dxa"/>
                    <w:right w:w="15" w:type="dxa"/>
                  </w:tcMar>
                  <w:vAlign w:val="center"/>
                </w:tcPr>
                <w:p w14:paraId="0CDE2F3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监测频次</w:t>
                  </w:r>
                </w:p>
              </w:tc>
              <w:tc>
                <w:tcPr>
                  <w:tcW w:w="4396" w:type="dxa"/>
                  <w:tcBorders>
                    <w:tl2br w:val="nil"/>
                    <w:tr2bl w:val="nil"/>
                  </w:tcBorders>
                  <w:noWrap w:val="0"/>
                  <w:tcMar>
                    <w:top w:w="15" w:type="dxa"/>
                    <w:left w:w="15" w:type="dxa"/>
                    <w:bottom w:w="15" w:type="dxa"/>
                    <w:right w:w="15" w:type="dxa"/>
                  </w:tcMar>
                  <w:vAlign w:val="center"/>
                </w:tcPr>
                <w:p w14:paraId="2361B023">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default"/>
                      <w:color w:val="auto"/>
                      <w:sz w:val="21"/>
                      <w:szCs w:val="21"/>
                      <w:highlight w:val="none"/>
                    </w:rPr>
                  </w:pPr>
                  <w:r>
                    <w:rPr>
                      <w:rFonts w:hint="default"/>
                      <w:color w:val="auto"/>
                      <w:sz w:val="21"/>
                      <w:szCs w:val="21"/>
                      <w:highlight w:val="none"/>
                    </w:rPr>
                    <w:t>执行排放标准</w:t>
                  </w:r>
                </w:p>
              </w:tc>
            </w:tr>
            <w:tr w14:paraId="237282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57" w:type="dxa"/>
                  <w:bottom w:w="0" w:type="dxa"/>
                  <w:right w:w="57" w:type="dxa"/>
                </w:tblCellMar>
              </w:tblPrEx>
              <w:trPr>
                <w:trHeight w:val="671" w:hRule="atLeast"/>
                <w:jc w:val="center"/>
              </w:trPr>
              <w:tc>
                <w:tcPr>
                  <w:tcW w:w="1306" w:type="dxa"/>
                  <w:tcBorders>
                    <w:tl2br w:val="nil"/>
                    <w:tr2bl w:val="nil"/>
                  </w:tcBorders>
                  <w:noWrap w:val="0"/>
                  <w:tcMar>
                    <w:top w:w="15" w:type="dxa"/>
                    <w:left w:w="15" w:type="dxa"/>
                    <w:bottom w:w="15" w:type="dxa"/>
                    <w:right w:w="15" w:type="dxa"/>
                  </w:tcMar>
                  <w:vAlign w:val="center"/>
                </w:tcPr>
                <w:p w14:paraId="07DF4F4D">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场界</w:t>
                  </w:r>
                </w:p>
              </w:tc>
              <w:tc>
                <w:tcPr>
                  <w:tcW w:w="1217" w:type="dxa"/>
                  <w:tcBorders>
                    <w:tl2br w:val="nil"/>
                    <w:tr2bl w:val="nil"/>
                  </w:tcBorders>
                  <w:noWrap w:val="0"/>
                  <w:tcMar>
                    <w:top w:w="15" w:type="dxa"/>
                    <w:left w:w="15" w:type="dxa"/>
                    <w:bottom w:w="15" w:type="dxa"/>
                    <w:right w:w="15" w:type="dxa"/>
                  </w:tcMar>
                  <w:vAlign w:val="center"/>
                </w:tcPr>
                <w:p w14:paraId="662A2D25">
                  <w:pPr>
                    <w:pStyle w:val="35"/>
                    <w:keepNext w:val="0"/>
                    <w:keepLines w:val="0"/>
                    <w:pageBreakBefore w:val="0"/>
                    <w:widowControl w:val="0"/>
                    <w:kinsoku/>
                    <w:wordWrap/>
                    <w:overflowPunct/>
                    <w:topLinePunct w:val="0"/>
                    <w:autoSpaceDE/>
                    <w:autoSpaceDN/>
                    <w:bidi w:val="0"/>
                    <w:adjustRightInd/>
                    <w:snapToGrid/>
                    <w:spacing w:before="0" w:after="0"/>
                    <w:ind w:firstLine="0" w:firstLineChars="0"/>
                    <w:textAlignment w:val="auto"/>
                    <w:rPr>
                      <w:rFonts w:hint="eastAsia"/>
                      <w:color w:val="auto"/>
                      <w:sz w:val="21"/>
                      <w:szCs w:val="21"/>
                      <w:highlight w:val="none"/>
                      <w:lang w:val="en-US" w:eastAsia="zh-CN"/>
                    </w:rPr>
                  </w:pPr>
                  <w:r>
                    <w:rPr>
                      <w:rFonts w:hint="eastAsia"/>
                      <w:color w:val="auto"/>
                      <w:sz w:val="21"/>
                      <w:szCs w:val="21"/>
                      <w:highlight w:val="none"/>
                      <w:lang w:val="en-US" w:eastAsia="zh-CN"/>
                    </w:rPr>
                    <w:t>颗粒物</w:t>
                  </w:r>
                </w:p>
              </w:tc>
              <w:tc>
                <w:tcPr>
                  <w:tcW w:w="1188" w:type="dxa"/>
                  <w:tcBorders>
                    <w:tl2br w:val="nil"/>
                    <w:tr2bl w:val="nil"/>
                  </w:tcBorders>
                  <w:noWrap w:val="0"/>
                  <w:tcMar>
                    <w:top w:w="15" w:type="dxa"/>
                    <w:left w:w="15" w:type="dxa"/>
                    <w:bottom w:w="15" w:type="dxa"/>
                    <w:right w:w="15" w:type="dxa"/>
                  </w:tcMar>
                  <w:vAlign w:val="center"/>
                </w:tcPr>
                <w:p w14:paraId="7E69A629">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r>
                    <w:rPr>
                      <w:rFonts w:hint="eastAsia"/>
                      <w:color w:val="auto"/>
                      <w:sz w:val="21"/>
                      <w:szCs w:val="21"/>
                      <w:highlight w:val="none"/>
                      <w:lang w:val="en-US" w:eastAsia="zh-CN"/>
                    </w:rPr>
                    <w:t>1次/年</w:t>
                  </w:r>
                </w:p>
              </w:tc>
              <w:tc>
                <w:tcPr>
                  <w:tcW w:w="4396" w:type="dxa"/>
                  <w:tcBorders>
                    <w:tl2br w:val="nil"/>
                    <w:tr2bl w:val="nil"/>
                  </w:tcBorders>
                  <w:noWrap w:val="0"/>
                  <w:tcMar>
                    <w:top w:w="15" w:type="dxa"/>
                    <w:left w:w="15" w:type="dxa"/>
                    <w:bottom w:w="15" w:type="dxa"/>
                    <w:right w:w="15" w:type="dxa"/>
                  </w:tcMar>
                  <w:vAlign w:val="center"/>
                </w:tcPr>
                <w:p w14:paraId="6ADABD05">
                  <w:pPr>
                    <w:pStyle w:val="35"/>
                    <w:keepNext w:val="0"/>
                    <w:keepLines w:val="0"/>
                    <w:pageBreakBefore w:val="0"/>
                    <w:widowControl w:val="0"/>
                    <w:kinsoku/>
                    <w:wordWrap/>
                    <w:overflowPunct/>
                    <w:topLinePunct w:val="0"/>
                    <w:autoSpaceDE/>
                    <w:autoSpaceDN/>
                    <w:bidi w:val="0"/>
                    <w:adjustRightInd/>
                    <w:snapToGrid/>
                    <w:spacing w:before="0" w:after="0"/>
                    <w:textAlignment w:val="auto"/>
                    <w:rPr>
                      <w:rFonts w:hint="eastAsia"/>
                      <w:color w:val="auto"/>
                      <w:sz w:val="21"/>
                      <w:szCs w:val="21"/>
                      <w:highlight w:val="none"/>
                      <w:lang w:val="en-US" w:eastAsia="zh-CN"/>
                    </w:rPr>
                  </w:pPr>
                  <w:r>
                    <w:rPr>
                      <w:rFonts w:hint="eastAsia" w:ascii="Times New Roman" w:eastAsia="宋体"/>
                      <w:color w:val="auto"/>
                      <w:sz w:val="21"/>
                      <w:szCs w:val="21"/>
                      <w:highlight w:val="none"/>
                      <w:lang w:val="en-US" w:eastAsia="zh-CN"/>
                    </w:rPr>
                    <w:t>《大气污染物综合排放标准》（</w:t>
                  </w:r>
                  <w:r>
                    <w:rPr>
                      <w:rFonts w:hint="eastAsia"/>
                      <w:color w:val="auto"/>
                      <w:sz w:val="21"/>
                      <w:szCs w:val="21"/>
                      <w:highlight w:val="none"/>
                      <w:lang w:val="en-US" w:eastAsia="zh-CN"/>
                    </w:rPr>
                    <w:t>GB16297</w:t>
                  </w:r>
                  <w:r>
                    <w:rPr>
                      <w:rFonts w:hint="eastAsia" w:ascii="Times New Roman" w:eastAsia="宋体"/>
                      <w:color w:val="auto"/>
                      <w:sz w:val="21"/>
                      <w:szCs w:val="21"/>
                      <w:highlight w:val="none"/>
                      <w:lang w:val="en-US" w:eastAsia="zh-CN"/>
                    </w:rPr>
                    <w:t>-</w:t>
                  </w:r>
                  <w:r>
                    <w:rPr>
                      <w:rFonts w:hint="eastAsia"/>
                      <w:color w:val="auto"/>
                      <w:sz w:val="21"/>
                      <w:szCs w:val="21"/>
                      <w:highlight w:val="none"/>
                      <w:lang w:val="en-US" w:eastAsia="zh-CN"/>
                    </w:rPr>
                    <w:t>1996</w:t>
                  </w:r>
                  <w:r>
                    <w:rPr>
                      <w:rFonts w:hint="eastAsia" w:ascii="Times New Roman" w:eastAsia="宋体"/>
                      <w:color w:val="auto"/>
                      <w:sz w:val="21"/>
                      <w:szCs w:val="21"/>
                      <w:highlight w:val="none"/>
                      <w:lang w:val="en-US" w:eastAsia="zh-CN"/>
                    </w:rPr>
                    <w:t>）表</w:t>
                  </w:r>
                  <w:r>
                    <w:rPr>
                      <w:rFonts w:hint="eastAsia"/>
                      <w:color w:val="auto"/>
                      <w:sz w:val="21"/>
                      <w:szCs w:val="21"/>
                      <w:highlight w:val="none"/>
                      <w:lang w:val="en-US" w:eastAsia="zh-CN"/>
                    </w:rPr>
                    <w:t>2中</w:t>
                  </w:r>
                  <w:r>
                    <w:rPr>
                      <w:rFonts w:hint="eastAsia" w:ascii="Times New Roman" w:eastAsia="宋体"/>
                      <w:color w:val="auto"/>
                      <w:sz w:val="21"/>
                      <w:szCs w:val="21"/>
                      <w:highlight w:val="none"/>
                      <w:lang w:val="en-US" w:eastAsia="zh-CN"/>
                    </w:rPr>
                    <w:t>颗粒物</w:t>
                  </w:r>
                  <w:r>
                    <w:rPr>
                      <w:rFonts w:hint="eastAsia"/>
                      <w:color w:val="auto"/>
                      <w:sz w:val="21"/>
                      <w:szCs w:val="21"/>
                      <w:highlight w:val="none"/>
                      <w:lang w:val="en-US" w:eastAsia="zh-CN"/>
                    </w:rPr>
                    <w:t>无组织排放浓度</w:t>
                  </w:r>
                  <w:r>
                    <w:rPr>
                      <w:rFonts w:hint="eastAsia" w:ascii="Times New Roman" w:eastAsia="宋体"/>
                      <w:color w:val="auto"/>
                      <w:sz w:val="21"/>
                      <w:szCs w:val="21"/>
                      <w:highlight w:val="none"/>
                      <w:lang w:val="en-US" w:eastAsia="zh-CN"/>
                    </w:rPr>
                    <w:t>限值</w:t>
                  </w:r>
                  <w:r>
                    <w:rPr>
                      <w:rFonts w:hint="eastAsia"/>
                      <w:color w:val="auto"/>
                      <w:sz w:val="21"/>
                      <w:szCs w:val="21"/>
                      <w:highlight w:val="none"/>
                      <w:lang w:val="en-US" w:eastAsia="zh-CN"/>
                    </w:rPr>
                    <w:t>1</w:t>
                  </w:r>
                  <w:r>
                    <w:rPr>
                      <w:rFonts w:hint="eastAsia" w:ascii="Times New Roman" w:eastAsia="宋体"/>
                      <w:color w:val="auto"/>
                      <w:sz w:val="21"/>
                      <w:szCs w:val="21"/>
                      <w:highlight w:val="none"/>
                      <w:lang w:val="en-US" w:eastAsia="zh-CN"/>
                    </w:rPr>
                    <w:t>.0mg/m</w:t>
                  </w:r>
                  <w:r>
                    <w:rPr>
                      <w:rFonts w:hint="eastAsia" w:ascii="Times New Roman" w:eastAsia="宋体"/>
                      <w:color w:val="auto"/>
                      <w:sz w:val="21"/>
                      <w:szCs w:val="21"/>
                      <w:highlight w:val="none"/>
                      <w:vertAlign w:val="superscript"/>
                      <w:lang w:val="en-US" w:eastAsia="zh-CN"/>
                    </w:rPr>
                    <w:t>3</w:t>
                  </w:r>
                </w:p>
              </w:tc>
            </w:tr>
          </w:tbl>
          <w:p w14:paraId="0F7BB8E8">
            <w:pPr>
              <w:bidi w:val="0"/>
              <w:ind w:left="0" w:leftChars="0" w:firstLine="0" w:firstLineChars="0"/>
              <w:rPr>
                <w:rFonts w:hint="default"/>
                <w:b/>
                <w:bCs/>
                <w:color w:val="auto"/>
                <w:highlight w:val="none"/>
                <w:lang w:val="en-US" w:eastAsia="zh-CN"/>
              </w:rPr>
            </w:pPr>
            <w:r>
              <w:rPr>
                <w:rFonts w:hint="eastAsia"/>
                <w:b/>
                <w:bCs/>
                <w:color w:val="auto"/>
                <w:highlight w:val="none"/>
                <w:lang w:val="en-US" w:eastAsia="zh-CN"/>
              </w:rPr>
              <w:t>2.废水</w:t>
            </w:r>
          </w:p>
          <w:p w14:paraId="7E874A06">
            <w:pPr>
              <w:bidi w:val="0"/>
              <w:ind w:left="0" w:leftChars="0" w:firstLine="0" w:firstLineChars="0"/>
              <w:rPr>
                <w:rFonts w:hint="default"/>
                <w:b/>
                <w:bCs/>
                <w:color w:val="auto"/>
                <w:highlight w:val="none"/>
                <w:lang w:val="en-US" w:eastAsia="zh-CN"/>
              </w:rPr>
            </w:pPr>
            <w:r>
              <w:rPr>
                <w:rFonts w:hint="eastAsia"/>
                <w:b/>
                <w:bCs/>
                <w:color w:val="auto"/>
                <w:highlight w:val="none"/>
                <w:lang w:val="en-US" w:eastAsia="zh-CN"/>
              </w:rPr>
              <w:t>2.1废水污染源及治理设施</w:t>
            </w:r>
          </w:p>
          <w:p w14:paraId="65DAB49C">
            <w:pPr>
              <w:bidi w:val="0"/>
              <w:rPr>
                <w:rFonts w:hint="eastAsia"/>
                <w:color w:val="auto"/>
                <w:highlight w:val="none"/>
                <w:lang w:val="en-US" w:eastAsia="zh-CN"/>
              </w:rPr>
            </w:pPr>
            <w:r>
              <w:rPr>
                <w:rFonts w:hint="eastAsia"/>
                <w:color w:val="auto"/>
                <w:highlight w:val="none"/>
                <w:lang w:val="en-US" w:eastAsia="zh-CN"/>
              </w:rPr>
              <w:t>本项目废水主要为洗车废水和职工生活污水。降雨期间</w:t>
            </w:r>
            <w:r>
              <w:rPr>
                <w:rFonts w:hint="eastAsia"/>
                <w:color w:val="auto"/>
                <w:sz w:val="24"/>
                <w:szCs w:val="24"/>
                <w:highlight w:val="none"/>
                <w:lang w:val="en-US" w:eastAsia="zh-CN"/>
              </w:rPr>
              <w:t>堆填场地产生淋溶水</w:t>
            </w:r>
          </w:p>
          <w:p w14:paraId="2223EED3">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（1）洗车废水</w:t>
            </w:r>
          </w:p>
          <w:p w14:paraId="186BFF1C">
            <w:pPr>
              <w:bidi w:val="0"/>
              <w:rPr>
                <w:rFonts w:hint="eastAsia"/>
                <w:color w:val="auto"/>
                <w:highlight w:val="none"/>
                <w:lang w:val="en-US" w:eastAsia="zh-CN"/>
              </w:rPr>
            </w:pPr>
            <w:r>
              <w:rPr>
                <w:rFonts w:hint="eastAsia"/>
                <w:color w:val="auto"/>
                <w:highlight w:val="none"/>
                <w:lang w:val="en-US" w:eastAsia="zh-CN"/>
              </w:rPr>
              <w:t>项目在场区出入口设置一座洗车平台，洗车过程废水产生量为8.55m</w:t>
            </w:r>
            <w:r>
              <w:rPr>
                <w:rFonts w:hint="eastAsia"/>
                <w:color w:val="auto"/>
                <w:highlight w:val="none"/>
                <w:vertAlign w:val="superscript"/>
                <w:lang w:val="en-US" w:eastAsia="zh-CN"/>
              </w:rPr>
              <w:t>3</w:t>
            </w:r>
            <w:r>
              <w:rPr>
                <w:rFonts w:hint="eastAsia"/>
                <w:color w:val="auto"/>
                <w:highlight w:val="none"/>
                <w:lang w:val="en-US" w:eastAsia="zh-CN"/>
              </w:rPr>
              <w:t>/d（3078m</w:t>
            </w:r>
            <w:r>
              <w:rPr>
                <w:rFonts w:hint="eastAsia"/>
                <w:color w:val="auto"/>
                <w:highlight w:val="none"/>
                <w:vertAlign w:val="superscript"/>
                <w:lang w:val="en-US" w:eastAsia="zh-CN"/>
              </w:rPr>
              <w:t>3</w:t>
            </w:r>
            <w:r>
              <w:rPr>
                <w:rFonts w:hint="eastAsia"/>
                <w:color w:val="auto"/>
                <w:highlight w:val="none"/>
                <w:lang w:val="en-US" w:eastAsia="zh-CN"/>
              </w:rPr>
              <w:t>/a），主要污染物为SS、COD，洗车废水经洗车平台配套沉淀池沉淀处理后排入清水池循环使用，无废水外排。</w:t>
            </w:r>
          </w:p>
          <w:p w14:paraId="34D8593C">
            <w:pPr>
              <w:numPr>
                <w:ilvl w:val="0"/>
                <w:numId w:val="0"/>
              </w:numPr>
              <w:bidi w:val="0"/>
              <w:ind w:leftChars="200"/>
              <w:rPr>
                <w:rFonts w:hint="eastAsia"/>
                <w:color w:val="auto"/>
                <w:highlight w:val="none"/>
                <w:lang w:val="en-US" w:eastAsia="zh-CN"/>
              </w:rPr>
            </w:pPr>
            <w:r>
              <w:rPr>
                <w:rFonts w:hint="eastAsia"/>
                <w:color w:val="auto"/>
                <w:highlight w:val="none"/>
                <w:lang w:val="en-US" w:eastAsia="zh-CN"/>
              </w:rPr>
              <w:t>（2）生活污水</w:t>
            </w:r>
          </w:p>
          <w:p w14:paraId="4F6DDF6A">
            <w:pPr>
              <w:bidi w:val="0"/>
              <w:rPr>
                <w:rFonts w:hint="eastAsia"/>
                <w:color w:val="auto"/>
                <w:highlight w:val="none"/>
                <w:lang w:val="en-US" w:eastAsia="zh-CN"/>
              </w:rPr>
            </w:pPr>
            <w:r>
              <w:rPr>
                <w:rFonts w:hint="eastAsia"/>
                <w:color w:val="auto"/>
                <w:highlight w:val="none"/>
                <w:lang w:val="en-US" w:eastAsia="zh-CN"/>
              </w:rPr>
              <w:t>本项目生活污水主要为盥洗废水，产生量为0.04</w:t>
            </w:r>
            <w:r>
              <w:rPr>
                <w:rFonts w:hint="default"/>
                <w:color w:val="auto"/>
                <w:highlight w:val="none"/>
              </w:rPr>
              <w:t>m</w:t>
            </w:r>
            <w:r>
              <w:rPr>
                <w:rFonts w:hint="default"/>
                <w:color w:val="auto"/>
                <w:highlight w:val="none"/>
                <w:vertAlign w:val="superscript"/>
              </w:rPr>
              <w:t>3</w:t>
            </w:r>
            <w:r>
              <w:rPr>
                <w:rFonts w:hint="default"/>
                <w:color w:val="auto"/>
                <w:highlight w:val="none"/>
              </w:rPr>
              <w:t>/d（</w:t>
            </w:r>
            <w:r>
              <w:rPr>
                <w:rFonts w:hint="eastAsia"/>
                <w:color w:val="auto"/>
                <w:highlight w:val="none"/>
                <w:lang w:val="en-US" w:eastAsia="zh-CN"/>
              </w:rPr>
              <w:t>14.4</w:t>
            </w:r>
            <w:r>
              <w:rPr>
                <w:rFonts w:hint="default"/>
                <w:color w:val="auto"/>
                <w:highlight w:val="none"/>
              </w:rPr>
              <w:t>m</w:t>
            </w:r>
            <w:r>
              <w:rPr>
                <w:rFonts w:hint="default"/>
                <w:color w:val="auto"/>
                <w:highlight w:val="none"/>
                <w:vertAlign w:val="superscript"/>
              </w:rPr>
              <w:t>3</w:t>
            </w:r>
            <w:r>
              <w:rPr>
                <w:rFonts w:hint="default"/>
                <w:color w:val="auto"/>
                <w:highlight w:val="none"/>
              </w:rPr>
              <w:t>/a）</w:t>
            </w:r>
            <w:r>
              <w:rPr>
                <w:rFonts w:hint="eastAsia"/>
                <w:color w:val="auto"/>
                <w:highlight w:val="none"/>
                <w:lang w:val="en-US" w:eastAsia="zh-CN"/>
              </w:rPr>
              <w:t>，水质简单（主要污染物为</w:t>
            </w:r>
            <w:r>
              <w:rPr>
                <w:rFonts w:hint="eastAsia" w:ascii="Times New Roman" w:hAnsi="Times New Roman" w:eastAsia="宋体" w:cs="Times New Roman"/>
                <w:color w:val="auto"/>
                <w:sz w:val="24"/>
                <w:szCs w:val="24"/>
                <w:highlight w:val="none"/>
                <w:lang w:val="en-US" w:eastAsia="zh-CN"/>
              </w:rPr>
              <w:t>pH、COD、BOD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、SS、氨氮、总氮</w:t>
            </w:r>
            <w:r>
              <w:rPr>
                <w:rFonts w:hint="eastAsia" w:cs="Times New Roman"/>
                <w:color w:val="auto"/>
                <w:sz w:val="24"/>
                <w:szCs w:val="24"/>
                <w:highlight w:val="none"/>
                <w:lang w:val="en-US" w:eastAsia="zh-CN"/>
              </w:rPr>
              <w:t>、总磷</w:t>
            </w:r>
            <w:r>
              <w:rPr>
                <w:rFonts w:hint="eastAsia"/>
                <w:color w:val="auto"/>
                <w:highlight w:val="none"/>
                <w:lang w:val="en-US" w:eastAsia="zh-CN"/>
              </w:rPr>
              <w:t>等），产生量小，泼洒地面抑尘，无废水外排。</w:t>
            </w:r>
          </w:p>
          <w:p w14:paraId="5E05A3D1">
            <w:pPr>
              <w:bidi w:val="0"/>
              <w:rPr>
                <w:rFonts w:hint="eastAsia"/>
                <w:color w:val="auto"/>
                <w:highlight w:val="none"/>
                <w:lang w:val="en-US" w:eastAsia="zh-CN"/>
              </w:rPr>
            </w:pPr>
            <w:r>
              <w:rPr>
                <w:rFonts w:hint="eastAsia"/>
                <w:color w:val="auto"/>
                <w:highlight w:val="none"/>
                <w:lang w:val="en-US" w:eastAsia="zh-CN"/>
              </w:rPr>
              <w:t>本</w:t>
            </w:r>
            <w:r>
              <w:rPr>
                <w:rFonts w:hint="default"/>
                <w:color w:val="auto"/>
                <w:highlight w:val="none"/>
                <w:lang w:val="en-US" w:eastAsia="zh-CN"/>
              </w:rPr>
              <w:t>项目主要进行建筑垃圾堆填，本身不会产生渗滤液。</w:t>
            </w:r>
            <w:r>
              <w:rPr>
                <w:rFonts w:hint="eastAsia"/>
                <w:color w:val="auto"/>
                <w:highlight w:val="none"/>
                <w:lang w:val="en-US" w:eastAsia="zh-CN"/>
              </w:rPr>
              <w:t>本项目堆填（砌）区淋溶水主要由大气降水下渗造成，建筑垃圾堆填（砌）场在小雨或短时中雨时一般不会产生淋溶水，只有在降雨量较大并有一定持续时间时，才会产生淋溶水。项目针对雨水在场地周边设置截洪沟，场外雨水经截洪沟收集后经沉砂池消除水流能量和沉淀后排入周边沟渠。根据工程分析，项目淋溶水产生量为281.8m</w:t>
            </w:r>
            <w:r>
              <w:rPr>
                <w:rFonts w:hint="eastAsia"/>
                <w:color w:val="auto"/>
                <w:highlight w:val="none"/>
                <w:vertAlign w:val="superscript"/>
                <w:lang w:val="en-US" w:eastAsia="zh-CN"/>
              </w:rPr>
              <w:t>3</w:t>
            </w:r>
            <w:r>
              <w:rPr>
                <w:rFonts w:hint="eastAsia"/>
                <w:color w:val="auto"/>
                <w:highlight w:val="none"/>
                <w:vertAlign w:val="baseline"/>
                <w:lang w:val="en-US" w:eastAsia="zh-CN"/>
              </w:rPr>
              <w:t>/</w:t>
            </w:r>
            <w:r>
              <w:rPr>
                <w:rFonts w:hint="eastAsia"/>
                <w:color w:val="auto"/>
                <w:highlight w:val="none"/>
                <w:lang w:val="en-US" w:eastAsia="zh-CN"/>
              </w:rPr>
              <w:t>d，因此，项目</w:t>
            </w:r>
            <w:r>
              <w:rPr>
                <w:rFonts w:hint="default"/>
                <w:color w:val="auto"/>
                <w:highlight w:val="none"/>
                <w:lang w:val="en-US" w:eastAsia="zh-CN"/>
              </w:rPr>
              <w:t>设计</w:t>
            </w:r>
            <w:r>
              <w:rPr>
                <w:rFonts w:hint="eastAsia"/>
                <w:color w:val="auto"/>
                <w:highlight w:val="none"/>
                <w:lang w:val="en-US" w:eastAsia="zh-CN"/>
              </w:rPr>
              <w:t>一座容积为</w:t>
            </w:r>
            <w:r>
              <w:rPr>
                <w:rFonts w:hint="default"/>
                <w:color w:val="auto"/>
                <w:highlight w:val="none"/>
                <w:lang w:val="en-US" w:eastAsia="zh-CN"/>
              </w:rPr>
              <w:t>300m</w:t>
            </w:r>
            <w:r>
              <w:rPr>
                <w:rFonts w:hint="default"/>
                <w:color w:val="auto"/>
                <w:highlight w:val="none"/>
                <w:vertAlign w:val="superscript"/>
                <w:lang w:val="en-US" w:eastAsia="zh-CN"/>
              </w:rPr>
              <w:t>3</w:t>
            </w:r>
            <w:r>
              <w:rPr>
                <w:rFonts w:hint="eastAsia"/>
                <w:color w:val="auto"/>
                <w:highlight w:val="none"/>
                <w:lang w:val="en-US" w:eastAsia="zh-CN"/>
              </w:rPr>
              <w:t>沉淀</w:t>
            </w:r>
            <w:r>
              <w:rPr>
                <w:rFonts w:hint="default"/>
                <w:color w:val="auto"/>
                <w:highlight w:val="none"/>
                <w:lang w:val="en-US" w:eastAsia="zh-CN"/>
              </w:rPr>
              <w:t>池</w:t>
            </w:r>
            <w:r>
              <w:rPr>
                <w:rFonts w:hint="eastAsia"/>
                <w:color w:val="auto"/>
                <w:highlight w:val="none"/>
                <w:lang w:val="en-US" w:eastAsia="zh-CN"/>
              </w:rPr>
              <w:t>收集堆填（砌）</w:t>
            </w:r>
            <w:r>
              <w:rPr>
                <w:rFonts w:hint="default"/>
                <w:color w:val="auto"/>
                <w:highlight w:val="none"/>
                <w:lang w:val="en-US" w:eastAsia="zh-CN"/>
              </w:rPr>
              <w:t>区淋溶水</w:t>
            </w:r>
            <w:r>
              <w:rPr>
                <w:rFonts w:hint="eastAsia"/>
                <w:color w:val="auto"/>
                <w:highlight w:val="none"/>
                <w:lang w:val="en-US" w:eastAsia="zh-CN"/>
              </w:rPr>
              <w:t>，经</w:t>
            </w:r>
            <w:r>
              <w:rPr>
                <w:rFonts w:hint="default"/>
                <w:color w:val="auto"/>
                <w:highlight w:val="none"/>
                <w:lang w:val="en-US" w:eastAsia="zh-CN"/>
              </w:rPr>
              <w:t>收集后</w:t>
            </w:r>
            <w:r>
              <w:rPr>
                <w:rFonts w:hint="eastAsia"/>
                <w:color w:val="auto"/>
                <w:highlight w:val="none"/>
                <w:lang w:val="en-US" w:eastAsia="zh-CN"/>
              </w:rPr>
              <w:t>淋溶水</w:t>
            </w:r>
            <w:r>
              <w:rPr>
                <w:rFonts w:hint="default"/>
                <w:color w:val="auto"/>
                <w:highlight w:val="none"/>
                <w:lang w:val="en-US" w:eastAsia="zh-CN"/>
              </w:rPr>
              <w:t>分批次回用于</w:t>
            </w:r>
            <w:r>
              <w:rPr>
                <w:rFonts w:hint="eastAsia"/>
                <w:color w:val="auto"/>
                <w:highlight w:val="none"/>
                <w:lang w:val="en-US" w:eastAsia="zh-CN"/>
              </w:rPr>
              <w:t>堆填（砌）</w:t>
            </w:r>
            <w:r>
              <w:rPr>
                <w:rFonts w:hint="default"/>
                <w:color w:val="auto"/>
                <w:highlight w:val="none"/>
                <w:lang w:val="en-US" w:eastAsia="zh-CN"/>
              </w:rPr>
              <w:t>区喷淋</w:t>
            </w:r>
            <w:r>
              <w:rPr>
                <w:rFonts w:hint="eastAsia"/>
                <w:color w:val="auto"/>
                <w:highlight w:val="none"/>
                <w:lang w:val="en-US" w:eastAsia="zh-CN"/>
              </w:rPr>
              <w:t>洒水</w:t>
            </w:r>
            <w:r>
              <w:rPr>
                <w:rFonts w:hint="default"/>
                <w:color w:val="auto"/>
                <w:highlight w:val="none"/>
                <w:lang w:val="en-US" w:eastAsia="zh-CN"/>
              </w:rPr>
              <w:t>的补充水，不外排</w:t>
            </w:r>
            <w:r>
              <w:rPr>
                <w:rFonts w:hint="eastAsia"/>
                <w:color w:val="auto"/>
                <w:highlight w:val="none"/>
                <w:lang w:val="en-US" w:eastAsia="zh-CN"/>
              </w:rPr>
              <w:t>。</w:t>
            </w:r>
          </w:p>
          <w:p w14:paraId="290BE9D4">
            <w:pPr>
              <w:bidi w:val="0"/>
              <w:rPr>
                <w:rFonts w:hint="eastAsia"/>
                <w:color w:val="auto"/>
                <w:highlight w:val="none"/>
                <w:lang w:val="en-US" w:eastAsia="zh-CN"/>
              </w:rPr>
            </w:pPr>
            <w:r>
              <w:rPr>
                <w:rFonts w:hint="eastAsia"/>
                <w:color w:val="auto"/>
                <w:highlight w:val="none"/>
                <w:lang w:val="en-US" w:eastAsia="zh-CN"/>
              </w:rPr>
              <w:t>本项目严格控制接收的建筑垃圾种类，接收物料中不得</w:t>
            </w:r>
            <w:r>
              <w:rPr>
                <w:rFonts w:hint="eastAsia"/>
                <w:color w:val="auto"/>
                <w:highlight w:val="none"/>
                <w:lang w:val="zh-CN" w:eastAsia="zh-CN"/>
              </w:rPr>
              <w:t>含有废沥青、金属、橡（胶）塑（料），</w:t>
            </w:r>
            <w:r>
              <w:rPr>
                <w:rFonts w:hint="eastAsia"/>
                <w:color w:val="auto"/>
                <w:highlight w:val="none"/>
                <w:lang w:val="en-US" w:eastAsia="zh-CN"/>
              </w:rPr>
              <w:t>禁止生活垃圾、污泥、河底底泥、工业固废、危险废物、装修垃圾等入场，堆填（砌）区淋溶水主要污染物为SS，不含重金属等有害物质，经淋溶水沉淀池收集处理后回用于堆填（砌）区洒水抑尘，不外排。综上，经采取上述措施后，项目的建设对周边地表水环境影响较小。</w:t>
            </w:r>
          </w:p>
          <w:p w14:paraId="5BB8A1D7">
            <w:pPr>
              <w:bidi w:val="0"/>
              <w:ind w:left="0" w:leftChars="0" w:firstLine="0" w:firstLineChars="0"/>
              <w:rPr>
                <w:rFonts w:hint="default"/>
                <w:b/>
                <w:bCs/>
                <w:color w:val="auto"/>
                <w:highlight w:val="none"/>
                <w:lang w:val="en-US" w:eastAsia="zh-CN"/>
              </w:rPr>
            </w:pPr>
            <w:r>
              <w:rPr>
                <w:rFonts w:hint="default"/>
                <w:b/>
                <w:bCs/>
                <w:color w:val="auto"/>
                <w:highlight w:val="none"/>
                <w:lang w:val="en-US" w:eastAsia="zh-CN"/>
              </w:rPr>
              <w:t>2.</w:t>
            </w:r>
            <w:r>
              <w:rPr>
                <w:rFonts w:hint="eastAsia"/>
                <w:b/>
                <w:bCs/>
                <w:color w:val="auto"/>
                <w:highlight w:val="none"/>
                <w:lang w:val="en-US" w:eastAsia="zh-CN"/>
              </w:rPr>
              <w:t>2</w:t>
            </w:r>
            <w:r>
              <w:rPr>
                <w:rFonts w:hint="default"/>
                <w:b/>
                <w:bCs/>
                <w:color w:val="auto"/>
                <w:highlight w:val="none"/>
                <w:lang w:val="en-US" w:eastAsia="zh-CN"/>
              </w:rPr>
              <w:t>结论</w:t>
            </w:r>
          </w:p>
          <w:p w14:paraId="67395989">
            <w:pPr>
              <w:bidi w:val="0"/>
              <w:rPr>
                <w:rFonts w:hint="eastAsia" w:eastAsia="宋体"/>
                <w:color w:val="auto"/>
                <w:highlight w:val="none"/>
                <w:lang w:val="en-US" w:eastAsia="zh-CN"/>
              </w:rPr>
            </w:pPr>
            <w:r>
              <w:rPr>
                <w:rFonts w:hint="eastAsia"/>
                <w:color w:val="auto"/>
                <w:highlight w:val="none"/>
                <w:lang w:val="en-US" w:eastAsia="zh-CN"/>
              </w:rPr>
              <w:t>本项目无废水排放至外环境，不会对周边地表</w:t>
            </w:r>
            <w:r>
              <w:rPr>
                <w:rFonts w:hint="default"/>
                <w:color w:val="auto"/>
                <w:highlight w:val="none"/>
              </w:rPr>
              <w:t>水环境</w:t>
            </w:r>
            <w:r>
              <w:rPr>
                <w:rFonts w:hint="eastAsia"/>
                <w:color w:val="auto"/>
                <w:highlight w:val="none"/>
                <w:lang w:val="en-US" w:eastAsia="zh-CN"/>
              </w:rPr>
              <w:t>造成</w:t>
            </w:r>
            <w:r>
              <w:rPr>
                <w:rFonts w:hint="default"/>
                <w:color w:val="auto"/>
                <w:highlight w:val="none"/>
              </w:rPr>
              <w:t>影响</w:t>
            </w:r>
            <w:r>
              <w:rPr>
                <w:rFonts w:hint="default" w:ascii="Times New Roman" w:hAnsi="Times New Roman" w:eastAsia="宋体" w:cs="Times New Roman"/>
                <w:color w:val="auto"/>
                <w:spacing w:val="0"/>
                <w:kern w:val="24"/>
                <w:sz w:val="24"/>
                <w:szCs w:val="24"/>
                <w:highlight w:val="none"/>
                <w:lang w:eastAsia="zh-CN"/>
              </w:rPr>
              <w:t>。</w:t>
            </w:r>
          </w:p>
          <w:p w14:paraId="4D56154D">
            <w:pPr>
              <w:keepNext w:val="0"/>
              <w:keepLines w:val="0"/>
              <w:pageBreakBefore w:val="0"/>
              <w:numPr>
                <w:ilvl w:val="0"/>
                <w:numId w:val="0"/>
              </w:numPr>
              <w:kinsoku/>
              <w:wordWrap/>
              <w:overflowPunct/>
              <w:topLinePunct w:val="0"/>
              <w:bidi w:val="0"/>
              <w:adjustRightInd w:val="0"/>
              <w:snapToGrid w:val="0"/>
              <w:spacing w:line="480" w:lineRule="exact"/>
              <w:textAlignment w:val="auto"/>
              <w:rPr>
                <w:rFonts w:hint="eastAsia"/>
                <w:b/>
                <w:bCs/>
                <w:color w:val="auto"/>
                <w:highlight w:val="none"/>
                <w:lang w:val="en-US" w:eastAsia="zh-CN"/>
              </w:rPr>
            </w:pPr>
            <w:r>
              <w:rPr>
                <w:rFonts w:hint="eastAsia"/>
                <w:b/>
                <w:bCs/>
                <w:color w:val="auto"/>
                <w:highlight w:val="none"/>
                <w:lang w:val="en-US" w:eastAsia="zh-CN"/>
              </w:rPr>
              <w:t>3.噪声</w:t>
            </w:r>
          </w:p>
          <w:p w14:paraId="14347286">
            <w:pPr>
              <w:bidi w:val="0"/>
              <w:ind w:left="0" w:leftChars="0" w:firstLine="0" w:firstLineChars="0"/>
              <w:rPr>
                <w:rFonts w:hint="default" w:eastAsia="宋体"/>
                <w:b w:val="0"/>
                <w:bCs w:val="0"/>
                <w:color w:val="auto"/>
                <w:highlight w:val="none"/>
                <w:lang w:val="en-US" w:eastAsia="zh-CN"/>
              </w:rPr>
            </w:pPr>
            <w:r>
              <w:rPr>
                <w:rFonts w:hint="eastAsia"/>
                <w:b/>
                <w:bCs/>
                <w:color w:val="auto"/>
                <w:highlight w:val="none"/>
                <w:lang w:val="en-US" w:eastAsia="zh-CN"/>
              </w:rPr>
              <w:t>3.1本项目噪声污染源分析</w:t>
            </w:r>
          </w:p>
          <w:p w14:paraId="10905AF5">
            <w:pPr>
              <w:bidi w:val="0"/>
              <w:rPr>
                <w:rFonts w:hint="default"/>
                <w:b w:val="0"/>
                <w:bCs w:val="0"/>
                <w:color w:val="auto"/>
                <w:highlight w:val="none"/>
              </w:rPr>
            </w:pPr>
            <w:r>
              <w:rPr>
                <w:rFonts w:hint="default"/>
                <w:b w:val="0"/>
                <w:bCs w:val="0"/>
                <w:color w:val="auto"/>
                <w:sz w:val="24"/>
                <w:szCs w:val="24"/>
                <w:highlight w:val="none"/>
              </w:rPr>
              <w:t>本项目营运期主要噪声源为</w:t>
            </w:r>
            <w:r>
              <w:rPr>
                <w:rFonts w:hint="eastAsia" w:ascii="Times New Roman" w:hAnsi="Times New Roman" w:cs="Times New Roman"/>
                <w:bCs/>
                <w:color w:val="auto"/>
                <w:sz w:val="24"/>
                <w:szCs w:val="24"/>
                <w:highlight w:val="none"/>
                <w:lang w:val="en-US" w:eastAsia="zh-CN"/>
              </w:rPr>
              <w:t>振动压实机</w:t>
            </w:r>
            <w:r>
              <w:rPr>
                <w:rFonts w:hint="eastAsia"/>
                <w:b w:val="0"/>
                <w:bCs w:val="0"/>
                <w:color w:val="auto"/>
                <w:sz w:val="24"/>
                <w:szCs w:val="24"/>
                <w:highlight w:val="none"/>
                <w:lang w:val="en-US" w:eastAsia="zh-CN"/>
              </w:rPr>
              <w:t>、</w:t>
            </w:r>
            <w:r>
              <w:rPr>
                <w:rFonts w:hint="eastAsia" w:ascii="Times New Roman" w:hAnsi="Times New Roman" w:cs="Times New Roman"/>
                <w:bCs/>
                <w:color w:val="auto"/>
                <w:sz w:val="24"/>
                <w:szCs w:val="24"/>
                <w:highlight w:val="none"/>
                <w:lang w:val="en-US" w:eastAsia="zh-CN"/>
              </w:rPr>
              <w:t>装载机</w:t>
            </w:r>
            <w:r>
              <w:rPr>
                <w:rFonts w:hint="eastAsia"/>
                <w:b w:val="0"/>
                <w:bCs w:val="0"/>
                <w:color w:val="auto"/>
                <w:sz w:val="24"/>
                <w:szCs w:val="24"/>
                <w:highlight w:val="none"/>
                <w:lang w:val="en-US" w:eastAsia="zh-CN"/>
              </w:rPr>
              <w:t>、</w:t>
            </w:r>
            <w:r>
              <w:rPr>
                <w:rFonts w:hint="eastAsia" w:ascii="Times New Roman" w:hAnsi="Times New Roman" w:cs="Times New Roman"/>
                <w:bCs/>
                <w:color w:val="auto"/>
                <w:sz w:val="24"/>
                <w:szCs w:val="24"/>
                <w:highlight w:val="none"/>
                <w:lang w:val="en-US" w:eastAsia="zh-CN"/>
              </w:rPr>
              <w:t>推土机</w:t>
            </w:r>
            <w:r>
              <w:rPr>
                <w:rFonts w:hint="eastAsia" w:cs="Times New Roman"/>
                <w:bCs/>
                <w:color w:val="auto"/>
                <w:sz w:val="24"/>
                <w:szCs w:val="24"/>
                <w:highlight w:val="none"/>
                <w:lang w:val="en-US" w:eastAsia="zh-CN"/>
              </w:rPr>
              <w:t>、洒水车、雾炮</w:t>
            </w:r>
            <w:r>
              <w:rPr>
                <w:rFonts w:hint="eastAsia" w:ascii="Times New Roman" w:hAnsi="Times New Roman" w:cs="Times New Roman"/>
                <w:bCs/>
                <w:color w:val="auto"/>
                <w:sz w:val="24"/>
                <w:szCs w:val="24"/>
                <w:highlight w:val="none"/>
                <w:lang w:val="en-US" w:eastAsia="zh-CN"/>
              </w:rPr>
              <w:t>等机械</w:t>
            </w:r>
            <w:r>
              <w:rPr>
                <w:rFonts w:hint="eastAsia"/>
                <w:b w:val="0"/>
                <w:bCs w:val="0"/>
                <w:color w:val="auto"/>
                <w:sz w:val="24"/>
                <w:szCs w:val="24"/>
                <w:highlight w:val="none"/>
                <w:lang w:val="en-US" w:eastAsia="zh-CN"/>
              </w:rPr>
              <w:t>设备</w:t>
            </w:r>
            <w:r>
              <w:rPr>
                <w:rFonts w:hint="default"/>
                <w:b w:val="0"/>
                <w:bCs w:val="0"/>
                <w:color w:val="auto"/>
                <w:sz w:val="24"/>
                <w:szCs w:val="24"/>
                <w:highlight w:val="none"/>
              </w:rPr>
              <w:t>运行产生的噪声，设备噪声源强</w:t>
            </w:r>
            <w:r>
              <w:rPr>
                <w:rFonts w:hint="eastAsia"/>
                <w:b w:val="0"/>
                <w:bCs w:val="0"/>
                <w:color w:val="auto"/>
                <w:sz w:val="24"/>
                <w:szCs w:val="24"/>
                <w:highlight w:val="none"/>
                <w:lang w:val="en-US" w:eastAsia="zh-CN"/>
              </w:rPr>
              <w:t>为75-80</w:t>
            </w:r>
            <w:r>
              <w:rPr>
                <w:rFonts w:hint="eastAsia"/>
                <w:b w:val="0"/>
                <w:bCs w:val="0"/>
                <w:color w:val="auto"/>
                <w:sz w:val="24"/>
                <w:szCs w:val="24"/>
                <w:highlight w:val="none"/>
              </w:rPr>
              <w:t>dB</w:t>
            </w:r>
            <w:r>
              <w:rPr>
                <w:rFonts w:hint="default"/>
                <w:b w:val="0"/>
                <w:bCs w:val="0"/>
                <w:color w:val="auto"/>
                <w:sz w:val="24"/>
                <w:szCs w:val="24"/>
                <w:highlight w:val="none"/>
              </w:rPr>
              <w:t>（A）</w:t>
            </w:r>
            <w:r>
              <w:rPr>
                <w:rFonts w:hint="eastAsia"/>
                <w:color w:val="auto"/>
                <w:highlight w:val="none"/>
                <w:lang w:val="en-US" w:eastAsia="zh-CN"/>
              </w:rPr>
              <w:t>。</w:t>
            </w:r>
            <w:r>
              <w:rPr>
                <w:rFonts w:hint="default"/>
                <w:b w:val="0"/>
                <w:bCs w:val="0"/>
                <w:color w:val="auto"/>
                <w:highlight w:val="none"/>
              </w:rPr>
              <w:t>本项目主要设备噪声源强及治理措施见下表：</w:t>
            </w:r>
          </w:p>
          <w:p w14:paraId="1BC38797">
            <w:pPr>
              <w:pStyle w:val="36"/>
              <w:numPr>
                <w:ilvl w:val="0"/>
                <w:numId w:val="31"/>
              </w:numPr>
              <w:bidi w:val="0"/>
              <w:ind w:left="0" w:leftChars="0" w:firstLine="0" w:firstLineChars="0"/>
              <w:rPr>
                <w:rFonts w:hint="default" w:ascii="Times New Roman" w:hAnsi="Times New Roman" w:eastAsia="宋体" w:cs="Times New Roman"/>
                <w:b/>
                <w:bCs/>
                <w:color w:val="auto"/>
                <w:sz w:val="21"/>
                <w:szCs w:val="21"/>
                <w:highlight w:val="none"/>
                <w:shd w:val="clear" w:color="auto" w:fill="auto"/>
                <w:lang w:val="en-US" w:eastAsia="zh-CN"/>
              </w:rPr>
            </w:pPr>
            <w:r>
              <w:rPr>
                <w:rStyle w:val="37"/>
                <w:rFonts w:hint="eastAsia"/>
                <w:b/>
                <w:color w:val="auto"/>
                <w:sz w:val="21"/>
                <w:szCs w:val="21"/>
                <w:highlight w:val="none"/>
                <w:lang w:val="en-US" w:eastAsia="zh-CN"/>
              </w:rPr>
              <w:t>工业企业噪声源强调查清单（室外声源）</w:t>
            </w:r>
            <w:r>
              <w:rPr>
                <w:rFonts w:hint="eastAsia" w:ascii="Times New Roman" w:hAnsi="Times New Roman" w:eastAsia="宋体" w:cs="Times New Roman"/>
                <w:b/>
                <w:bCs/>
                <w:color w:val="auto"/>
                <w:sz w:val="21"/>
                <w:szCs w:val="21"/>
                <w:highlight w:val="none"/>
                <w:shd w:val="clear" w:color="auto" w:fill="auto"/>
                <w:lang w:val="en-US" w:eastAsia="zh-CN"/>
              </w:rPr>
              <w:t xml:space="preserve">   </w:t>
            </w:r>
          </w:p>
          <w:tbl>
            <w:tblPr>
              <w:tblStyle w:val="61"/>
              <w:tblW w:w="810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78"/>
              <w:gridCol w:w="1134"/>
              <w:gridCol w:w="790"/>
              <w:gridCol w:w="745"/>
              <w:gridCol w:w="722"/>
              <w:gridCol w:w="586"/>
              <w:gridCol w:w="1301"/>
              <w:gridCol w:w="1338"/>
              <w:gridCol w:w="813"/>
            </w:tblGrid>
            <w:tr w14:paraId="5B3ACE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2" w:hRule="atLeast"/>
                <w:jc w:val="center"/>
              </w:trPr>
              <w:tc>
                <w:tcPr>
                  <w:tcW w:w="418" w:type="pct"/>
                  <w:vMerge w:val="restart"/>
                  <w:tcBorders>
                    <w:tl2br w:val="nil"/>
                    <w:tr2bl w:val="nil"/>
                  </w:tcBorders>
                  <w:vAlign w:val="center"/>
                </w:tcPr>
                <w:p w14:paraId="7601230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序号</w:t>
                  </w:r>
                </w:p>
              </w:tc>
              <w:tc>
                <w:tcPr>
                  <w:tcW w:w="699" w:type="pct"/>
                  <w:vMerge w:val="restart"/>
                  <w:tcBorders>
                    <w:tl2br w:val="nil"/>
                    <w:tr2bl w:val="nil"/>
                  </w:tcBorders>
                  <w:vAlign w:val="center"/>
                </w:tcPr>
                <w:p w14:paraId="20265354">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声源名称</w:t>
                  </w:r>
                </w:p>
              </w:tc>
              <w:tc>
                <w:tcPr>
                  <w:tcW w:w="487" w:type="pct"/>
                  <w:vMerge w:val="restart"/>
                  <w:tcBorders>
                    <w:tl2br w:val="nil"/>
                    <w:tr2bl w:val="nil"/>
                  </w:tcBorders>
                  <w:vAlign w:val="center"/>
                </w:tcPr>
                <w:p w14:paraId="5DA166A3">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型号</w:t>
                  </w:r>
                </w:p>
              </w:tc>
              <w:tc>
                <w:tcPr>
                  <w:tcW w:w="1266" w:type="pct"/>
                  <w:gridSpan w:val="3"/>
                  <w:tcBorders>
                    <w:tl2br w:val="nil"/>
                    <w:tr2bl w:val="nil"/>
                  </w:tcBorders>
                  <w:vAlign w:val="center"/>
                </w:tcPr>
                <w:p w14:paraId="01F6E384">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空间相对位置/m</w:t>
                  </w:r>
                </w:p>
              </w:tc>
              <w:tc>
                <w:tcPr>
                  <w:tcW w:w="802" w:type="pct"/>
                  <w:vMerge w:val="restart"/>
                  <w:tcBorders>
                    <w:tl2br w:val="nil"/>
                    <w:tr2bl w:val="nil"/>
                  </w:tcBorders>
                  <w:vAlign w:val="center"/>
                </w:tcPr>
                <w:p w14:paraId="41E8C524">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lang w:val="en-US" w:eastAsia="zh-CN"/>
                    </w:rPr>
                    <w:t>声压级/距声源位置（</w:t>
                  </w:r>
                  <w:r>
                    <w:rPr>
                      <w:rFonts w:hint="default" w:ascii="Times New Roman" w:hAnsi="Times New Roman" w:cs="Times New Roman" w:eastAsiaTheme="minorEastAsia"/>
                      <w:b w:val="0"/>
                      <w:bCs w:val="0"/>
                      <w:color w:val="auto"/>
                      <w:sz w:val="21"/>
                      <w:szCs w:val="21"/>
                      <w:highlight w:val="none"/>
                    </w:rPr>
                    <w:t>dB(A)</w:t>
                  </w:r>
                  <w:r>
                    <w:rPr>
                      <w:rFonts w:hint="default" w:ascii="Times New Roman" w:hAnsi="Times New Roman" w:cs="Times New Roman" w:eastAsiaTheme="minorEastAsia"/>
                      <w:b w:val="0"/>
                      <w:bCs w:val="0"/>
                      <w:color w:val="auto"/>
                      <w:sz w:val="21"/>
                      <w:szCs w:val="21"/>
                      <w:highlight w:val="none"/>
                      <w:lang w:val="en-US" w:eastAsia="zh-CN"/>
                    </w:rPr>
                    <w:t>/</w:t>
                  </w:r>
                  <w:r>
                    <w:rPr>
                      <w:rFonts w:hint="eastAsia" w:cs="Times New Roman" w:eastAsiaTheme="minorEastAsia"/>
                      <w:b w:val="0"/>
                      <w:bCs w:val="0"/>
                      <w:color w:val="auto"/>
                      <w:sz w:val="21"/>
                      <w:szCs w:val="21"/>
                      <w:highlight w:val="none"/>
                      <w:lang w:val="en-US" w:eastAsia="zh-CN"/>
                    </w:rPr>
                    <w:t>1</w:t>
                  </w:r>
                  <w:r>
                    <w:rPr>
                      <w:rFonts w:hint="default" w:ascii="Times New Roman" w:hAnsi="Times New Roman" w:cs="Times New Roman" w:eastAsiaTheme="minorEastAsia"/>
                      <w:b w:val="0"/>
                      <w:bCs w:val="0"/>
                      <w:color w:val="auto"/>
                      <w:sz w:val="21"/>
                      <w:szCs w:val="21"/>
                      <w:highlight w:val="none"/>
                      <w:lang w:val="en-US" w:eastAsia="zh-CN"/>
                    </w:rPr>
                    <w:t>m</w:t>
                  </w:r>
                  <w:r>
                    <w:rPr>
                      <w:rFonts w:hint="default" w:ascii="Times New Roman" w:hAnsi="Times New Roman" w:cs="Times New Roman" w:eastAsiaTheme="minorEastAsia"/>
                      <w:b w:val="0"/>
                      <w:bCs w:val="0"/>
                      <w:i w:val="0"/>
                      <w:iCs w:val="0"/>
                      <w:color w:val="auto"/>
                      <w:sz w:val="21"/>
                      <w:szCs w:val="21"/>
                      <w:highlight w:val="none"/>
                      <w:lang w:val="en-US" w:eastAsia="zh-CN"/>
                    </w:rPr>
                    <w:t>）</w:t>
                  </w:r>
                </w:p>
              </w:tc>
              <w:tc>
                <w:tcPr>
                  <w:tcW w:w="825" w:type="pct"/>
                  <w:vMerge w:val="restart"/>
                  <w:tcBorders>
                    <w:tl2br w:val="nil"/>
                    <w:tr2bl w:val="nil"/>
                  </w:tcBorders>
                  <w:vAlign w:val="center"/>
                </w:tcPr>
                <w:p w14:paraId="51C63CD1">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声源控制措施</w:t>
                  </w:r>
                </w:p>
              </w:tc>
              <w:tc>
                <w:tcPr>
                  <w:tcW w:w="501" w:type="pct"/>
                  <w:vMerge w:val="restart"/>
                  <w:tcBorders>
                    <w:tl2br w:val="nil"/>
                    <w:tr2bl w:val="nil"/>
                  </w:tcBorders>
                  <w:vAlign w:val="center"/>
                </w:tcPr>
                <w:p w14:paraId="59C54A15">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运行时段</w:t>
                  </w:r>
                </w:p>
              </w:tc>
            </w:tr>
            <w:tr w14:paraId="35C53E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418" w:type="pct"/>
                  <w:vMerge w:val="continue"/>
                  <w:tcBorders>
                    <w:tl2br w:val="nil"/>
                    <w:tr2bl w:val="nil"/>
                  </w:tcBorders>
                  <w:vAlign w:val="center"/>
                </w:tcPr>
                <w:p w14:paraId="2EE445FA">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p>
              </w:tc>
              <w:tc>
                <w:tcPr>
                  <w:tcW w:w="699" w:type="pct"/>
                  <w:vMerge w:val="continue"/>
                  <w:tcBorders>
                    <w:tl2br w:val="nil"/>
                    <w:tr2bl w:val="nil"/>
                  </w:tcBorders>
                  <w:vAlign w:val="center"/>
                </w:tcPr>
                <w:p w14:paraId="55FA8119">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p>
              </w:tc>
              <w:tc>
                <w:tcPr>
                  <w:tcW w:w="487" w:type="pct"/>
                  <w:vMerge w:val="continue"/>
                  <w:tcBorders>
                    <w:tl2br w:val="nil"/>
                    <w:tr2bl w:val="nil"/>
                  </w:tcBorders>
                  <w:vAlign w:val="center"/>
                </w:tcPr>
                <w:p w14:paraId="7D74C6B2">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p>
              </w:tc>
              <w:tc>
                <w:tcPr>
                  <w:tcW w:w="459" w:type="pct"/>
                  <w:tcBorders>
                    <w:tl2br w:val="nil"/>
                    <w:tr2bl w:val="nil"/>
                  </w:tcBorders>
                  <w:vAlign w:val="center"/>
                </w:tcPr>
                <w:p w14:paraId="53A05FA3">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X</w:t>
                  </w:r>
                </w:p>
              </w:tc>
              <w:tc>
                <w:tcPr>
                  <w:tcW w:w="445" w:type="pct"/>
                  <w:tcBorders>
                    <w:tl2br w:val="nil"/>
                    <w:tr2bl w:val="nil"/>
                  </w:tcBorders>
                  <w:vAlign w:val="center"/>
                </w:tcPr>
                <w:p w14:paraId="53541EE5">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Y</w:t>
                  </w:r>
                </w:p>
              </w:tc>
              <w:tc>
                <w:tcPr>
                  <w:tcW w:w="361" w:type="pct"/>
                  <w:tcBorders>
                    <w:tl2br w:val="nil"/>
                    <w:tr2bl w:val="nil"/>
                  </w:tcBorders>
                  <w:vAlign w:val="center"/>
                </w:tcPr>
                <w:p w14:paraId="7989E202">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r>
                    <w:rPr>
                      <w:rFonts w:hint="default" w:ascii="Times New Roman" w:hAnsi="Times New Roman" w:cs="Times New Roman" w:eastAsiaTheme="minorEastAsia"/>
                      <w:b w:val="0"/>
                      <w:bCs w:val="0"/>
                      <w:i w:val="0"/>
                      <w:iCs w:val="0"/>
                      <w:color w:val="auto"/>
                      <w:sz w:val="21"/>
                      <w:szCs w:val="21"/>
                      <w:highlight w:val="none"/>
                    </w:rPr>
                    <w:t>Z</w:t>
                  </w:r>
                </w:p>
              </w:tc>
              <w:tc>
                <w:tcPr>
                  <w:tcW w:w="802" w:type="pct"/>
                  <w:vMerge w:val="continue"/>
                  <w:tcBorders>
                    <w:tl2br w:val="nil"/>
                    <w:tr2bl w:val="nil"/>
                  </w:tcBorders>
                  <w:vAlign w:val="center"/>
                </w:tcPr>
                <w:p w14:paraId="184B7F3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rPr>
                  </w:pPr>
                </w:p>
              </w:tc>
              <w:tc>
                <w:tcPr>
                  <w:tcW w:w="825" w:type="pct"/>
                  <w:vMerge w:val="continue"/>
                  <w:tcBorders>
                    <w:tl2br w:val="nil"/>
                    <w:tr2bl w:val="nil"/>
                  </w:tcBorders>
                  <w:vAlign w:val="center"/>
                </w:tcPr>
                <w:p w14:paraId="1EE7877B">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i w:val="0"/>
                      <w:iCs w:val="0"/>
                      <w:color w:val="auto"/>
                      <w:sz w:val="21"/>
                      <w:szCs w:val="21"/>
                      <w:highlight w:val="none"/>
                    </w:rPr>
                  </w:pPr>
                </w:p>
              </w:tc>
              <w:tc>
                <w:tcPr>
                  <w:tcW w:w="501" w:type="pct"/>
                  <w:vMerge w:val="continue"/>
                  <w:tcBorders>
                    <w:tl2br w:val="nil"/>
                    <w:tr2bl w:val="nil"/>
                  </w:tcBorders>
                  <w:vAlign w:val="center"/>
                </w:tcPr>
                <w:p w14:paraId="398A1167">
                  <w:pPr>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i w:val="0"/>
                      <w:iCs w:val="0"/>
                      <w:color w:val="auto"/>
                      <w:sz w:val="21"/>
                      <w:szCs w:val="21"/>
                      <w:highlight w:val="none"/>
                    </w:rPr>
                  </w:pPr>
                </w:p>
              </w:tc>
            </w:tr>
            <w:tr w14:paraId="635502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418" w:type="pct"/>
                  <w:tcBorders>
                    <w:tl2br w:val="nil"/>
                    <w:tr2bl w:val="nil"/>
                  </w:tcBorders>
                  <w:vAlign w:val="center"/>
                </w:tcPr>
                <w:p w14:paraId="6EC0DA77">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tcBorders>
                    <w:tl2br w:val="nil"/>
                    <w:tr2bl w:val="nil"/>
                  </w:tcBorders>
                  <w:shd w:val="clear" w:color="auto" w:fill="auto"/>
                  <w:vAlign w:val="center"/>
                </w:tcPr>
                <w:p w14:paraId="50F0F3C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振动压实机</w:t>
                  </w:r>
                </w:p>
              </w:tc>
              <w:tc>
                <w:tcPr>
                  <w:tcW w:w="487" w:type="pct"/>
                  <w:tcBorders>
                    <w:tl2br w:val="nil"/>
                    <w:tr2bl w:val="nil"/>
                  </w:tcBorders>
                  <w:vAlign w:val="center"/>
                </w:tcPr>
                <w:p w14:paraId="162BC02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w:t>
                  </w:r>
                </w:p>
              </w:tc>
              <w:tc>
                <w:tcPr>
                  <w:tcW w:w="459" w:type="pct"/>
                  <w:tcBorders>
                    <w:tl2br w:val="nil"/>
                    <w:tr2bl w:val="nil"/>
                  </w:tcBorders>
                  <w:shd w:val="clear" w:color="auto" w:fill="auto"/>
                  <w:vAlign w:val="center"/>
                </w:tcPr>
                <w:p w14:paraId="3630895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445" w:type="pct"/>
                  <w:tcBorders>
                    <w:tl2br w:val="nil"/>
                    <w:tr2bl w:val="nil"/>
                  </w:tcBorders>
                  <w:shd w:val="clear" w:color="auto" w:fill="auto"/>
                  <w:vAlign w:val="center"/>
                </w:tcPr>
                <w:p w14:paraId="1B5BCEF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361" w:type="pct"/>
                  <w:tcBorders>
                    <w:tl2br w:val="nil"/>
                    <w:tr2bl w:val="nil"/>
                  </w:tcBorders>
                  <w:vAlign w:val="center"/>
                </w:tcPr>
                <w:p w14:paraId="4024D858">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802" w:type="pct"/>
                  <w:tcBorders>
                    <w:tl2br w:val="nil"/>
                    <w:tr2bl w:val="nil"/>
                  </w:tcBorders>
                  <w:vAlign w:val="center"/>
                </w:tcPr>
                <w:p w14:paraId="632094EF">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78</w:t>
                  </w:r>
                </w:p>
              </w:tc>
              <w:tc>
                <w:tcPr>
                  <w:tcW w:w="825" w:type="pct"/>
                  <w:vMerge w:val="restart"/>
                  <w:tcBorders>
                    <w:tl2br w:val="nil"/>
                    <w:tr2bl w:val="nil"/>
                  </w:tcBorders>
                  <w:vAlign w:val="center"/>
                </w:tcPr>
                <w:p w14:paraId="14BFB812">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eastAsiaTheme="minorEastAsia"/>
                      <w:color w:val="auto"/>
                      <w:sz w:val="21"/>
                      <w:szCs w:val="21"/>
                      <w:highlight w:val="none"/>
                      <w:lang w:val="en-US" w:eastAsia="zh-CN"/>
                    </w:rPr>
                    <w:t>选用低噪声设备，在厂区内减速慢行，定期维修保养</w:t>
                  </w:r>
                </w:p>
                <w:p w14:paraId="2D11BBF2">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cs="Times New Roman" w:eastAsiaTheme="minorEastAsia"/>
                      <w:color w:val="auto"/>
                      <w:sz w:val="21"/>
                      <w:szCs w:val="21"/>
                      <w:highlight w:val="none"/>
                      <w:lang w:val="en-US" w:eastAsia="zh-CN"/>
                    </w:rPr>
                    <w:t>，</w:t>
                  </w:r>
                  <w:r>
                    <w:rPr>
                      <w:rFonts w:hint="eastAsia" w:ascii="Times New Roman" w:hAnsi="Times New Roman" w:cs="Times New Roman" w:eastAsiaTheme="minorEastAsia"/>
                      <w:color w:val="auto"/>
                      <w:sz w:val="21"/>
                      <w:szCs w:val="21"/>
                      <w:highlight w:val="none"/>
                      <w:lang w:val="en-US" w:eastAsia="zh-CN"/>
                    </w:rPr>
                    <w:t>加强场区绿化</w:t>
                  </w:r>
                </w:p>
              </w:tc>
              <w:tc>
                <w:tcPr>
                  <w:tcW w:w="501" w:type="pct"/>
                  <w:vMerge w:val="restart"/>
                  <w:tcBorders>
                    <w:tl2br w:val="nil"/>
                    <w:tr2bl w:val="nil"/>
                  </w:tcBorders>
                  <w:vAlign w:val="center"/>
                </w:tcPr>
                <w:p w14:paraId="07E6B6A4">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昼间8h</w:t>
                  </w:r>
                </w:p>
              </w:tc>
            </w:tr>
            <w:tr w14:paraId="5CDA90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418" w:type="pct"/>
                  <w:tcBorders>
                    <w:tl2br w:val="nil"/>
                    <w:tr2bl w:val="nil"/>
                  </w:tcBorders>
                  <w:vAlign w:val="center"/>
                </w:tcPr>
                <w:p w14:paraId="045A93D1">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tcBorders>
                    <w:tl2br w:val="nil"/>
                    <w:tr2bl w:val="nil"/>
                  </w:tcBorders>
                  <w:shd w:val="clear" w:color="auto" w:fill="auto"/>
                  <w:vAlign w:val="center"/>
                </w:tcPr>
                <w:p w14:paraId="3F047BB2">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装载机</w:t>
                  </w:r>
                </w:p>
              </w:tc>
              <w:tc>
                <w:tcPr>
                  <w:tcW w:w="487" w:type="pct"/>
                  <w:tcBorders>
                    <w:tl2br w:val="nil"/>
                    <w:tr2bl w:val="nil"/>
                  </w:tcBorders>
                  <w:vAlign w:val="center"/>
                </w:tcPr>
                <w:p w14:paraId="4930461B">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459" w:type="pct"/>
                  <w:tcBorders>
                    <w:tl2br w:val="nil"/>
                    <w:tr2bl w:val="nil"/>
                  </w:tcBorders>
                  <w:shd w:val="clear" w:color="auto" w:fill="auto"/>
                  <w:vAlign w:val="center"/>
                </w:tcPr>
                <w:p w14:paraId="09676358">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445" w:type="pct"/>
                  <w:tcBorders>
                    <w:tl2br w:val="nil"/>
                    <w:tr2bl w:val="nil"/>
                  </w:tcBorders>
                  <w:shd w:val="clear" w:color="auto" w:fill="auto"/>
                  <w:vAlign w:val="center"/>
                </w:tcPr>
                <w:p w14:paraId="357E0B9E">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361" w:type="pct"/>
                  <w:tcBorders>
                    <w:tl2br w:val="nil"/>
                    <w:tr2bl w:val="nil"/>
                  </w:tcBorders>
                  <w:vAlign w:val="center"/>
                </w:tcPr>
                <w:p w14:paraId="20D9D6F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802" w:type="pct"/>
                  <w:tcBorders>
                    <w:tl2br w:val="nil"/>
                    <w:tr2bl w:val="nil"/>
                  </w:tcBorders>
                  <w:vAlign w:val="center"/>
                </w:tcPr>
                <w:p w14:paraId="5AA53D13">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75</w:t>
                  </w:r>
                </w:p>
              </w:tc>
              <w:tc>
                <w:tcPr>
                  <w:tcW w:w="825" w:type="pct"/>
                  <w:vMerge w:val="continue"/>
                  <w:tcBorders>
                    <w:tl2br w:val="nil"/>
                    <w:tr2bl w:val="nil"/>
                  </w:tcBorders>
                  <w:vAlign w:val="center"/>
                </w:tcPr>
                <w:p w14:paraId="1F8A15F8">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p>
              </w:tc>
              <w:tc>
                <w:tcPr>
                  <w:tcW w:w="501" w:type="pct"/>
                  <w:vMerge w:val="continue"/>
                  <w:tcBorders>
                    <w:tl2br w:val="nil"/>
                    <w:tr2bl w:val="nil"/>
                  </w:tcBorders>
                  <w:vAlign w:val="center"/>
                </w:tcPr>
                <w:p w14:paraId="00627919">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p>
              </w:tc>
            </w:tr>
            <w:tr w14:paraId="759B72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97" w:hRule="atLeast"/>
                <w:jc w:val="center"/>
              </w:trPr>
              <w:tc>
                <w:tcPr>
                  <w:tcW w:w="418" w:type="pct"/>
                  <w:vAlign w:val="center"/>
                </w:tcPr>
                <w:p w14:paraId="4C702157">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shd w:val="clear" w:color="auto" w:fill="auto"/>
                  <w:vAlign w:val="center"/>
                </w:tcPr>
                <w:p w14:paraId="41B8C3BE">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推土机</w:t>
                  </w:r>
                </w:p>
              </w:tc>
              <w:tc>
                <w:tcPr>
                  <w:tcW w:w="487" w:type="pct"/>
                  <w:vAlign w:val="center"/>
                </w:tcPr>
                <w:p w14:paraId="454B00E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459" w:type="pct"/>
                  <w:vAlign w:val="center"/>
                </w:tcPr>
                <w:p w14:paraId="72523C7B">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445" w:type="pct"/>
                  <w:vAlign w:val="center"/>
                </w:tcPr>
                <w:p w14:paraId="0B22422E">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361" w:type="pct"/>
                  <w:vAlign w:val="center"/>
                </w:tcPr>
                <w:p w14:paraId="2037DF91">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802" w:type="pct"/>
                  <w:vAlign w:val="center"/>
                </w:tcPr>
                <w:p w14:paraId="57BE9EE7">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78</w:t>
                  </w:r>
                </w:p>
              </w:tc>
              <w:tc>
                <w:tcPr>
                  <w:tcW w:w="825" w:type="pct"/>
                  <w:vMerge w:val="continue"/>
                  <w:vAlign w:val="center"/>
                </w:tcPr>
                <w:p w14:paraId="78667216">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p>
              </w:tc>
              <w:tc>
                <w:tcPr>
                  <w:tcW w:w="501" w:type="pct"/>
                  <w:vMerge w:val="continue"/>
                  <w:vAlign w:val="center"/>
                </w:tcPr>
                <w:p w14:paraId="2C84CB98">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p>
              </w:tc>
            </w:tr>
            <w:tr w14:paraId="0C6C48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97" w:hRule="atLeast"/>
                <w:jc w:val="center"/>
              </w:trPr>
              <w:tc>
                <w:tcPr>
                  <w:tcW w:w="418" w:type="pct"/>
                  <w:vAlign w:val="center"/>
                </w:tcPr>
                <w:p w14:paraId="6973B0A2">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shd w:val="clear" w:color="auto" w:fill="auto"/>
                  <w:vAlign w:val="center"/>
                </w:tcPr>
                <w:p w14:paraId="5C29E4E5">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洒水车</w:t>
                  </w:r>
                </w:p>
              </w:tc>
              <w:tc>
                <w:tcPr>
                  <w:tcW w:w="487" w:type="pct"/>
                  <w:shd w:val="clear" w:color="auto" w:fill="auto"/>
                  <w:vAlign w:val="center"/>
                </w:tcPr>
                <w:p w14:paraId="40643651">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w:t>
                  </w:r>
                </w:p>
              </w:tc>
              <w:tc>
                <w:tcPr>
                  <w:tcW w:w="459" w:type="pct"/>
                  <w:shd w:val="clear" w:color="auto" w:fill="auto"/>
                  <w:vAlign w:val="center"/>
                </w:tcPr>
                <w:p w14:paraId="0A2BB4C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eastAsiaTheme="minorEastAsia"/>
                      <w:b w:val="0"/>
                      <w:bCs w:val="0"/>
                      <w:i w:val="0"/>
                      <w:iCs w:val="0"/>
                      <w:color w:val="auto"/>
                      <w:kern w:val="0"/>
                      <w:sz w:val="21"/>
                      <w:szCs w:val="21"/>
                      <w:highlight w:val="none"/>
                      <w:lang w:val="en-US" w:eastAsia="zh-CN" w:bidi="ar-SA"/>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445" w:type="pct"/>
                  <w:shd w:val="clear" w:color="auto" w:fill="auto"/>
                  <w:vAlign w:val="center"/>
                </w:tcPr>
                <w:p w14:paraId="58D5EEB6">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eastAsiaTheme="minorEastAsia"/>
                      <w:b w:val="0"/>
                      <w:bCs w:val="0"/>
                      <w:i w:val="0"/>
                      <w:iCs w:val="0"/>
                      <w:color w:val="auto"/>
                      <w:kern w:val="0"/>
                      <w:sz w:val="21"/>
                      <w:szCs w:val="21"/>
                      <w:highlight w:val="none"/>
                      <w:lang w:val="en-US" w:eastAsia="zh-CN" w:bidi="ar-SA"/>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361" w:type="pct"/>
                  <w:shd w:val="clear" w:color="auto" w:fill="auto"/>
                  <w:vAlign w:val="center"/>
                </w:tcPr>
                <w:p w14:paraId="5C01FBFE">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eastAsia" w:ascii="Times New Roman" w:hAnsi="Times New Roman" w:cs="Times New Roman" w:eastAsiaTheme="minorEastAsia"/>
                      <w:b w:val="0"/>
                      <w:bCs w:val="0"/>
                      <w:i w:val="0"/>
                      <w:iCs w:val="0"/>
                      <w:color w:val="auto"/>
                      <w:kern w:val="0"/>
                      <w:sz w:val="21"/>
                      <w:szCs w:val="21"/>
                      <w:highlight w:val="none"/>
                      <w:lang w:val="en-US" w:eastAsia="zh-CN" w:bidi="ar-SA"/>
                    </w:rPr>
                  </w:pPr>
                  <w:r>
                    <w:rPr>
                      <w:rFonts w:hint="eastAsia" w:ascii="Times New Roman" w:hAnsi="Times New Roman" w:cs="Times New Roman" w:eastAsiaTheme="minorEastAsia"/>
                      <w:b w:val="0"/>
                      <w:bCs w:val="0"/>
                      <w:i w:val="0"/>
                      <w:iCs w:val="0"/>
                      <w:color w:val="auto"/>
                      <w:sz w:val="21"/>
                      <w:szCs w:val="21"/>
                      <w:highlight w:val="none"/>
                      <w:lang w:val="en-US" w:eastAsia="zh-CN"/>
                    </w:rPr>
                    <w:t>/</w:t>
                  </w:r>
                </w:p>
              </w:tc>
              <w:tc>
                <w:tcPr>
                  <w:tcW w:w="802" w:type="pct"/>
                  <w:vAlign w:val="center"/>
                </w:tcPr>
                <w:p w14:paraId="6C4B422F">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75</w:t>
                  </w:r>
                </w:p>
              </w:tc>
              <w:tc>
                <w:tcPr>
                  <w:tcW w:w="825" w:type="pct"/>
                  <w:vMerge w:val="continue"/>
                  <w:vAlign w:val="center"/>
                </w:tcPr>
                <w:p w14:paraId="569F6C6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p>
              </w:tc>
              <w:tc>
                <w:tcPr>
                  <w:tcW w:w="501" w:type="pct"/>
                  <w:vAlign w:val="center"/>
                </w:tcPr>
                <w:p w14:paraId="0BC0C2F9">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昼间</w:t>
                  </w:r>
                  <w:r>
                    <w:rPr>
                      <w:rFonts w:hint="eastAsia" w:cs="Times New Roman"/>
                      <w:color w:val="auto"/>
                      <w:sz w:val="21"/>
                      <w:szCs w:val="21"/>
                      <w:highlight w:val="none"/>
                      <w:lang w:val="en-US" w:eastAsia="zh-CN"/>
                    </w:rPr>
                    <w:t>2</w:t>
                  </w:r>
                  <w:r>
                    <w:rPr>
                      <w:rFonts w:hint="eastAsia" w:ascii="Times New Roman" w:hAnsi="Times New Roman" w:cs="Times New Roman"/>
                      <w:color w:val="auto"/>
                      <w:sz w:val="21"/>
                      <w:szCs w:val="21"/>
                      <w:highlight w:val="none"/>
                      <w:lang w:val="en-US" w:eastAsia="zh-CN"/>
                    </w:rPr>
                    <w:t>h</w:t>
                  </w:r>
                </w:p>
              </w:tc>
            </w:tr>
            <w:tr w14:paraId="20E6D7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60" w:hRule="atLeast"/>
                <w:jc w:val="center"/>
              </w:trPr>
              <w:tc>
                <w:tcPr>
                  <w:tcW w:w="418" w:type="pct"/>
                  <w:vAlign w:val="center"/>
                </w:tcPr>
                <w:p w14:paraId="725E3E96">
                  <w:pPr>
                    <w:pStyle w:val="43"/>
                    <w:keepNext w:val="0"/>
                    <w:keepLines w:val="0"/>
                    <w:pageBreakBefore w:val="0"/>
                    <w:widowControl w:val="0"/>
                    <w:numPr>
                      <w:ilvl w:val="0"/>
                      <w:numId w:val="32"/>
                    </w:numPr>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rPr>
                  </w:pPr>
                </w:p>
              </w:tc>
              <w:tc>
                <w:tcPr>
                  <w:tcW w:w="699" w:type="pct"/>
                  <w:shd w:val="clear" w:color="auto" w:fill="auto"/>
                  <w:vAlign w:val="center"/>
                </w:tcPr>
                <w:p w14:paraId="3DA85F3F">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雾炮</w:t>
                  </w:r>
                </w:p>
              </w:tc>
              <w:tc>
                <w:tcPr>
                  <w:tcW w:w="487" w:type="pct"/>
                  <w:vAlign w:val="center"/>
                </w:tcPr>
                <w:p w14:paraId="6CFC55C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w:t>
                  </w:r>
                </w:p>
              </w:tc>
              <w:tc>
                <w:tcPr>
                  <w:tcW w:w="459" w:type="pct"/>
                  <w:vAlign w:val="center"/>
                </w:tcPr>
                <w:p w14:paraId="63B6E5C3">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cs="Times New Roman" w:eastAsiaTheme="minorEastAsia"/>
                      <w:b w:val="0"/>
                      <w:bCs w:val="0"/>
                      <w:i w:val="0"/>
                      <w:iCs w:val="0"/>
                      <w:color w:val="auto"/>
                      <w:sz w:val="21"/>
                      <w:szCs w:val="21"/>
                      <w:highlight w:val="none"/>
                      <w:lang w:val="en-US" w:eastAsia="zh-CN"/>
                    </w:rPr>
                    <w:t>/</w:t>
                  </w:r>
                </w:p>
              </w:tc>
              <w:tc>
                <w:tcPr>
                  <w:tcW w:w="445" w:type="pct"/>
                  <w:vAlign w:val="center"/>
                </w:tcPr>
                <w:p w14:paraId="68C4200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cs="Times New Roman" w:eastAsiaTheme="minorEastAsia"/>
                      <w:b w:val="0"/>
                      <w:bCs w:val="0"/>
                      <w:i w:val="0"/>
                      <w:iCs w:val="0"/>
                      <w:color w:val="auto"/>
                      <w:sz w:val="21"/>
                      <w:szCs w:val="21"/>
                      <w:highlight w:val="none"/>
                      <w:lang w:val="en-US" w:eastAsia="zh-CN"/>
                    </w:rPr>
                    <w:t>/</w:t>
                  </w:r>
                </w:p>
              </w:tc>
              <w:tc>
                <w:tcPr>
                  <w:tcW w:w="361" w:type="pct"/>
                  <w:vAlign w:val="center"/>
                </w:tcPr>
                <w:p w14:paraId="022D956C">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i w:val="0"/>
                      <w:iCs w:val="0"/>
                      <w:color w:val="auto"/>
                      <w:sz w:val="21"/>
                      <w:szCs w:val="21"/>
                      <w:highlight w:val="none"/>
                      <w:lang w:val="en-US" w:eastAsia="zh-CN"/>
                    </w:rPr>
                  </w:pPr>
                  <w:r>
                    <w:rPr>
                      <w:rFonts w:hint="eastAsia" w:cs="Times New Roman" w:eastAsiaTheme="minorEastAsia"/>
                      <w:b w:val="0"/>
                      <w:bCs w:val="0"/>
                      <w:i w:val="0"/>
                      <w:iCs w:val="0"/>
                      <w:color w:val="auto"/>
                      <w:sz w:val="21"/>
                      <w:szCs w:val="21"/>
                      <w:highlight w:val="none"/>
                      <w:lang w:val="en-US" w:eastAsia="zh-CN"/>
                    </w:rPr>
                    <w:t>/</w:t>
                  </w:r>
                </w:p>
              </w:tc>
              <w:tc>
                <w:tcPr>
                  <w:tcW w:w="802" w:type="pct"/>
                  <w:vAlign w:val="center"/>
                </w:tcPr>
                <w:p w14:paraId="0B8D06FF">
                  <w:pPr>
                    <w:pStyle w:val="48"/>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80</w:t>
                  </w:r>
                </w:p>
              </w:tc>
              <w:tc>
                <w:tcPr>
                  <w:tcW w:w="825" w:type="pct"/>
                  <w:vAlign w:val="center"/>
                </w:tcPr>
                <w:p w14:paraId="3B3F9E5A">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选用低噪声设备，基础减振</w:t>
                  </w:r>
                </w:p>
              </w:tc>
              <w:tc>
                <w:tcPr>
                  <w:tcW w:w="501" w:type="pct"/>
                  <w:vAlign w:val="center"/>
                </w:tcPr>
                <w:p w14:paraId="4626D7F1">
                  <w:pPr>
                    <w:pStyle w:val="43"/>
                    <w:keepNext w:val="0"/>
                    <w:keepLines w:val="0"/>
                    <w:pageBreakBefore w:val="0"/>
                    <w:widowControl w:val="0"/>
                    <w:kinsoku/>
                    <w:wordWrap/>
                    <w:overflowPunct/>
                    <w:topLinePunct w:val="0"/>
                    <w:autoSpaceDE w:val="0"/>
                    <w:autoSpaceDN w:val="0"/>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昼间8h</w:t>
                  </w:r>
                </w:p>
              </w:tc>
            </w:tr>
          </w:tbl>
          <w:p w14:paraId="04B99AF7">
            <w:pPr>
              <w:numPr>
                <w:ilvl w:val="0"/>
                <w:numId w:val="0"/>
              </w:numPr>
              <w:tabs>
                <w:tab w:val="left" w:pos="420"/>
              </w:tabs>
              <w:bidi w:val="0"/>
              <w:rPr>
                <w:rFonts w:hint="default"/>
                <w:color w:val="auto"/>
                <w:highlight w:val="none"/>
                <w:lang w:val="en-US" w:eastAsia="zh-CN"/>
              </w:rPr>
            </w:pPr>
            <w:r>
              <w:rPr>
                <w:rFonts w:hint="eastAsia"/>
                <w:color w:val="auto"/>
                <w:highlight w:val="none"/>
                <w:lang w:val="en-US" w:eastAsia="zh-CN"/>
              </w:rPr>
              <w:t>注：结合项目运行特点，</w:t>
            </w:r>
            <w:r>
              <w:rPr>
                <w:rFonts w:hint="default"/>
                <w:color w:val="auto"/>
                <w:highlight w:val="none"/>
                <w:lang w:val="en-US" w:eastAsia="zh-CN"/>
              </w:rPr>
              <w:t>本项目</w:t>
            </w:r>
            <w:r>
              <w:rPr>
                <w:rFonts w:hint="eastAsia"/>
                <w:color w:val="auto"/>
                <w:highlight w:val="none"/>
                <w:lang w:val="en-US" w:eastAsia="zh-CN"/>
              </w:rPr>
              <w:t>各机械</w:t>
            </w:r>
            <w:r>
              <w:rPr>
                <w:rFonts w:hint="default"/>
                <w:color w:val="auto"/>
                <w:highlight w:val="none"/>
                <w:lang w:val="en-US" w:eastAsia="zh-CN"/>
              </w:rPr>
              <w:t>设备运行时需依据现场情况</w:t>
            </w:r>
            <w:r>
              <w:rPr>
                <w:rFonts w:hint="eastAsia"/>
                <w:color w:val="auto"/>
                <w:highlight w:val="none"/>
                <w:lang w:val="en-US" w:eastAsia="zh-CN"/>
              </w:rPr>
              <w:t>（包括作业区域、作业工序及工程进度等）</w:t>
            </w:r>
            <w:r>
              <w:rPr>
                <w:rFonts w:hint="default"/>
                <w:color w:val="auto"/>
                <w:highlight w:val="none"/>
                <w:lang w:val="en-US" w:eastAsia="zh-CN"/>
              </w:rPr>
              <w:t>启动，</w:t>
            </w:r>
            <w:r>
              <w:rPr>
                <w:rFonts w:hint="eastAsia"/>
                <w:color w:val="auto"/>
                <w:highlight w:val="none"/>
                <w:lang w:val="en-US" w:eastAsia="zh-CN"/>
              </w:rPr>
              <w:t>机械设备的位置和高度在堆填（砌）区范围内随着工程进度变化，且</w:t>
            </w:r>
            <w:r>
              <w:rPr>
                <w:rFonts w:hint="default"/>
                <w:color w:val="auto"/>
                <w:highlight w:val="none"/>
                <w:lang w:val="en-US" w:eastAsia="zh-CN"/>
              </w:rPr>
              <w:t>无规律可循</w:t>
            </w:r>
            <w:r>
              <w:rPr>
                <w:rFonts w:hint="eastAsia"/>
                <w:color w:val="auto"/>
                <w:highlight w:val="none"/>
                <w:lang w:val="en-US" w:eastAsia="zh-CN"/>
              </w:rPr>
              <w:t>，因此，不再明确</w:t>
            </w:r>
            <w:r>
              <w:rPr>
                <w:rFonts w:hint="default"/>
                <w:color w:val="auto"/>
                <w:highlight w:val="none"/>
                <w:lang w:val="en-US" w:eastAsia="zh-CN"/>
              </w:rPr>
              <w:t>空间相对位置</w:t>
            </w:r>
            <w:r>
              <w:rPr>
                <w:rFonts w:hint="eastAsia"/>
                <w:color w:val="auto"/>
                <w:highlight w:val="none"/>
                <w:lang w:val="en-US" w:eastAsia="zh-CN"/>
              </w:rPr>
              <w:t>。</w:t>
            </w:r>
          </w:p>
          <w:p w14:paraId="0EF627F4">
            <w:pPr>
              <w:numPr>
                <w:ilvl w:val="0"/>
                <w:numId w:val="33"/>
              </w:numPr>
              <w:bidi w:val="0"/>
              <w:rPr>
                <w:color w:val="auto"/>
                <w:highlight w:val="none"/>
                <w:lang w:val="zh-CN"/>
              </w:rPr>
            </w:pPr>
            <w:r>
              <w:rPr>
                <w:color w:val="auto"/>
                <w:highlight w:val="none"/>
                <w:lang w:val="zh-CN"/>
              </w:rPr>
              <w:t>噪声预测</w:t>
            </w:r>
          </w:p>
          <w:p w14:paraId="542F6895">
            <w:pPr>
              <w:ind w:firstLine="480"/>
              <w:rPr>
                <w:color w:val="auto"/>
                <w:highlight w:val="none"/>
              </w:rPr>
            </w:pPr>
            <w:r>
              <w:rPr>
                <w:color w:val="auto"/>
                <w:highlight w:val="none"/>
              </w:rPr>
              <w:t>预测模型采用《环境影响评价技术导则 声环境》（HJ2.4-2021）中附录A和附录B推荐的工业噪声预测模型。预测计算只考虑声源至受声点的几何发散衰减，不考虑空气吸收及影响较小的附加衰减。</w:t>
            </w:r>
          </w:p>
          <w:p w14:paraId="0CD4B7D2">
            <w:pPr>
              <w:ind w:firstLine="480"/>
              <w:rPr>
                <w:color w:val="auto"/>
                <w:highlight w:val="none"/>
              </w:rPr>
            </w:pPr>
            <w:r>
              <w:rPr>
                <w:color w:val="auto"/>
                <w:highlight w:val="none"/>
              </w:rPr>
              <w:t>采用预测模式如下：</w:t>
            </w:r>
          </w:p>
          <w:p w14:paraId="4BB3F9EA">
            <w:pPr>
              <w:ind w:firstLine="480"/>
              <w:rPr>
                <w:snapToGrid w:val="0"/>
                <w:color w:val="auto"/>
                <w:highlight w:val="none"/>
              </w:rPr>
            </w:pPr>
            <w:r>
              <w:rPr>
                <w:snapToGrid w:val="0"/>
                <w:color w:val="auto"/>
                <w:highlight w:val="none"/>
              </w:rPr>
              <w:fldChar w:fldCharType="begin"/>
            </w:r>
            <w:r>
              <w:rPr>
                <w:snapToGrid w:val="0"/>
                <w:color w:val="auto"/>
                <w:highlight w:val="none"/>
              </w:rPr>
              <w:instrText xml:space="preserve"> = 1 \* GB3 </w:instrText>
            </w:r>
            <w:r>
              <w:rPr>
                <w:snapToGrid w:val="0"/>
                <w:color w:val="auto"/>
                <w:highlight w:val="none"/>
              </w:rPr>
              <w:fldChar w:fldCharType="separate"/>
            </w:r>
            <w:r>
              <w:rPr>
                <w:snapToGrid w:val="0"/>
                <w:color w:val="auto"/>
                <w:highlight w:val="none"/>
              </w:rPr>
              <w:t>①</w:t>
            </w:r>
            <w:r>
              <w:rPr>
                <w:snapToGrid w:val="0"/>
                <w:color w:val="auto"/>
                <w:highlight w:val="none"/>
              </w:rPr>
              <w:fldChar w:fldCharType="end"/>
            </w:r>
            <w:r>
              <w:rPr>
                <w:snapToGrid w:val="0"/>
                <w:color w:val="auto"/>
                <w:highlight w:val="none"/>
              </w:rPr>
              <w:t>室外声源在预测点产生的声级计算模型</w:t>
            </w:r>
          </w:p>
          <w:p w14:paraId="558637AF">
            <w:pPr>
              <w:ind w:firstLine="480"/>
              <w:rPr>
                <w:color w:val="auto"/>
                <w:highlight w:val="none"/>
              </w:rPr>
            </w:pPr>
            <w:r>
              <w:rPr>
                <w:color w:val="auto"/>
                <w:highlight w:val="none"/>
              </w:rPr>
              <w:t>室外声源在预测点产生的声级计算模型参照导则附录 A：</w:t>
            </w:r>
          </w:p>
          <w:p w14:paraId="77D5ADDD">
            <w:pPr>
              <w:pStyle w:val="72"/>
              <w:rPr>
                <w:color w:val="auto"/>
                <w:highlight w:val="none"/>
              </w:rPr>
            </w:pPr>
            <w:r>
              <w:rPr>
                <w:color w:val="auto"/>
                <w:position w:val="-14"/>
                <w:highlight w:val="none"/>
              </w:rPr>
              <w:object>
                <v:shape id="_x0000_i1028" o:spt="75" type="#_x0000_t75" style="height:20pt;width:268.5pt;" o:ole="t" filled="f" o:preferrelative="t" stroked="f" coordsize="21600,21600">
                  <v:path/>
                  <v:fill on="f" focussize="0,0"/>
                  <v:stroke on="f" joinstyle="miter"/>
                  <v:imagedata r:id="rId24" o:title=""/>
                  <o:lock v:ext="edit" aspectratio="t"/>
                  <w10:wrap type="none"/>
                  <w10:anchorlock/>
                </v:shape>
                <o:OLEObject Type="Embed" ProgID="Equation.3" ShapeID="_x0000_i1028" DrawAspect="Content" ObjectID="_1468075728" r:id="rId23">
                  <o:LockedField>false</o:LockedField>
                </o:OLEObject>
              </w:object>
            </w:r>
          </w:p>
          <w:p w14:paraId="006D720F">
            <w:pPr>
              <w:ind w:left="0" w:leftChars="0" w:firstLine="0" w:firstLineChars="0"/>
              <w:rPr>
                <w:color w:val="auto"/>
                <w:highlight w:val="none"/>
              </w:rPr>
            </w:pPr>
            <w:r>
              <w:rPr>
                <w:color w:val="auto"/>
                <w:highlight w:val="none"/>
              </w:rPr>
              <w:t>式中：</w:t>
            </w:r>
          </w:p>
          <w:p w14:paraId="26C29ADF">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L</w:t>
            </w:r>
            <w:r>
              <w:rPr>
                <w:i/>
                <w:iCs/>
                <w:color w:val="auto"/>
                <w:highlight w:val="none"/>
                <w:vertAlign w:val="subscript"/>
              </w:rPr>
              <w:t>p</w:t>
            </w:r>
            <w:r>
              <w:rPr>
                <w:i/>
                <w:iCs/>
                <w:color w:val="auto"/>
                <w:highlight w:val="none"/>
              </w:rPr>
              <w:t>(r)</w:t>
            </w:r>
            <w:r>
              <w:rPr>
                <w:color w:val="auto"/>
                <w:highlight w:val="none"/>
              </w:rPr>
              <w:t>──预测点处声压级，dB；</w:t>
            </w:r>
          </w:p>
          <w:p w14:paraId="4431AE8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L</w:t>
            </w:r>
            <w:r>
              <w:rPr>
                <w:i/>
                <w:iCs/>
                <w:color w:val="auto"/>
                <w:highlight w:val="none"/>
                <w:vertAlign w:val="subscript"/>
              </w:rPr>
              <w:t>p</w:t>
            </w:r>
            <w:r>
              <w:rPr>
                <w:i/>
                <w:iCs/>
                <w:color w:val="auto"/>
                <w:highlight w:val="none"/>
              </w:rPr>
              <w:t>(r</w:t>
            </w:r>
            <w:r>
              <w:rPr>
                <w:i/>
                <w:iCs/>
                <w:color w:val="auto"/>
                <w:highlight w:val="none"/>
                <w:vertAlign w:val="subscript"/>
              </w:rPr>
              <w:t>0</w:t>
            </w:r>
            <w:r>
              <w:rPr>
                <w:i/>
                <w:iCs/>
                <w:color w:val="auto"/>
                <w:highlight w:val="none"/>
              </w:rPr>
              <w:t>)</w:t>
            </w:r>
            <w:r>
              <w:rPr>
                <w:color w:val="auto"/>
                <w:highlight w:val="none"/>
              </w:rPr>
              <w:t>—参考位置r</w:t>
            </w:r>
            <w:r>
              <w:rPr>
                <w:color w:val="auto"/>
                <w:highlight w:val="none"/>
                <w:vertAlign w:val="subscript"/>
              </w:rPr>
              <w:t>0</w:t>
            </w:r>
            <w:r>
              <w:rPr>
                <w:color w:val="auto"/>
                <w:highlight w:val="none"/>
              </w:rPr>
              <w:t>处的声压级，dB；</w:t>
            </w:r>
          </w:p>
          <w:p w14:paraId="17071CB1">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D</w:t>
            </w:r>
            <w:r>
              <w:rPr>
                <w:i/>
                <w:iCs/>
                <w:color w:val="auto"/>
                <w:highlight w:val="none"/>
                <w:vertAlign w:val="subscript"/>
              </w:rPr>
              <w:t>C</w:t>
            </w:r>
            <w:r>
              <w:rPr>
                <w:color w:val="auto"/>
                <w:highlight w:val="none"/>
              </w:rPr>
              <w:t>—指向性校正，它描述点声源的等效连续声压级与产生声功率级</w:t>
            </w:r>
            <w:r>
              <w:rPr>
                <w:i/>
                <w:iCs/>
                <w:color w:val="auto"/>
                <w:highlight w:val="none"/>
              </w:rPr>
              <w:t>L</w:t>
            </w:r>
            <w:r>
              <w:rPr>
                <w:i/>
                <w:iCs/>
                <w:color w:val="auto"/>
                <w:highlight w:val="none"/>
                <w:vertAlign w:val="subscript"/>
              </w:rPr>
              <w:t>w</w:t>
            </w:r>
            <w:r>
              <w:rPr>
                <w:color w:val="auto"/>
                <w:highlight w:val="none"/>
              </w:rPr>
              <w:t>的全向点声源在规定方向的声级的偏差程度，dB；</w:t>
            </w:r>
          </w:p>
          <w:p w14:paraId="5117322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div</w:t>
            </w:r>
            <w:r>
              <w:rPr>
                <w:color w:val="auto"/>
                <w:highlight w:val="none"/>
              </w:rPr>
              <w:t>──几何发散引起的衰减，dB；</w:t>
            </w:r>
          </w:p>
          <w:p w14:paraId="0B995CEB">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atm</w:t>
            </w:r>
            <w:r>
              <w:rPr>
                <w:color w:val="auto"/>
                <w:highlight w:val="none"/>
              </w:rPr>
              <w:t>──大气吸收引起的衰减，dB；</w:t>
            </w:r>
          </w:p>
          <w:p w14:paraId="0BDFECBD">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gr</w:t>
            </w:r>
            <w:r>
              <w:rPr>
                <w:color w:val="auto"/>
                <w:highlight w:val="none"/>
              </w:rPr>
              <w:t>──地面效应引起的衰减，dB；</w:t>
            </w:r>
          </w:p>
          <w:p w14:paraId="7B7BBE3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bar</w:t>
            </w:r>
            <w:r>
              <w:rPr>
                <w:color w:val="auto"/>
                <w:highlight w:val="none"/>
              </w:rPr>
              <w:t>──障碍物屏蔽引起的衰减，dB；</w:t>
            </w:r>
          </w:p>
          <w:p w14:paraId="2C848213">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color w:val="auto"/>
                <w:highlight w:val="none"/>
              </w:rPr>
            </w:pPr>
            <w:r>
              <w:rPr>
                <w:i/>
                <w:iCs/>
                <w:color w:val="auto"/>
                <w:highlight w:val="none"/>
              </w:rPr>
              <w:t>A</w:t>
            </w:r>
            <w:r>
              <w:rPr>
                <w:i/>
                <w:iCs/>
                <w:color w:val="auto"/>
                <w:highlight w:val="none"/>
                <w:vertAlign w:val="subscript"/>
              </w:rPr>
              <w:t>misc</w:t>
            </w:r>
            <w:r>
              <w:rPr>
                <w:color w:val="auto"/>
                <w:highlight w:val="none"/>
              </w:rPr>
              <w:t>──其他多方面效应引起的衰减，dB。</w:t>
            </w:r>
          </w:p>
          <w:p w14:paraId="7CAC0025">
            <w:pPr>
              <w:pStyle w:val="7"/>
              <w:spacing w:line="480" w:lineRule="atLeast"/>
              <w:ind w:firstLine="480"/>
              <w:rPr>
                <w:color w:val="auto"/>
                <w:highlight w:val="none"/>
              </w:rPr>
            </w:pPr>
            <w:r>
              <w:rPr>
                <w:color w:val="auto"/>
                <w:highlight w:val="none"/>
                <w:lang w:val="zh-CN"/>
              </w:rPr>
              <w:t>本</w:t>
            </w:r>
            <w:r>
              <w:rPr>
                <w:color w:val="auto"/>
                <w:highlight w:val="none"/>
              </w:rPr>
              <w:t>评价</w:t>
            </w:r>
            <w:r>
              <w:rPr>
                <w:color w:val="auto"/>
                <w:highlight w:val="none"/>
                <w:lang w:val="zh-CN"/>
              </w:rPr>
              <w:t>预测计算只考虑各声源至受声点的几何发散衰减，不考虑</w:t>
            </w:r>
            <w:r>
              <w:rPr>
                <w:color w:val="auto"/>
                <w:highlight w:val="none"/>
              </w:rPr>
              <w:t>大气吸收、地面效应、障碍物屏蔽及其他多方面等影响较小的衰减。</w:t>
            </w:r>
          </w:p>
          <w:p w14:paraId="05652D0B">
            <w:pPr>
              <w:pStyle w:val="7"/>
              <w:spacing w:line="480" w:lineRule="atLeast"/>
              <w:ind w:firstLine="480"/>
              <w:rPr>
                <w:color w:val="auto"/>
                <w:highlight w:val="none"/>
              </w:rPr>
            </w:pPr>
            <w:r>
              <w:rPr>
                <w:color w:val="auto"/>
                <w:highlight w:val="none"/>
              </w:rPr>
              <w:t>预测点的A声级，可利用8个倍频带的声压级按下式计算：</w:t>
            </w:r>
          </w:p>
          <w:p w14:paraId="56F5C0B2">
            <w:pPr>
              <w:pStyle w:val="22"/>
              <w:spacing w:line="360" w:lineRule="auto"/>
              <w:ind w:firstLine="0" w:firstLineChars="0"/>
              <w:rPr>
                <w:snapToGrid w:val="0"/>
                <w:color w:val="auto"/>
                <w:highlight w:val="none"/>
              </w:rPr>
            </w:pPr>
            <w:r>
              <w:rPr>
                <w:color w:val="auto"/>
                <w:kern w:val="0"/>
                <w:position w:val="-30"/>
                <w:highlight w:val="none"/>
              </w:rPr>
              <w:object>
                <v:shape id="_x0000_i1029" o:spt="75" type="#_x0000_t75" style="height:34.5pt;width:168.5pt;" o:ole="t" filled="f" o:preferrelative="f" stroked="f" coordsize="21600,21600">
                  <v:path/>
                  <v:fill on="f" focussize="0,0"/>
                  <v:stroke on="f" joinstyle="miter"/>
                  <v:imagedata r:id="rId26" o:title=""/>
                  <o:lock v:ext="edit" rotation="t" aspectratio="f"/>
                  <w10:wrap type="none"/>
                  <w10:anchorlock/>
                </v:shape>
                <o:OLEObject Type="Embed" ProgID="Equation.3" ShapeID="_x0000_i1029" DrawAspect="Content" ObjectID="_1468075729" r:id="rId25">
                  <o:LockedField>false</o:LockedField>
                </o:OLEObject>
              </w:object>
            </w:r>
          </w:p>
          <w:p w14:paraId="54CC42FA">
            <w:pPr>
              <w:pStyle w:val="22"/>
              <w:jc w:val="left"/>
              <w:rPr>
                <w:b w:val="0"/>
                <w:color w:val="auto"/>
                <w:szCs w:val="24"/>
                <w:highlight w:val="none"/>
              </w:rPr>
            </w:pPr>
            <w:r>
              <w:rPr>
                <w:b w:val="0"/>
                <w:color w:val="auto"/>
                <w:szCs w:val="24"/>
                <w:highlight w:val="none"/>
              </w:rPr>
              <w:t>式中：</w:t>
            </w:r>
          </w:p>
          <w:p w14:paraId="1C98A889">
            <w:pPr>
              <w:pStyle w:val="22"/>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b w:val="0"/>
                <w:color w:val="auto"/>
                <w:szCs w:val="24"/>
                <w:highlight w:val="none"/>
              </w:rPr>
            </w:pPr>
            <w:r>
              <w:rPr>
                <w:b w:val="0"/>
                <w:i/>
                <w:iCs/>
                <w:color w:val="auto"/>
                <w:szCs w:val="24"/>
                <w:highlight w:val="none"/>
              </w:rPr>
              <w:t>L</w:t>
            </w:r>
            <w:r>
              <w:rPr>
                <w:b w:val="0"/>
                <w:i/>
                <w:iCs/>
                <w:color w:val="auto"/>
                <w:szCs w:val="24"/>
                <w:highlight w:val="none"/>
                <w:vertAlign w:val="subscript"/>
              </w:rPr>
              <w:t>A</w:t>
            </w:r>
            <w:r>
              <w:rPr>
                <w:b w:val="0"/>
                <w:i w:val="0"/>
                <w:iCs w:val="0"/>
                <w:color w:val="auto"/>
                <w:szCs w:val="24"/>
                <w:highlight w:val="none"/>
              </w:rPr>
              <w:t>（r）</w:t>
            </w:r>
            <w:r>
              <w:rPr>
                <w:b w:val="0"/>
                <w:color w:val="auto"/>
                <w:szCs w:val="24"/>
                <w:highlight w:val="none"/>
              </w:rPr>
              <w:t>—距声源r处的A声级，dB（A）；</w:t>
            </w:r>
          </w:p>
          <w:p w14:paraId="456DB697">
            <w:pPr>
              <w:pStyle w:val="22"/>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b w:val="0"/>
                <w:color w:val="auto"/>
                <w:szCs w:val="24"/>
                <w:highlight w:val="none"/>
              </w:rPr>
            </w:pPr>
            <w:r>
              <w:rPr>
                <w:b w:val="0"/>
                <w:i/>
                <w:iCs/>
                <w:color w:val="auto"/>
                <w:szCs w:val="24"/>
                <w:highlight w:val="none"/>
              </w:rPr>
              <w:t>L</w:t>
            </w:r>
            <w:r>
              <w:rPr>
                <w:b w:val="0"/>
                <w:i/>
                <w:iCs/>
                <w:color w:val="auto"/>
                <w:szCs w:val="24"/>
                <w:highlight w:val="none"/>
                <w:vertAlign w:val="subscript"/>
              </w:rPr>
              <w:t>Pi</w:t>
            </w:r>
            <w:r>
              <w:rPr>
                <w:b w:val="0"/>
                <w:i w:val="0"/>
                <w:iCs w:val="0"/>
                <w:color w:val="auto"/>
                <w:szCs w:val="24"/>
                <w:highlight w:val="none"/>
              </w:rPr>
              <w:t>（r）</w:t>
            </w:r>
            <w:r>
              <w:rPr>
                <w:b w:val="0"/>
                <w:color w:val="auto"/>
                <w:szCs w:val="24"/>
                <w:highlight w:val="none"/>
              </w:rPr>
              <w:t>—预测点（r）处，第i倍频带声压级，dB；</w:t>
            </w:r>
          </w:p>
          <w:p w14:paraId="6948A9CA">
            <w:pPr>
              <w:pStyle w:val="22"/>
              <w:keepNext w:val="0"/>
              <w:keepLines w:val="0"/>
              <w:pageBreakBefore w:val="0"/>
              <w:widowControl w:val="0"/>
              <w:kinsoku/>
              <w:wordWrap/>
              <w:overflowPunct/>
              <w:topLinePunct w:val="0"/>
              <w:autoSpaceDE/>
              <w:autoSpaceDN/>
              <w:bidi w:val="0"/>
              <w:adjustRightInd/>
              <w:snapToGrid/>
              <w:ind w:left="0" w:leftChars="0" w:firstLine="480" w:firstLineChars="200"/>
              <w:jc w:val="left"/>
              <w:textAlignment w:val="auto"/>
              <w:rPr>
                <w:b w:val="0"/>
                <w:color w:val="auto"/>
                <w:szCs w:val="24"/>
                <w:highlight w:val="none"/>
              </w:rPr>
            </w:pPr>
            <w:r>
              <w:rPr>
                <w:b w:val="0"/>
                <w:i/>
                <w:iCs/>
                <w:color w:val="auto"/>
                <w:szCs w:val="24"/>
                <w:highlight w:val="none"/>
              </w:rPr>
              <w:t>ΔL</w:t>
            </w:r>
            <w:r>
              <w:rPr>
                <w:b w:val="0"/>
                <w:i/>
                <w:iCs/>
                <w:color w:val="auto"/>
                <w:szCs w:val="24"/>
                <w:highlight w:val="none"/>
                <w:vertAlign w:val="subscript"/>
              </w:rPr>
              <w:t>i</w:t>
            </w:r>
            <w:r>
              <w:rPr>
                <w:b w:val="0"/>
                <w:color w:val="auto"/>
                <w:szCs w:val="24"/>
                <w:highlight w:val="none"/>
              </w:rPr>
              <w:t>—第i 倍频带A计权网络修正值，dB。</w:t>
            </w:r>
          </w:p>
          <w:p w14:paraId="77A8B82D">
            <w:pPr>
              <w:pStyle w:val="7"/>
              <w:spacing w:line="480" w:lineRule="atLeast"/>
              <w:ind w:firstLine="480"/>
              <w:rPr>
                <w:color w:val="auto"/>
                <w:highlight w:val="none"/>
              </w:rPr>
            </w:pPr>
            <w:r>
              <w:rPr>
                <w:color w:val="auto"/>
                <w:highlight w:val="none"/>
              </w:rPr>
              <w:fldChar w:fldCharType="begin"/>
            </w:r>
            <w:r>
              <w:rPr>
                <w:color w:val="auto"/>
                <w:highlight w:val="none"/>
              </w:rPr>
              <w:instrText xml:space="preserve"> = 1 \* ROMAN \* MERGEFORMAT </w:instrText>
            </w:r>
            <w:r>
              <w:rPr>
                <w:color w:val="auto"/>
                <w:highlight w:val="none"/>
              </w:rPr>
              <w:fldChar w:fldCharType="separate"/>
            </w:r>
            <w:r>
              <w:rPr>
                <w:color w:val="auto"/>
                <w:highlight w:val="none"/>
              </w:rPr>
              <w:t>I</w:t>
            </w:r>
            <w:r>
              <w:rPr>
                <w:color w:val="auto"/>
                <w:highlight w:val="none"/>
              </w:rPr>
              <w:fldChar w:fldCharType="end"/>
            </w:r>
            <w:r>
              <w:rPr>
                <w:color w:val="auto"/>
                <w:highlight w:val="none"/>
              </w:rPr>
              <w:t>、指向性校正</w:t>
            </w:r>
          </w:p>
          <w:p w14:paraId="5ADE55D4">
            <w:pPr>
              <w:pStyle w:val="7"/>
              <w:spacing w:line="480" w:lineRule="atLeast"/>
              <w:ind w:firstLine="480"/>
              <w:rPr>
                <w:color w:val="auto"/>
                <w:highlight w:val="none"/>
              </w:rPr>
            </w:pPr>
            <w:r>
              <w:rPr>
                <w:color w:val="auto"/>
                <w:highlight w:val="none"/>
              </w:rPr>
              <w:t>本次评价忽略。</w:t>
            </w:r>
          </w:p>
          <w:p w14:paraId="17839953">
            <w:pPr>
              <w:pStyle w:val="7"/>
              <w:spacing w:line="480" w:lineRule="atLeast"/>
              <w:ind w:firstLine="480"/>
              <w:rPr>
                <w:color w:val="auto"/>
                <w:highlight w:val="none"/>
              </w:rPr>
            </w:pPr>
            <w:r>
              <w:rPr>
                <w:color w:val="auto"/>
                <w:highlight w:val="none"/>
              </w:rPr>
              <w:fldChar w:fldCharType="begin"/>
            </w:r>
            <w:r>
              <w:rPr>
                <w:color w:val="auto"/>
                <w:highlight w:val="none"/>
              </w:rPr>
              <w:instrText xml:space="preserve"> = 2 \* ROMAN \* MERGEFORMAT </w:instrText>
            </w:r>
            <w:r>
              <w:rPr>
                <w:color w:val="auto"/>
                <w:highlight w:val="none"/>
              </w:rPr>
              <w:fldChar w:fldCharType="separate"/>
            </w:r>
            <w:r>
              <w:rPr>
                <w:color w:val="auto"/>
                <w:highlight w:val="none"/>
              </w:rPr>
              <w:t>II</w:t>
            </w:r>
            <w:r>
              <w:rPr>
                <w:color w:val="auto"/>
                <w:highlight w:val="none"/>
              </w:rPr>
              <w:fldChar w:fldCharType="end"/>
            </w:r>
            <w:r>
              <w:rPr>
                <w:color w:val="auto"/>
                <w:highlight w:val="none"/>
              </w:rPr>
              <w:t>、几何发散引起的衰减</w:t>
            </w:r>
          </w:p>
          <w:p w14:paraId="62FCF7AE">
            <w:pPr>
              <w:pStyle w:val="7"/>
              <w:spacing w:line="480" w:lineRule="atLeast"/>
              <w:ind w:firstLine="480"/>
              <w:rPr>
                <w:color w:val="auto"/>
                <w:highlight w:val="none"/>
              </w:rPr>
            </w:pPr>
            <w:r>
              <w:rPr>
                <w:color w:val="auto"/>
                <w:highlight w:val="none"/>
              </w:rPr>
              <w:t>对于室外点声源，不考虑其指向性，几何发散衰减计算公式为：</w:t>
            </w:r>
          </w:p>
          <w:p w14:paraId="15DDC7F8">
            <w:pPr>
              <w:pStyle w:val="22"/>
              <w:ind w:firstLine="0" w:firstLineChars="0"/>
              <w:rPr>
                <w:color w:val="auto"/>
                <w:kern w:val="0"/>
                <w:position w:val="-14"/>
                <w:highlight w:val="none"/>
              </w:rPr>
            </w:pPr>
            <w:r>
              <w:rPr>
                <w:color w:val="auto"/>
                <w:kern w:val="0"/>
                <w:position w:val="-14"/>
                <w:highlight w:val="none"/>
              </w:rPr>
              <w:object>
                <v:shape id="_x0000_i1030" o:spt="75" type="#_x0000_t75" style="height:19pt;width:132pt;" o:ole="t" filled="f" o:preferrelative="t" stroked="f" coordsize="21600,21600">
                  <v:path/>
                  <v:fill on="f" focussize="0,0"/>
                  <v:stroke on="f" joinstyle="miter"/>
                  <v:imagedata r:id="rId28" o:title=""/>
                  <o:lock v:ext="edit" aspectratio="t"/>
                  <w10:wrap type="none"/>
                  <w10:anchorlock/>
                </v:shape>
                <o:OLEObject Type="Embed" ProgID="Equation.KSEE3" ShapeID="_x0000_i1030" DrawAspect="Content" ObjectID="_1468075730" r:id="rId27">
                  <o:LockedField>false</o:LockedField>
                </o:OLEObject>
              </w:object>
            </w:r>
          </w:p>
          <w:p w14:paraId="3EBEFBF7">
            <w:pPr>
              <w:pStyle w:val="22"/>
              <w:jc w:val="left"/>
              <w:rPr>
                <w:b w:val="0"/>
                <w:color w:val="auto"/>
                <w:szCs w:val="24"/>
                <w:highlight w:val="none"/>
              </w:rPr>
            </w:pPr>
            <w:r>
              <w:rPr>
                <w:b w:val="0"/>
                <w:color w:val="auto"/>
                <w:szCs w:val="24"/>
                <w:highlight w:val="none"/>
              </w:rPr>
              <w:t>式中：</w:t>
            </w:r>
          </w:p>
          <w:p w14:paraId="342B6C5B">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L</w:t>
            </w:r>
            <w:r>
              <w:rPr>
                <w:b w:val="0"/>
                <w:i/>
                <w:iCs/>
                <w:color w:val="auto"/>
                <w:szCs w:val="24"/>
                <w:highlight w:val="none"/>
                <w:vertAlign w:val="subscript"/>
              </w:rPr>
              <w:t>p</w:t>
            </w:r>
            <w:r>
              <w:rPr>
                <w:b w:val="0"/>
                <w:i/>
                <w:iCs/>
                <w:color w:val="auto"/>
                <w:szCs w:val="24"/>
                <w:highlight w:val="none"/>
              </w:rPr>
              <w:t>(r)</w:t>
            </w:r>
            <w:r>
              <w:rPr>
                <w:b w:val="0"/>
                <w:color w:val="auto"/>
                <w:szCs w:val="24"/>
                <w:highlight w:val="none"/>
              </w:rPr>
              <w:t>──预测点处声压级，dB；</w:t>
            </w:r>
          </w:p>
          <w:p w14:paraId="4AD9A600">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L</w:t>
            </w:r>
            <w:r>
              <w:rPr>
                <w:b w:val="0"/>
                <w:i/>
                <w:iCs/>
                <w:color w:val="auto"/>
                <w:szCs w:val="24"/>
                <w:highlight w:val="none"/>
                <w:vertAlign w:val="subscript"/>
              </w:rPr>
              <w:t>p</w:t>
            </w:r>
            <w:r>
              <w:rPr>
                <w:b w:val="0"/>
                <w:i/>
                <w:iCs/>
                <w:color w:val="auto"/>
                <w:szCs w:val="24"/>
                <w:highlight w:val="none"/>
              </w:rPr>
              <w:t>(r</w:t>
            </w:r>
            <w:r>
              <w:rPr>
                <w:b w:val="0"/>
                <w:i/>
                <w:iCs/>
                <w:color w:val="auto"/>
                <w:szCs w:val="24"/>
                <w:highlight w:val="none"/>
                <w:vertAlign w:val="subscript"/>
              </w:rPr>
              <w:t>0</w:t>
            </w:r>
            <w:r>
              <w:rPr>
                <w:b w:val="0"/>
                <w:i/>
                <w:iCs/>
                <w:color w:val="auto"/>
                <w:szCs w:val="24"/>
                <w:highlight w:val="none"/>
              </w:rPr>
              <w:t>)</w:t>
            </w:r>
            <w:r>
              <w:rPr>
                <w:b w:val="0"/>
                <w:color w:val="auto"/>
                <w:szCs w:val="24"/>
                <w:highlight w:val="none"/>
              </w:rPr>
              <w:t>—参考位置r</w:t>
            </w:r>
            <w:r>
              <w:rPr>
                <w:b w:val="0"/>
                <w:color w:val="auto"/>
                <w:szCs w:val="24"/>
                <w:highlight w:val="none"/>
                <w:vertAlign w:val="subscript"/>
              </w:rPr>
              <w:t>0</w:t>
            </w:r>
            <w:r>
              <w:rPr>
                <w:b w:val="0"/>
                <w:color w:val="auto"/>
                <w:szCs w:val="24"/>
                <w:highlight w:val="none"/>
              </w:rPr>
              <w:t>处的声压级，dB；</w:t>
            </w:r>
          </w:p>
          <w:p w14:paraId="5C4FF110">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r</w:t>
            </w:r>
            <w:r>
              <w:rPr>
                <w:b w:val="0"/>
                <w:color w:val="auto"/>
                <w:szCs w:val="24"/>
                <w:highlight w:val="none"/>
              </w:rPr>
              <w:t>—预测点距声源的距离；</w:t>
            </w:r>
          </w:p>
          <w:p w14:paraId="0B9B26DA">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r</w:t>
            </w:r>
            <w:r>
              <w:rPr>
                <w:b w:val="0"/>
                <w:i/>
                <w:iCs/>
                <w:color w:val="auto"/>
                <w:szCs w:val="24"/>
                <w:highlight w:val="none"/>
                <w:vertAlign w:val="subscript"/>
              </w:rPr>
              <w:t>0</w:t>
            </w:r>
            <w:r>
              <w:rPr>
                <w:b w:val="0"/>
                <w:color w:val="auto"/>
                <w:szCs w:val="24"/>
                <w:highlight w:val="none"/>
              </w:rPr>
              <w:t>—参考位置距声源的距离。</w:t>
            </w:r>
          </w:p>
          <w:p w14:paraId="47A506EB">
            <w:pPr>
              <w:pStyle w:val="22"/>
              <w:ind w:firstLine="0" w:firstLineChars="0"/>
              <w:rPr>
                <w:b w:val="0"/>
                <w:color w:val="auto"/>
                <w:szCs w:val="24"/>
                <w:highlight w:val="none"/>
              </w:rPr>
            </w:pPr>
            <w:r>
              <w:rPr>
                <w:color w:val="auto"/>
                <w:kern w:val="0"/>
                <w:position w:val="-12"/>
                <w:highlight w:val="none"/>
              </w:rPr>
              <w:object>
                <v:shape id="_x0000_i1031" o:spt="75" type="#_x0000_t75" style="height:18pt;width:85pt;" o:ole="t" filled="f" o:preferrelative="t" stroked="f" coordsize="21600,21600">
                  <v:path/>
                  <v:fill on="f" focussize="0,0"/>
                  <v:stroke on="f" joinstyle="miter"/>
                  <v:imagedata r:id="rId30" o:title=""/>
                  <o:lock v:ext="edit" aspectratio="t"/>
                  <w10:wrap type="none"/>
                  <w10:anchorlock/>
                </v:shape>
                <o:OLEObject Type="Embed" ProgID="Equation.KSEE3" ShapeID="_x0000_i1031" DrawAspect="Content" ObjectID="_1468075731" r:id="rId29">
                  <o:LockedField>false</o:LockedField>
                </o:OLEObject>
              </w:object>
            </w:r>
          </w:p>
          <w:p w14:paraId="2A5DC0B5">
            <w:pPr>
              <w:pStyle w:val="22"/>
              <w:jc w:val="left"/>
              <w:rPr>
                <w:b w:val="0"/>
                <w:color w:val="auto"/>
                <w:szCs w:val="24"/>
                <w:highlight w:val="none"/>
              </w:rPr>
            </w:pPr>
            <w:r>
              <w:rPr>
                <w:b w:val="0"/>
                <w:color w:val="auto"/>
                <w:szCs w:val="24"/>
                <w:highlight w:val="none"/>
              </w:rPr>
              <w:t>式中：</w:t>
            </w:r>
          </w:p>
          <w:p w14:paraId="36DCF7B4">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A</w:t>
            </w:r>
            <w:r>
              <w:rPr>
                <w:b w:val="0"/>
                <w:i/>
                <w:iCs/>
                <w:color w:val="auto"/>
                <w:szCs w:val="24"/>
                <w:highlight w:val="none"/>
                <w:vertAlign w:val="subscript"/>
              </w:rPr>
              <w:t>div</w:t>
            </w:r>
            <w:r>
              <w:rPr>
                <w:b w:val="0"/>
                <w:color w:val="auto"/>
                <w:szCs w:val="24"/>
                <w:highlight w:val="none"/>
              </w:rPr>
              <w:t>──几何发散引起的衰减，dB；</w:t>
            </w:r>
          </w:p>
          <w:p w14:paraId="4D823029">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r</w:t>
            </w:r>
            <w:r>
              <w:rPr>
                <w:b w:val="0"/>
                <w:color w:val="auto"/>
                <w:szCs w:val="24"/>
                <w:highlight w:val="none"/>
              </w:rPr>
              <w:t>—预测点距声源的距离；</w:t>
            </w:r>
          </w:p>
          <w:p w14:paraId="6AD98791">
            <w:pPr>
              <w:pStyle w:val="22"/>
              <w:keepNext w:val="0"/>
              <w:keepLines w:val="0"/>
              <w:pageBreakBefore w:val="0"/>
              <w:widowControl w:val="0"/>
              <w:kinsoku/>
              <w:wordWrap/>
              <w:overflowPunct/>
              <w:topLinePunct w:val="0"/>
              <w:autoSpaceDE/>
              <w:autoSpaceDN/>
              <w:bidi w:val="0"/>
              <w:adjustRightInd/>
              <w:snapToGrid/>
              <w:ind w:firstLine="480" w:firstLineChars="200"/>
              <w:jc w:val="left"/>
              <w:textAlignment w:val="auto"/>
              <w:rPr>
                <w:b w:val="0"/>
                <w:color w:val="auto"/>
                <w:szCs w:val="24"/>
                <w:highlight w:val="none"/>
              </w:rPr>
            </w:pPr>
            <w:r>
              <w:rPr>
                <w:b w:val="0"/>
                <w:i/>
                <w:iCs/>
                <w:color w:val="auto"/>
                <w:szCs w:val="24"/>
                <w:highlight w:val="none"/>
              </w:rPr>
              <w:t>r</w:t>
            </w:r>
            <w:r>
              <w:rPr>
                <w:b w:val="0"/>
                <w:i/>
                <w:iCs/>
                <w:color w:val="auto"/>
                <w:szCs w:val="24"/>
                <w:highlight w:val="none"/>
                <w:vertAlign w:val="subscript"/>
              </w:rPr>
              <w:t>0</w:t>
            </w:r>
            <w:r>
              <w:rPr>
                <w:b w:val="0"/>
                <w:color w:val="auto"/>
                <w:szCs w:val="24"/>
                <w:highlight w:val="none"/>
              </w:rPr>
              <w:t>—参考位置距声源的距离。</w:t>
            </w:r>
          </w:p>
          <w:p w14:paraId="51591D1B">
            <w:pPr>
              <w:ind w:firstLine="480"/>
              <w:rPr>
                <w:color w:val="auto"/>
                <w:highlight w:val="none"/>
              </w:rPr>
            </w:pPr>
            <w:r>
              <w:rPr>
                <w:rFonts w:hint="eastAsia"/>
                <w:color w:val="auto"/>
                <w:highlight w:val="none"/>
              </w:rPr>
              <w:t>（2）基础数据</w:t>
            </w:r>
          </w:p>
          <w:p w14:paraId="53A517C4">
            <w:pPr>
              <w:bidi w:val="0"/>
              <w:rPr>
                <w:rFonts w:hint="eastAsia"/>
                <w:color w:val="auto"/>
                <w:highlight w:val="none"/>
                <w:lang w:val="en-US" w:eastAsia="zh-CN"/>
              </w:rPr>
            </w:pPr>
            <w:r>
              <w:rPr>
                <w:rFonts w:hint="eastAsia"/>
                <w:color w:val="auto"/>
                <w:highlight w:val="none"/>
                <w:lang w:val="en-US" w:eastAsia="zh-CN"/>
              </w:rPr>
              <w:t>本项目噪声预测基础数据见下表。</w:t>
            </w:r>
          </w:p>
          <w:p w14:paraId="599BDB1A">
            <w:pPr>
              <w:bidi w:val="0"/>
              <w:rPr>
                <w:rFonts w:hint="eastAsia"/>
                <w:color w:val="auto"/>
                <w:highlight w:val="none"/>
                <w:lang w:val="en-US" w:eastAsia="zh-CN"/>
              </w:rPr>
            </w:pPr>
          </w:p>
          <w:p w14:paraId="21476198">
            <w:pPr>
              <w:bidi w:val="0"/>
              <w:rPr>
                <w:rFonts w:hint="eastAsia"/>
                <w:color w:val="auto"/>
                <w:highlight w:val="none"/>
                <w:lang w:val="en-US" w:eastAsia="zh-CN"/>
              </w:rPr>
            </w:pPr>
          </w:p>
          <w:p w14:paraId="1A7C0316">
            <w:pPr>
              <w:bidi w:val="0"/>
              <w:rPr>
                <w:rFonts w:hint="eastAsia"/>
                <w:color w:val="auto"/>
                <w:highlight w:val="none"/>
                <w:lang w:val="en-US" w:eastAsia="zh-CN"/>
              </w:rPr>
            </w:pPr>
          </w:p>
          <w:p w14:paraId="26259DA6">
            <w:pPr>
              <w:pStyle w:val="36"/>
              <w:numPr>
                <w:ilvl w:val="0"/>
                <w:numId w:val="27"/>
              </w:numPr>
              <w:bidi w:val="0"/>
              <w:rPr>
                <w:color w:val="auto"/>
                <w:highlight w:val="none"/>
              </w:rPr>
            </w:pPr>
            <w:r>
              <w:rPr>
                <w:rFonts w:hint="eastAsia"/>
                <w:color w:val="auto"/>
                <w:highlight w:val="none"/>
              </w:rPr>
              <w:t>项目噪声环境影响预测基础数据表</w:t>
            </w:r>
          </w:p>
          <w:tbl>
            <w:tblPr>
              <w:tblStyle w:val="30"/>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2107"/>
              <w:gridCol w:w="1969"/>
              <w:gridCol w:w="2508"/>
            </w:tblGrid>
            <w:tr w14:paraId="52BD1A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312ECCBC">
                  <w:pPr>
                    <w:pStyle w:val="35"/>
                    <w:spacing w:before="0" w:after="0"/>
                    <w:rPr>
                      <w:color w:val="auto"/>
                      <w:sz w:val="21"/>
                      <w:highlight w:val="none"/>
                    </w:rPr>
                  </w:pPr>
                  <w:r>
                    <w:rPr>
                      <w:rFonts w:hint="eastAsia"/>
                      <w:color w:val="auto"/>
                      <w:sz w:val="21"/>
                      <w:highlight w:val="none"/>
                    </w:rPr>
                    <w:t>序号</w:t>
                  </w:r>
                </w:p>
              </w:tc>
              <w:tc>
                <w:tcPr>
                  <w:tcW w:w="2181" w:type="dxa"/>
                  <w:tcBorders>
                    <w:tl2br w:val="nil"/>
                    <w:tr2bl w:val="nil"/>
                  </w:tcBorders>
                  <w:vAlign w:val="center"/>
                </w:tcPr>
                <w:p w14:paraId="1524FDB5">
                  <w:pPr>
                    <w:pStyle w:val="35"/>
                    <w:spacing w:before="0" w:after="0"/>
                    <w:rPr>
                      <w:color w:val="auto"/>
                      <w:sz w:val="21"/>
                      <w:highlight w:val="none"/>
                    </w:rPr>
                  </w:pPr>
                  <w:r>
                    <w:rPr>
                      <w:rFonts w:hint="eastAsia"/>
                      <w:color w:val="auto"/>
                      <w:sz w:val="21"/>
                      <w:highlight w:val="none"/>
                    </w:rPr>
                    <w:t>名称</w:t>
                  </w:r>
                </w:p>
              </w:tc>
              <w:tc>
                <w:tcPr>
                  <w:tcW w:w="2038" w:type="dxa"/>
                  <w:tcBorders>
                    <w:tl2br w:val="nil"/>
                    <w:tr2bl w:val="nil"/>
                  </w:tcBorders>
                  <w:vAlign w:val="center"/>
                </w:tcPr>
                <w:p w14:paraId="76749D30">
                  <w:pPr>
                    <w:pStyle w:val="35"/>
                    <w:spacing w:before="0" w:after="0"/>
                    <w:rPr>
                      <w:color w:val="auto"/>
                      <w:sz w:val="21"/>
                      <w:highlight w:val="none"/>
                    </w:rPr>
                  </w:pPr>
                  <w:r>
                    <w:rPr>
                      <w:rFonts w:hint="eastAsia"/>
                      <w:color w:val="auto"/>
                      <w:sz w:val="21"/>
                      <w:highlight w:val="none"/>
                    </w:rPr>
                    <w:t>单位</w:t>
                  </w:r>
                </w:p>
              </w:tc>
              <w:tc>
                <w:tcPr>
                  <w:tcW w:w="2597" w:type="dxa"/>
                  <w:tcBorders>
                    <w:tl2br w:val="nil"/>
                    <w:tr2bl w:val="nil"/>
                  </w:tcBorders>
                  <w:vAlign w:val="center"/>
                </w:tcPr>
                <w:p w14:paraId="71C420E7">
                  <w:pPr>
                    <w:pStyle w:val="35"/>
                    <w:spacing w:before="0" w:after="0"/>
                    <w:rPr>
                      <w:color w:val="auto"/>
                      <w:sz w:val="21"/>
                      <w:highlight w:val="none"/>
                    </w:rPr>
                  </w:pPr>
                  <w:r>
                    <w:rPr>
                      <w:rFonts w:hint="eastAsia"/>
                      <w:color w:val="auto"/>
                      <w:sz w:val="21"/>
                      <w:highlight w:val="none"/>
                    </w:rPr>
                    <w:t>数据</w:t>
                  </w:r>
                </w:p>
              </w:tc>
            </w:tr>
            <w:tr w14:paraId="18BEAC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17499F94">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30D530AF">
                  <w:pPr>
                    <w:pStyle w:val="35"/>
                    <w:spacing w:before="0" w:after="0"/>
                    <w:rPr>
                      <w:color w:val="auto"/>
                      <w:sz w:val="21"/>
                      <w:highlight w:val="none"/>
                    </w:rPr>
                  </w:pPr>
                  <w:r>
                    <w:rPr>
                      <w:rFonts w:hint="eastAsia"/>
                      <w:color w:val="auto"/>
                      <w:sz w:val="21"/>
                      <w:highlight w:val="none"/>
                    </w:rPr>
                    <w:t>年平均风速</w:t>
                  </w:r>
                </w:p>
              </w:tc>
              <w:tc>
                <w:tcPr>
                  <w:tcW w:w="2038" w:type="dxa"/>
                  <w:tcBorders>
                    <w:tl2br w:val="nil"/>
                    <w:tr2bl w:val="nil"/>
                  </w:tcBorders>
                  <w:vAlign w:val="center"/>
                </w:tcPr>
                <w:p w14:paraId="3B5D71EF">
                  <w:pPr>
                    <w:pStyle w:val="35"/>
                    <w:spacing w:before="0" w:after="0"/>
                    <w:rPr>
                      <w:color w:val="auto"/>
                      <w:sz w:val="21"/>
                      <w:highlight w:val="none"/>
                    </w:rPr>
                  </w:pPr>
                  <w:r>
                    <w:rPr>
                      <w:rFonts w:hint="eastAsia"/>
                      <w:color w:val="auto"/>
                      <w:sz w:val="21"/>
                      <w:highlight w:val="none"/>
                    </w:rPr>
                    <w:t>m</w:t>
                  </w:r>
                  <w:r>
                    <w:rPr>
                      <w:color w:val="auto"/>
                      <w:sz w:val="21"/>
                      <w:highlight w:val="none"/>
                    </w:rPr>
                    <w:t>/s</w:t>
                  </w:r>
                </w:p>
              </w:tc>
              <w:tc>
                <w:tcPr>
                  <w:tcW w:w="2597" w:type="dxa"/>
                  <w:tcBorders>
                    <w:tl2br w:val="nil"/>
                    <w:tr2bl w:val="nil"/>
                  </w:tcBorders>
                  <w:vAlign w:val="center"/>
                </w:tcPr>
                <w:p w14:paraId="6703E191">
                  <w:pPr>
                    <w:pStyle w:val="35"/>
                    <w:spacing w:before="0" w:after="0"/>
                    <w:rPr>
                      <w:rFonts w:hint="default" w:eastAsia="宋体"/>
                      <w:color w:val="auto"/>
                      <w:sz w:val="21"/>
                      <w:highlight w:val="none"/>
                      <w:lang w:val="en-US" w:eastAsia="zh-CN"/>
                    </w:rPr>
                  </w:pPr>
                  <w:r>
                    <w:rPr>
                      <w:rFonts w:hint="eastAsia"/>
                      <w:color w:val="auto"/>
                      <w:sz w:val="21"/>
                      <w:highlight w:val="none"/>
                      <w:lang w:val="en-US" w:eastAsia="zh-CN"/>
                    </w:rPr>
                    <w:t>2.02</w:t>
                  </w:r>
                </w:p>
              </w:tc>
            </w:tr>
            <w:tr w14:paraId="74BF6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25221914">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6428B761">
                  <w:pPr>
                    <w:pStyle w:val="35"/>
                    <w:spacing w:before="0" w:after="0"/>
                    <w:rPr>
                      <w:color w:val="auto"/>
                      <w:sz w:val="21"/>
                      <w:highlight w:val="none"/>
                    </w:rPr>
                  </w:pPr>
                  <w:r>
                    <w:rPr>
                      <w:rFonts w:hint="eastAsia"/>
                      <w:color w:val="auto"/>
                      <w:sz w:val="21"/>
                      <w:highlight w:val="none"/>
                    </w:rPr>
                    <w:t>主导风向</w:t>
                  </w:r>
                </w:p>
              </w:tc>
              <w:tc>
                <w:tcPr>
                  <w:tcW w:w="2038" w:type="dxa"/>
                  <w:tcBorders>
                    <w:tl2br w:val="nil"/>
                    <w:tr2bl w:val="nil"/>
                  </w:tcBorders>
                  <w:vAlign w:val="center"/>
                </w:tcPr>
                <w:p w14:paraId="734E9EFC">
                  <w:pPr>
                    <w:pStyle w:val="35"/>
                    <w:spacing w:before="0" w:after="0"/>
                    <w:rPr>
                      <w:color w:val="auto"/>
                      <w:sz w:val="21"/>
                      <w:highlight w:val="none"/>
                    </w:rPr>
                  </w:pPr>
                  <w:r>
                    <w:rPr>
                      <w:rFonts w:hint="eastAsia"/>
                      <w:color w:val="auto"/>
                      <w:sz w:val="21"/>
                      <w:highlight w:val="none"/>
                    </w:rPr>
                    <w:t>/</w:t>
                  </w:r>
                </w:p>
              </w:tc>
              <w:tc>
                <w:tcPr>
                  <w:tcW w:w="2597" w:type="dxa"/>
                  <w:tcBorders>
                    <w:tl2br w:val="nil"/>
                    <w:tr2bl w:val="nil"/>
                  </w:tcBorders>
                  <w:vAlign w:val="center"/>
                </w:tcPr>
                <w:p w14:paraId="4B3B394A">
                  <w:pPr>
                    <w:pStyle w:val="35"/>
                    <w:spacing w:before="0" w:after="0"/>
                    <w:rPr>
                      <w:rFonts w:hint="default" w:eastAsia="宋体"/>
                      <w:color w:val="auto"/>
                      <w:sz w:val="21"/>
                      <w:highlight w:val="none"/>
                      <w:lang w:val="en-US" w:eastAsia="zh-CN"/>
                    </w:rPr>
                  </w:pPr>
                  <w:r>
                    <w:rPr>
                      <w:rFonts w:hint="eastAsia"/>
                      <w:color w:val="auto"/>
                      <w:sz w:val="21"/>
                      <w:highlight w:val="none"/>
                      <w:lang w:val="en-US" w:eastAsia="zh-CN"/>
                    </w:rPr>
                    <w:t>SSW</w:t>
                  </w:r>
                </w:p>
              </w:tc>
            </w:tr>
            <w:tr w14:paraId="32DD22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0B2D13B1">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0C866AE6">
                  <w:pPr>
                    <w:pStyle w:val="35"/>
                    <w:spacing w:before="0" w:after="0"/>
                    <w:rPr>
                      <w:color w:val="auto"/>
                      <w:sz w:val="21"/>
                      <w:highlight w:val="none"/>
                    </w:rPr>
                  </w:pPr>
                  <w:r>
                    <w:rPr>
                      <w:rFonts w:hint="eastAsia"/>
                      <w:color w:val="auto"/>
                      <w:sz w:val="21"/>
                      <w:highlight w:val="none"/>
                    </w:rPr>
                    <w:t>年平均气温</w:t>
                  </w:r>
                </w:p>
              </w:tc>
              <w:tc>
                <w:tcPr>
                  <w:tcW w:w="2038" w:type="dxa"/>
                  <w:tcBorders>
                    <w:tl2br w:val="nil"/>
                    <w:tr2bl w:val="nil"/>
                  </w:tcBorders>
                  <w:vAlign w:val="center"/>
                </w:tcPr>
                <w:p w14:paraId="073F8799">
                  <w:pPr>
                    <w:pStyle w:val="35"/>
                    <w:spacing w:before="0" w:after="0"/>
                    <w:rPr>
                      <w:color w:val="auto"/>
                      <w:sz w:val="21"/>
                      <w:highlight w:val="none"/>
                    </w:rPr>
                  </w:pPr>
                  <w:r>
                    <w:rPr>
                      <w:color w:val="auto"/>
                      <w:sz w:val="21"/>
                      <w:highlight w:val="none"/>
                    </w:rPr>
                    <w:t>℃</w:t>
                  </w:r>
                </w:p>
              </w:tc>
              <w:tc>
                <w:tcPr>
                  <w:tcW w:w="2597" w:type="dxa"/>
                  <w:tcBorders>
                    <w:tl2br w:val="nil"/>
                    <w:tr2bl w:val="nil"/>
                  </w:tcBorders>
                  <w:vAlign w:val="center"/>
                </w:tcPr>
                <w:p w14:paraId="7F8307F9">
                  <w:pPr>
                    <w:pStyle w:val="35"/>
                    <w:spacing w:before="0" w:after="0"/>
                    <w:rPr>
                      <w:rFonts w:hint="default" w:eastAsia="宋体"/>
                      <w:color w:val="auto"/>
                      <w:sz w:val="21"/>
                      <w:highlight w:val="none"/>
                      <w:lang w:val="en-US" w:eastAsia="zh-CN"/>
                    </w:rPr>
                  </w:pPr>
                  <w:r>
                    <w:rPr>
                      <w:rFonts w:hint="eastAsia" w:eastAsia="宋体"/>
                      <w:color w:val="auto"/>
                      <w:sz w:val="21"/>
                      <w:highlight w:val="none"/>
                      <w:lang w:val="en-US" w:eastAsia="zh-CN"/>
                    </w:rPr>
                    <w:t>10.1</w:t>
                  </w:r>
                </w:p>
              </w:tc>
            </w:tr>
            <w:tr w14:paraId="230E11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7D16896D">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38816F59">
                  <w:pPr>
                    <w:pStyle w:val="35"/>
                    <w:spacing w:before="0" w:after="0"/>
                    <w:rPr>
                      <w:color w:val="auto"/>
                      <w:sz w:val="21"/>
                      <w:highlight w:val="none"/>
                    </w:rPr>
                  </w:pPr>
                  <w:r>
                    <w:rPr>
                      <w:rFonts w:hint="eastAsia"/>
                      <w:color w:val="auto"/>
                      <w:sz w:val="21"/>
                      <w:highlight w:val="none"/>
                    </w:rPr>
                    <w:t>年平均相对湿度</w:t>
                  </w:r>
                </w:p>
              </w:tc>
              <w:tc>
                <w:tcPr>
                  <w:tcW w:w="2038" w:type="dxa"/>
                  <w:tcBorders>
                    <w:tl2br w:val="nil"/>
                    <w:tr2bl w:val="nil"/>
                  </w:tcBorders>
                  <w:vAlign w:val="center"/>
                </w:tcPr>
                <w:p w14:paraId="2E20F84D">
                  <w:pPr>
                    <w:pStyle w:val="35"/>
                    <w:spacing w:before="0" w:after="0"/>
                    <w:rPr>
                      <w:color w:val="auto"/>
                      <w:sz w:val="21"/>
                      <w:highlight w:val="none"/>
                    </w:rPr>
                  </w:pPr>
                  <w:r>
                    <w:rPr>
                      <w:rFonts w:hint="eastAsia"/>
                      <w:color w:val="auto"/>
                      <w:sz w:val="21"/>
                      <w:highlight w:val="none"/>
                    </w:rPr>
                    <w:t>%</w:t>
                  </w:r>
                </w:p>
              </w:tc>
              <w:tc>
                <w:tcPr>
                  <w:tcW w:w="2597" w:type="dxa"/>
                  <w:tcBorders>
                    <w:tl2br w:val="nil"/>
                    <w:tr2bl w:val="nil"/>
                  </w:tcBorders>
                  <w:vAlign w:val="center"/>
                </w:tcPr>
                <w:p w14:paraId="67F9D7DF">
                  <w:pPr>
                    <w:pStyle w:val="35"/>
                    <w:spacing w:before="0" w:after="0"/>
                    <w:rPr>
                      <w:rFonts w:hint="default" w:eastAsia="宋体"/>
                      <w:color w:val="auto"/>
                      <w:sz w:val="21"/>
                      <w:highlight w:val="none"/>
                      <w:lang w:val="en-US" w:eastAsia="zh-CN"/>
                    </w:rPr>
                  </w:pPr>
                  <w:r>
                    <w:rPr>
                      <w:rFonts w:hint="eastAsia"/>
                      <w:color w:val="auto"/>
                      <w:sz w:val="21"/>
                      <w:highlight w:val="none"/>
                      <w:lang w:val="en-US" w:eastAsia="zh-CN"/>
                    </w:rPr>
                    <w:t>63</w:t>
                  </w:r>
                </w:p>
              </w:tc>
            </w:tr>
            <w:tr w14:paraId="70E93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74" w:type="dxa"/>
                  <w:tcBorders>
                    <w:tl2br w:val="nil"/>
                    <w:tr2bl w:val="nil"/>
                  </w:tcBorders>
                  <w:vAlign w:val="center"/>
                </w:tcPr>
                <w:p w14:paraId="63A55EDC">
                  <w:pPr>
                    <w:pStyle w:val="35"/>
                    <w:numPr>
                      <w:ilvl w:val="0"/>
                      <w:numId w:val="34"/>
                    </w:numPr>
                    <w:spacing w:before="0" w:after="0"/>
                    <w:ind w:left="0" w:leftChars="0" w:firstLine="0" w:firstLineChars="0"/>
                    <w:rPr>
                      <w:color w:val="auto"/>
                      <w:sz w:val="21"/>
                      <w:highlight w:val="none"/>
                    </w:rPr>
                  </w:pPr>
                </w:p>
              </w:tc>
              <w:tc>
                <w:tcPr>
                  <w:tcW w:w="2181" w:type="dxa"/>
                  <w:tcBorders>
                    <w:tl2br w:val="nil"/>
                    <w:tr2bl w:val="nil"/>
                  </w:tcBorders>
                  <w:vAlign w:val="center"/>
                </w:tcPr>
                <w:p w14:paraId="68F13DFD">
                  <w:pPr>
                    <w:pStyle w:val="35"/>
                    <w:spacing w:before="0" w:after="0"/>
                    <w:rPr>
                      <w:color w:val="auto"/>
                      <w:sz w:val="21"/>
                      <w:highlight w:val="none"/>
                    </w:rPr>
                  </w:pPr>
                  <w:r>
                    <w:rPr>
                      <w:rFonts w:hint="eastAsia"/>
                      <w:color w:val="auto"/>
                      <w:sz w:val="21"/>
                      <w:highlight w:val="none"/>
                    </w:rPr>
                    <w:t>大气压强</w:t>
                  </w:r>
                </w:p>
              </w:tc>
              <w:tc>
                <w:tcPr>
                  <w:tcW w:w="2038" w:type="dxa"/>
                  <w:tcBorders>
                    <w:tl2br w:val="nil"/>
                    <w:tr2bl w:val="nil"/>
                  </w:tcBorders>
                  <w:vAlign w:val="center"/>
                </w:tcPr>
                <w:p w14:paraId="08826BEA">
                  <w:pPr>
                    <w:pStyle w:val="35"/>
                    <w:spacing w:before="0" w:after="0"/>
                    <w:rPr>
                      <w:color w:val="auto"/>
                      <w:sz w:val="21"/>
                      <w:highlight w:val="none"/>
                    </w:rPr>
                  </w:pPr>
                  <w:r>
                    <w:rPr>
                      <w:rFonts w:hint="eastAsia"/>
                      <w:color w:val="auto"/>
                      <w:sz w:val="21"/>
                      <w:highlight w:val="none"/>
                    </w:rPr>
                    <w:t>a</w:t>
                  </w:r>
                  <w:r>
                    <w:rPr>
                      <w:color w:val="auto"/>
                      <w:sz w:val="21"/>
                      <w:highlight w:val="none"/>
                    </w:rPr>
                    <w:t>tm</w:t>
                  </w:r>
                </w:p>
              </w:tc>
              <w:tc>
                <w:tcPr>
                  <w:tcW w:w="2597" w:type="dxa"/>
                  <w:tcBorders>
                    <w:tl2br w:val="nil"/>
                    <w:tr2bl w:val="nil"/>
                  </w:tcBorders>
                  <w:vAlign w:val="center"/>
                </w:tcPr>
                <w:p w14:paraId="24AA0964">
                  <w:pPr>
                    <w:pStyle w:val="35"/>
                    <w:spacing w:before="0" w:after="0"/>
                    <w:rPr>
                      <w:color w:val="auto"/>
                      <w:sz w:val="21"/>
                      <w:highlight w:val="none"/>
                    </w:rPr>
                  </w:pPr>
                  <w:r>
                    <w:rPr>
                      <w:rFonts w:hint="eastAsia"/>
                      <w:color w:val="auto"/>
                      <w:sz w:val="21"/>
                      <w:highlight w:val="none"/>
                    </w:rPr>
                    <w:t>1.0</w:t>
                  </w:r>
                </w:p>
              </w:tc>
            </w:tr>
          </w:tbl>
          <w:p w14:paraId="0CD8C017">
            <w:pPr>
              <w:ind w:firstLine="480"/>
              <w:rPr>
                <w:color w:val="auto"/>
                <w:highlight w:val="none"/>
              </w:rPr>
            </w:pPr>
            <w:r>
              <w:rPr>
                <w:rFonts w:hint="eastAsia"/>
                <w:color w:val="auto"/>
                <w:highlight w:val="none"/>
              </w:rPr>
              <w:t>（3）</w:t>
            </w:r>
            <w:r>
              <w:rPr>
                <w:color w:val="auto"/>
                <w:highlight w:val="none"/>
              </w:rPr>
              <w:t>预测结果</w:t>
            </w:r>
          </w:p>
          <w:p w14:paraId="02FCB0A4">
            <w:pPr>
              <w:bidi w:val="0"/>
              <w:rPr>
                <w:color w:val="auto"/>
                <w:highlight w:val="none"/>
              </w:rPr>
            </w:pPr>
            <w:r>
              <w:rPr>
                <w:rFonts w:hint="default" w:ascii="Times New Roman" w:hAnsi="Times New Roman" w:eastAsia="宋体" w:cs="Times New Roman"/>
                <w:color w:val="auto"/>
                <w:sz w:val="24"/>
                <w:szCs w:val="24"/>
                <w:highlight w:val="none"/>
              </w:rPr>
              <w:t>本项目各</w:t>
            </w:r>
            <w:r>
              <w:rPr>
                <w:rFonts w:hint="eastAsia" w:ascii="Times New Roman" w:hAnsi="Times New Roman" w:eastAsia="宋体" w:cs="Times New Roman"/>
                <w:color w:val="auto"/>
                <w:sz w:val="24"/>
                <w:szCs w:val="24"/>
                <w:highlight w:val="none"/>
                <w:lang w:val="en-US" w:eastAsia="zh-CN"/>
              </w:rPr>
              <w:t>机械</w:t>
            </w:r>
            <w:r>
              <w:rPr>
                <w:rFonts w:hint="default" w:ascii="Times New Roman" w:hAnsi="Times New Roman" w:eastAsia="宋体" w:cs="Times New Roman"/>
                <w:color w:val="auto"/>
                <w:sz w:val="24"/>
                <w:szCs w:val="24"/>
                <w:highlight w:val="none"/>
              </w:rPr>
              <w:t>设备运行时需依据现场情况启动，无规律可循，同时设备运行基本不同时进行，本次评价根据项目特点及上述公式计算不同距离处设备噪声贡献值的影响</w:t>
            </w:r>
            <w:r>
              <w:rPr>
                <w:color w:val="auto"/>
                <w:highlight w:val="none"/>
              </w:rPr>
              <w:t>：</w:t>
            </w:r>
          </w:p>
          <w:p w14:paraId="2F7D1714">
            <w:pPr>
              <w:numPr>
                <w:ilvl w:val="0"/>
                <w:numId w:val="27"/>
              </w:numPr>
              <w:tabs>
                <w:tab w:val="left" w:pos="0"/>
                <w:tab w:val="left" w:pos="6240"/>
              </w:tabs>
              <w:spacing w:line="480" w:lineRule="exact"/>
              <w:ind w:left="0" w:leftChars="0" w:firstLine="0" w:firstLineChars="0"/>
              <w:jc w:val="center"/>
              <w:rPr>
                <w:rFonts w:hint="eastAsia" w:eastAsia="宋体"/>
                <w:b/>
                <w:bCs/>
                <w:color w:val="auto"/>
                <w:sz w:val="21"/>
                <w:szCs w:val="21"/>
                <w:highlight w:val="none"/>
                <w:lang w:val="en-US" w:eastAsia="zh-CN"/>
              </w:rPr>
            </w:pPr>
            <w:r>
              <w:rPr>
                <w:rFonts w:hint="eastAsia"/>
                <w:b/>
                <w:bCs/>
                <w:color w:val="auto"/>
                <w:sz w:val="21"/>
                <w:szCs w:val="21"/>
                <w:highlight w:val="none"/>
                <w:lang w:val="en-US" w:eastAsia="zh-CN"/>
              </w:rPr>
              <w:t>声源噪声预测结果一览表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692"/>
              <w:gridCol w:w="1309"/>
              <w:gridCol w:w="763"/>
              <w:gridCol w:w="763"/>
              <w:gridCol w:w="763"/>
              <w:gridCol w:w="763"/>
              <w:gridCol w:w="763"/>
              <w:gridCol w:w="763"/>
              <w:gridCol w:w="764"/>
              <w:gridCol w:w="764"/>
            </w:tblGrid>
            <w:tr w14:paraId="468347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vMerge w:val="restart"/>
                  <w:tcBorders>
                    <w:tl2br w:val="nil"/>
                    <w:tr2bl w:val="nil"/>
                  </w:tcBorders>
                  <w:noWrap w:val="0"/>
                  <w:vAlign w:val="center"/>
                </w:tcPr>
                <w:p w14:paraId="2C7FA0B8">
                  <w:pPr>
                    <w:pStyle w:val="35"/>
                    <w:bidi w:val="0"/>
                    <w:rPr>
                      <w:color w:val="auto"/>
                      <w:sz w:val="21"/>
                      <w:szCs w:val="21"/>
                      <w:highlight w:val="none"/>
                    </w:rPr>
                  </w:pPr>
                  <w:r>
                    <w:rPr>
                      <w:color w:val="auto"/>
                      <w:sz w:val="21"/>
                      <w:szCs w:val="21"/>
                      <w:highlight w:val="none"/>
                    </w:rPr>
                    <w:t>序号</w:t>
                  </w:r>
                </w:p>
              </w:tc>
              <w:tc>
                <w:tcPr>
                  <w:tcW w:w="1309" w:type="dxa"/>
                  <w:vMerge w:val="restart"/>
                  <w:tcBorders>
                    <w:tl2br w:val="nil"/>
                    <w:tr2bl w:val="nil"/>
                  </w:tcBorders>
                  <w:noWrap w:val="0"/>
                  <w:vAlign w:val="center"/>
                </w:tcPr>
                <w:p w14:paraId="2916913B">
                  <w:pPr>
                    <w:pStyle w:val="35"/>
                    <w:bidi w:val="0"/>
                    <w:rPr>
                      <w:color w:val="auto"/>
                      <w:sz w:val="21"/>
                      <w:szCs w:val="21"/>
                      <w:highlight w:val="none"/>
                    </w:rPr>
                  </w:pPr>
                  <w:r>
                    <w:rPr>
                      <w:color w:val="auto"/>
                      <w:sz w:val="21"/>
                      <w:szCs w:val="21"/>
                      <w:highlight w:val="none"/>
                    </w:rPr>
                    <w:t>机械名称</w:t>
                  </w:r>
                </w:p>
              </w:tc>
              <w:tc>
                <w:tcPr>
                  <w:tcW w:w="6106" w:type="dxa"/>
                  <w:gridSpan w:val="8"/>
                  <w:tcBorders>
                    <w:tl2br w:val="nil"/>
                    <w:tr2bl w:val="nil"/>
                  </w:tcBorders>
                  <w:noWrap w:val="0"/>
                  <w:vAlign w:val="center"/>
                </w:tcPr>
                <w:p w14:paraId="2A43514E">
                  <w:pPr>
                    <w:pStyle w:val="35"/>
                    <w:keepNext w:val="0"/>
                    <w:keepLines w:val="0"/>
                    <w:pageBreakBefore w:val="0"/>
                    <w:widowControl w:val="0"/>
                    <w:kinsoku/>
                    <w:wordWrap/>
                    <w:overflowPunct/>
                    <w:topLinePunct w:val="0"/>
                    <w:autoSpaceDE/>
                    <w:autoSpaceDN/>
                    <w:bidi w:val="0"/>
                    <w:adjustRightInd/>
                    <w:snapToGrid w:val="0"/>
                    <w:spacing w:before="0" w:after="0"/>
                    <w:textAlignment w:val="auto"/>
                    <w:rPr>
                      <w:color w:val="auto"/>
                      <w:sz w:val="21"/>
                      <w:szCs w:val="21"/>
                      <w:highlight w:val="none"/>
                    </w:rPr>
                  </w:pPr>
                  <w:r>
                    <w:rPr>
                      <w:color w:val="auto"/>
                      <w:sz w:val="21"/>
                      <w:szCs w:val="21"/>
                      <w:highlight w:val="none"/>
                    </w:rPr>
                    <w:t>不同距离处的噪声预测值[dB（A）]</w:t>
                  </w:r>
                </w:p>
              </w:tc>
            </w:tr>
            <w:tr w14:paraId="3A711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vMerge w:val="continue"/>
                  <w:tcBorders>
                    <w:tl2br w:val="nil"/>
                    <w:tr2bl w:val="nil"/>
                  </w:tcBorders>
                  <w:noWrap w:val="0"/>
                  <w:vAlign w:val="center"/>
                </w:tcPr>
                <w:p w14:paraId="43D1AC6C">
                  <w:pPr>
                    <w:pStyle w:val="35"/>
                    <w:bidi w:val="0"/>
                    <w:rPr>
                      <w:color w:val="auto"/>
                      <w:sz w:val="21"/>
                      <w:szCs w:val="21"/>
                      <w:highlight w:val="none"/>
                    </w:rPr>
                  </w:pPr>
                </w:p>
              </w:tc>
              <w:tc>
                <w:tcPr>
                  <w:tcW w:w="1309" w:type="dxa"/>
                  <w:vMerge w:val="continue"/>
                  <w:tcBorders>
                    <w:tl2br w:val="nil"/>
                    <w:tr2bl w:val="nil"/>
                  </w:tcBorders>
                  <w:noWrap w:val="0"/>
                  <w:vAlign w:val="center"/>
                </w:tcPr>
                <w:p w14:paraId="065A56D3">
                  <w:pPr>
                    <w:pStyle w:val="35"/>
                    <w:bidi w:val="0"/>
                    <w:rPr>
                      <w:color w:val="auto"/>
                      <w:sz w:val="21"/>
                      <w:szCs w:val="21"/>
                      <w:highlight w:val="none"/>
                    </w:rPr>
                  </w:pPr>
                </w:p>
              </w:tc>
              <w:tc>
                <w:tcPr>
                  <w:tcW w:w="763" w:type="dxa"/>
                  <w:tcBorders>
                    <w:tl2br w:val="nil"/>
                    <w:tr2bl w:val="nil"/>
                  </w:tcBorders>
                  <w:noWrap w:val="0"/>
                  <w:vAlign w:val="center"/>
                </w:tcPr>
                <w:p w14:paraId="7F40B0AF">
                  <w:pPr>
                    <w:pStyle w:val="35"/>
                    <w:bidi w:val="0"/>
                    <w:rPr>
                      <w:color w:val="auto"/>
                      <w:sz w:val="21"/>
                      <w:szCs w:val="21"/>
                      <w:highlight w:val="none"/>
                    </w:rPr>
                  </w:pPr>
                  <w:r>
                    <w:rPr>
                      <w:color w:val="auto"/>
                      <w:sz w:val="21"/>
                      <w:szCs w:val="21"/>
                      <w:highlight w:val="none"/>
                    </w:rPr>
                    <w:t>5m</w:t>
                  </w:r>
                </w:p>
              </w:tc>
              <w:tc>
                <w:tcPr>
                  <w:tcW w:w="763" w:type="dxa"/>
                  <w:tcBorders>
                    <w:tl2br w:val="nil"/>
                    <w:tr2bl w:val="nil"/>
                  </w:tcBorders>
                  <w:noWrap w:val="0"/>
                  <w:vAlign w:val="center"/>
                </w:tcPr>
                <w:p w14:paraId="55D4AB49">
                  <w:pPr>
                    <w:pStyle w:val="35"/>
                    <w:bidi w:val="0"/>
                    <w:rPr>
                      <w:color w:val="auto"/>
                      <w:sz w:val="21"/>
                      <w:szCs w:val="21"/>
                      <w:highlight w:val="none"/>
                    </w:rPr>
                  </w:pPr>
                  <w:r>
                    <w:rPr>
                      <w:color w:val="auto"/>
                      <w:sz w:val="21"/>
                      <w:szCs w:val="21"/>
                      <w:highlight w:val="none"/>
                    </w:rPr>
                    <w:t>10m</w:t>
                  </w:r>
                </w:p>
              </w:tc>
              <w:tc>
                <w:tcPr>
                  <w:tcW w:w="763" w:type="dxa"/>
                  <w:tcBorders>
                    <w:tl2br w:val="nil"/>
                    <w:tr2bl w:val="nil"/>
                  </w:tcBorders>
                  <w:noWrap w:val="0"/>
                  <w:vAlign w:val="center"/>
                </w:tcPr>
                <w:p w14:paraId="3AA50381">
                  <w:pPr>
                    <w:pStyle w:val="35"/>
                    <w:bidi w:val="0"/>
                    <w:rPr>
                      <w:color w:val="auto"/>
                      <w:sz w:val="21"/>
                      <w:szCs w:val="21"/>
                      <w:highlight w:val="none"/>
                    </w:rPr>
                  </w:pPr>
                  <w:r>
                    <w:rPr>
                      <w:color w:val="auto"/>
                      <w:sz w:val="21"/>
                      <w:szCs w:val="21"/>
                      <w:highlight w:val="none"/>
                    </w:rPr>
                    <w:t>20m</w:t>
                  </w:r>
                </w:p>
              </w:tc>
              <w:tc>
                <w:tcPr>
                  <w:tcW w:w="763" w:type="dxa"/>
                  <w:tcBorders>
                    <w:tl2br w:val="nil"/>
                    <w:tr2bl w:val="nil"/>
                  </w:tcBorders>
                  <w:noWrap w:val="0"/>
                  <w:vAlign w:val="center"/>
                </w:tcPr>
                <w:p w14:paraId="6C6F7607">
                  <w:pPr>
                    <w:pStyle w:val="35"/>
                    <w:bidi w:val="0"/>
                    <w:rPr>
                      <w:color w:val="auto"/>
                      <w:sz w:val="21"/>
                      <w:szCs w:val="21"/>
                      <w:highlight w:val="none"/>
                    </w:rPr>
                  </w:pPr>
                  <w:r>
                    <w:rPr>
                      <w:color w:val="auto"/>
                      <w:sz w:val="21"/>
                      <w:szCs w:val="21"/>
                      <w:highlight w:val="none"/>
                    </w:rPr>
                    <w:t>30m</w:t>
                  </w:r>
                </w:p>
              </w:tc>
              <w:tc>
                <w:tcPr>
                  <w:tcW w:w="763" w:type="dxa"/>
                  <w:tcBorders>
                    <w:tl2br w:val="nil"/>
                    <w:tr2bl w:val="nil"/>
                  </w:tcBorders>
                  <w:noWrap w:val="0"/>
                  <w:vAlign w:val="center"/>
                </w:tcPr>
                <w:p w14:paraId="0962CA48">
                  <w:pPr>
                    <w:pStyle w:val="35"/>
                    <w:bidi w:val="0"/>
                    <w:rPr>
                      <w:color w:val="auto"/>
                      <w:sz w:val="21"/>
                      <w:szCs w:val="21"/>
                      <w:highlight w:val="none"/>
                    </w:rPr>
                  </w:pPr>
                  <w:r>
                    <w:rPr>
                      <w:color w:val="auto"/>
                      <w:sz w:val="21"/>
                      <w:szCs w:val="21"/>
                      <w:highlight w:val="none"/>
                    </w:rPr>
                    <w:t>40m</w:t>
                  </w:r>
                </w:p>
              </w:tc>
              <w:tc>
                <w:tcPr>
                  <w:tcW w:w="763" w:type="dxa"/>
                  <w:tcBorders>
                    <w:tl2br w:val="nil"/>
                    <w:tr2bl w:val="nil"/>
                  </w:tcBorders>
                  <w:noWrap w:val="0"/>
                  <w:vAlign w:val="center"/>
                </w:tcPr>
                <w:p w14:paraId="6FF4F773">
                  <w:pPr>
                    <w:pStyle w:val="35"/>
                    <w:bidi w:val="0"/>
                    <w:rPr>
                      <w:color w:val="auto"/>
                      <w:sz w:val="21"/>
                      <w:szCs w:val="21"/>
                      <w:highlight w:val="none"/>
                    </w:rPr>
                  </w:pPr>
                  <w:r>
                    <w:rPr>
                      <w:color w:val="auto"/>
                      <w:sz w:val="21"/>
                      <w:szCs w:val="21"/>
                      <w:highlight w:val="none"/>
                    </w:rPr>
                    <w:t>50m</w:t>
                  </w:r>
                </w:p>
              </w:tc>
              <w:tc>
                <w:tcPr>
                  <w:tcW w:w="764" w:type="dxa"/>
                  <w:tcBorders>
                    <w:tl2br w:val="nil"/>
                    <w:tr2bl w:val="nil"/>
                  </w:tcBorders>
                  <w:noWrap w:val="0"/>
                  <w:vAlign w:val="center"/>
                </w:tcPr>
                <w:p w14:paraId="1D8D3C91">
                  <w:pPr>
                    <w:pStyle w:val="35"/>
                    <w:bidi w:val="0"/>
                    <w:rPr>
                      <w:color w:val="auto"/>
                      <w:sz w:val="21"/>
                      <w:szCs w:val="21"/>
                      <w:highlight w:val="none"/>
                    </w:rPr>
                  </w:pPr>
                  <w:r>
                    <w:rPr>
                      <w:color w:val="auto"/>
                      <w:sz w:val="21"/>
                      <w:szCs w:val="21"/>
                      <w:highlight w:val="none"/>
                    </w:rPr>
                    <w:t>100m</w:t>
                  </w:r>
                </w:p>
              </w:tc>
              <w:tc>
                <w:tcPr>
                  <w:tcW w:w="764" w:type="dxa"/>
                  <w:tcBorders>
                    <w:tl2br w:val="nil"/>
                    <w:tr2bl w:val="nil"/>
                  </w:tcBorders>
                  <w:noWrap w:val="0"/>
                  <w:vAlign w:val="center"/>
                </w:tcPr>
                <w:p w14:paraId="59F24CDD">
                  <w:pPr>
                    <w:pStyle w:val="35"/>
                    <w:bidi w:val="0"/>
                    <w:rPr>
                      <w:color w:val="auto"/>
                      <w:sz w:val="21"/>
                      <w:szCs w:val="21"/>
                      <w:highlight w:val="none"/>
                    </w:rPr>
                  </w:pPr>
                  <w:r>
                    <w:rPr>
                      <w:color w:val="auto"/>
                      <w:sz w:val="21"/>
                      <w:szCs w:val="21"/>
                      <w:highlight w:val="none"/>
                    </w:rPr>
                    <w:t>200m</w:t>
                  </w:r>
                </w:p>
              </w:tc>
            </w:tr>
            <w:tr w14:paraId="4FDDCA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1DB32E26">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4776340D">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sz w:val="21"/>
                      <w:szCs w:val="21"/>
                      <w:highlight w:val="none"/>
                    </w:rPr>
                  </w:pPr>
                  <w:r>
                    <w:rPr>
                      <w:rFonts w:hint="eastAsia" w:ascii="Times New Roman" w:hAnsi="Times New Roman" w:cs="Times New Roman"/>
                      <w:bCs/>
                      <w:color w:val="auto"/>
                      <w:sz w:val="21"/>
                      <w:szCs w:val="21"/>
                      <w:highlight w:val="none"/>
                      <w:lang w:val="en-US" w:eastAsia="zh-CN"/>
                    </w:rPr>
                    <w:t>振动压实机</w:t>
                  </w:r>
                </w:p>
              </w:tc>
              <w:tc>
                <w:tcPr>
                  <w:tcW w:w="763" w:type="dxa"/>
                  <w:tcBorders>
                    <w:tl2br w:val="nil"/>
                    <w:tr2bl w:val="nil"/>
                  </w:tcBorders>
                  <w:noWrap w:val="0"/>
                  <w:vAlign w:val="center"/>
                </w:tcPr>
                <w:p w14:paraId="3BEC7700">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64 </w:t>
                  </w:r>
                </w:p>
              </w:tc>
              <w:tc>
                <w:tcPr>
                  <w:tcW w:w="763" w:type="dxa"/>
                  <w:tcBorders>
                    <w:tl2br w:val="nil"/>
                    <w:tr2bl w:val="nil"/>
                  </w:tcBorders>
                  <w:noWrap w:val="0"/>
                  <w:vAlign w:val="center"/>
                </w:tcPr>
                <w:p w14:paraId="6DFEF200">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58 </w:t>
                  </w:r>
                </w:p>
              </w:tc>
              <w:tc>
                <w:tcPr>
                  <w:tcW w:w="763" w:type="dxa"/>
                  <w:tcBorders>
                    <w:tl2br w:val="nil"/>
                    <w:tr2bl w:val="nil"/>
                  </w:tcBorders>
                  <w:noWrap w:val="0"/>
                  <w:vAlign w:val="center"/>
                </w:tcPr>
                <w:p w14:paraId="4C9A0AA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52 </w:t>
                  </w:r>
                </w:p>
              </w:tc>
              <w:tc>
                <w:tcPr>
                  <w:tcW w:w="763" w:type="dxa"/>
                  <w:tcBorders>
                    <w:tl2br w:val="nil"/>
                    <w:tr2bl w:val="nil"/>
                  </w:tcBorders>
                  <w:noWrap w:val="0"/>
                  <w:vAlign w:val="center"/>
                </w:tcPr>
                <w:p w14:paraId="4A8C54EE">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48 </w:t>
                  </w:r>
                </w:p>
              </w:tc>
              <w:tc>
                <w:tcPr>
                  <w:tcW w:w="763" w:type="dxa"/>
                  <w:tcBorders>
                    <w:tl2br w:val="nil"/>
                    <w:tr2bl w:val="nil"/>
                  </w:tcBorders>
                  <w:noWrap w:val="0"/>
                  <w:vAlign w:val="center"/>
                </w:tcPr>
                <w:p w14:paraId="5D394438">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46 </w:t>
                  </w:r>
                </w:p>
              </w:tc>
              <w:tc>
                <w:tcPr>
                  <w:tcW w:w="763" w:type="dxa"/>
                  <w:tcBorders>
                    <w:tl2br w:val="nil"/>
                    <w:tr2bl w:val="nil"/>
                  </w:tcBorders>
                  <w:noWrap w:val="0"/>
                  <w:vAlign w:val="center"/>
                </w:tcPr>
                <w:p w14:paraId="647095A8">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44 </w:t>
                  </w:r>
                </w:p>
              </w:tc>
              <w:tc>
                <w:tcPr>
                  <w:tcW w:w="764" w:type="dxa"/>
                  <w:tcBorders>
                    <w:tl2br w:val="nil"/>
                    <w:tr2bl w:val="nil"/>
                  </w:tcBorders>
                  <w:noWrap w:val="0"/>
                  <w:vAlign w:val="center"/>
                </w:tcPr>
                <w:p w14:paraId="5D9F5251">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38 </w:t>
                  </w:r>
                </w:p>
              </w:tc>
              <w:tc>
                <w:tcPr>
                  <w:tcW w:w="764" w:type="dxa"/>
                  <w:tcBorders>
                    <w:tl2br w:val="nil"/>
                    <w:tr2bl w:val="nil"/>
                  </w:tcBorders>
                  <w:noWrap w:val="0"/>
                  <w:vAlign w:val="center"/>
                </w:tcPr>
                <w:p w14:paraId="3D98657D">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32 </w:t>
                  </w:r>
                </w:p>
              </w:tc>
            </w:tr>
            <w:tr w14:paraId="6A419D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6F78E266">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76DFF52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sz w:val="21"/>
                      <w:szCs w:val="21"/>
                      <w:highlight w:val="none"/>
                    </w:rPr>
                  </w:pPr>
                  <w:r>
                    <w:rPr>
                      <w:rFonts w:hint="eastAsia" w:ascii="Times New Roman" w:hAnsi="Times New Roman" w:cs="Times New Roman"/>
                      <w:bCs/>
                      <w:color w:val="auto"/>
                      <w:sz w:val="21"/>
                      <w:szCs w:val="21"/>
                      <w:highlight w:val="none"/>
                      <w:lang w:val="en-US" w:eastAsia="zh-CN"/>
                    </w:rPr>
                    <w:t>装载机</w:t>
                  </w:r>
                </w:p>
              </w:tc>
              <w:tc>
                <w:tcPr>
                  <w:tcW w:w="763" w:type="dxa"/>
                  <w:tcBorders>
                    <w:tl2br w:val="nil"/>
                    <w:tr2bl w:val="nil"/>
                  </w:tcBorders>
                  <w:noWrap w:val="0"/>
                  <w:vAlign w:val="center"/>
                </w:tcPr>
                <w:p w14:paraId="793A2E99">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61 </w:t>
                  </w:r>
                </w:p>
              </w:tc>
              <w:tc>
                <w:tcPr>
                  <w:tcW w:w="763" w:type="dxa"/>
                  <w:tcBorders>
                    <w:tl2br w:val="nil"/>
                    <w:tr2bl w:val="nil"/>
                  </w:tcBorders>
                  <w:noWrap w:val="0"/>
                  <w:vAlign w:val="center"/>
                </w:tcPr>
                <w:p w14:paraId="662BD035">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55 </w:t>
                  </w:r>
                </w:p>
              </w:tc>
              <w:tc>
                <w:tcPr>
                  <w:tcW w:w="763" w:type="dxa"/>
                  <w:tcBorders>
                    <w:tl2br w:val="nil"/>
                    <w:tr2bl w:val="nil"/>
                  </w:tcBorders>
                  <w:noWrap w:val="0"/>
                  <w:vAlign w:val="center"/>
                </w:tcPr>
                <w:p w14:paraId="1D002665">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49 </w:t>
                  </w:r>
                </w:p>
              </w:tc>
              <w:tc>
                <w:tcPr>
                  <w:tcW w:w="763" w:type="dxa"/>
                  <w:tcBorders>
                    <w:tl2br w:val="nil"/>
                    <w:tr2bl w:val="nil"/>
                  </w:tcBorders>
                  <w:noWrap w:val="0"/>
                  <w:vAlign w:val="center"/>
                </w:tcPr>
                <w:p w14:paraId="1532C9F1">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45 </w:t>
                  </w:r>
                </w:p>
              </w:tc>
              <w:tc>
                <w:tcPr>
                  <w:tcW w:w="763" w:type="dxa"/>
                  <w:tcBorders>
                    <w:tl2br w:val="nil"/>
                    <w:tr2bl w:val="nil"/>
                  </w:tcBorders>
                  <w:noWrap w:val="0"/>
                  <w:vAlign w:val="center"/>
                </w:tcPr>
                <w:p w14:paraId="2C8B7806">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43 </w:t>
                  </w:r>
                </w:p>
              </w:tc>
              <w:tc>
                <w:tcPr>
                  <w:tcW w:w="763" w:type="dxa"/>
                  <w:tcBorders>
                    <w:tl2br w:val="nil"/>
                    <w:tr2bl w:val="nil"/>
                  </w:tcBorders>
                  <w:noWrap w:val="0"/>
                  <w:vAlign w:val="center"/>
                </w:tcPr>
                <w:p w14:paraId="7FC1D8A7">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41 </w:t>
                  </w:r>
                </w:p>
              </w:tc>
              <w:tc>
                <w:tcPr>
                  <w:tcW w:w="764" w:type="dxa"/>
                  <w:tcBorders>
                    <w:tl2br w:val="nil"/>
                    <w:tr2bl w:val="nil"/>
                  </w:tcBorders>
                  <w:noWrap w:val="0"/>
                  <w:vAlign w:val="center"/>
                </w:tcPr>
                <w:p w14:paraId="543A3E0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35 </w:t>
                  </w:r>
                </w:p>
              </w:tc>
              <w:tc>
                <w:tcPr>
                  <w:tcW w:w="764" w:type="dxa"/>
                  <w:tcBorders>
                    <w:tl2br w:val="nil"/>
                    <w:tr2bl w:val="nil"/>
                  </w:tcBorders>
                  <w:noWrap w:val="0"/>
                  <w:vAlign w:val="center"/>
                </w:tcPr>
                <w:p w14:paraId="45DFED5A">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29 </w:t>
                  </w:r>
                </w:p>
              </w:tc>
            </w:tr>
            <w:tr w14:paraId="27434E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7C8D2DDB">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0218CA38">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color w:val="auto"/>
                      <w:sz w:val="21"/>
                      <w:szCs w:val="21"/>
                      <w:highlight w:val="none"/>
                    </w:rPr>
                  </w:pPr>
                  <w:r>
                    <w:rPr>
                      <w:rFonts w:hint="eastAsia" w:ascii="Times New Roman" w:hAnsi="Times New Roman" w:cs="Times New Roman"/>
                      <w:bCs/>
                      <w:color w:val="auto"/>
                      <w:sz w:val="21"/>
                      <w:szCs w:val="21"/>
                      <w:highlight w:val="none"/>
                      <w:lang w:val="en-US" w:eastAsia="zh-CN"/>
                    </w:rPr>
                    <w:t>推土机</w:t>
                  </w:r>
                </w:p>
              </w:tc>
              <w:tc>
                <w:tcPr>
                  <w:tcW w:w="763" w:type="dxa"/>
                  <w:tcBorders>
                    <w:tl2br w:val="nil"/>
                    <w:tr2bl w:val="nil"/>
                  </w:tcBorders>
                  <w:noWrap w:val="0"/>
                  <w:vAlign w:val="center"/>
                </w:tcPr>
                <w:p w14:paraId="14CE82B9">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64 </w:t>
                  </w:r>
                </w:p>
              </w:tc>
              <w:tc>
                <w:tcPr>
                  <w:tcW w:w="763" w:type="dxa"/>
                  <w:tcBorders>
                    <w:tl2br w:val="nil"/>
                    <w:tr2bl w:val="nil"/>
                  </w:tcBorders>
                  <w:noWrap w:val="0"/>
                  <w:vAlign w:val="center"/>
                </w:tcPr>
                <w:p w14:paraId="2122CCBC">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58 </w:t>
                  </w:r>
                </w:p>
              </w:tc>
              <w:tc>
                <w:tcPr>
                  <w:tcW w:w="763" w:type="dxa"/>
                  <w:tcBorders>
                    <w:tl2br w:val="nil"/>
                    <w:tr2bl w:val="nil"/>
                  </w:tcBorders>
                  <w:noWrap w:val="0"/>
                  <w:vAlign w:val="center"/>
                </w:tcPr>
                <w:p w14:paraId="6BB07E72">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52 </w:t>
                  </w:r>
                </w:p>
              </w:tc>
              <w:tc>
                <w:tcPr>
                  <w:tcW w:w="763" w:type="dxa"/>
                  <w:tcBorders>
                    <w:tl2br w:val="nil"/>
                    <w:tr2bl w:val="nil"/>
                  </w:tcBorders>
                  <w:noWrap w:val="0"/>
                  <w:vAlign w:val="center"/>
                </w:tcPr>
                <w:p w14:paraId="7A150FFB">
                  <w:pPr>
                    <w:pStyle w:val="35"/>
                    <w:bidi w:val="0"/>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 xml:space="preserve">48 </w:t>
                  </w:r>
                </w:p>
              </w:tc>
              <w:tc>
                <w:tcPr>
                  <w:tcW w:w="763" w:type="dxa"/>
                  <w:tcBorders>
                    <w:tl2br w:val="nil"/>
                    <w:tr2bl w:val="nil"/>
                  </w:tcBorders>
                  <w:noWrap w:val="0"/>
                  <w:vAlign w:val="center"/>
                </w:tcPr>
                <w:p w14:paraId="293DC649">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46 </w:t>
                  </w:r>
                </w:p>
              </w:tc>
              <w:tc>
                <w:tcPr>
                  <w:tcW w:w="763" w:type="dxa"/>
                  <w:tcBorders>
                    <w:tl2br w:val="nil"/>
                    <w:tr2bl w:val="nil"/>
                  </w:tcBorders>
                  <w:noWrap w:val="0"/>
                  <w:vAlign w:val="center"/>
                </w:tcPr>
                <w:p w14:paraId="0A8F843D">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44 </w:t>
                  </w:r>
                </w:p>
              </w:tc>
              <w:tc>
                <w:tcPr>
                  <w:tcW w:w="764" w:type="dxa"/>
                  <w:tcBorders>
                    <w:tl2br w:val="nil"/>
                    <w:tr2bl w:val="nil"/>
                  </w:tcBorders>
                  <w:noWrap w:val="0"/>
                  <w:vAlign w:val="center"/>
                </w:tcPr>
                <w:p w14:paraId="7DC4ADDF">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38 </w:t>
                  </w:r>
                </w:p>
              </w:tc>
              <w:tc>
                <w:tcPr>
                  <w:tcW w:w="764" w:type="dxa"/>
                  <w:tcBorders>
                    <w:tl2br w:val="nil"/>
                    <w:tr2bl w:val="nil"/>
                  </w:tcBorders>
                  <w:noWrap w:val="0"/>
                  <w:vAlign w:val="center"/>
                </w:tcPr>
                <w:p w14:paraId="57DCB005">
                  <w:pPr>
                    <w:pStyle w:val="35"/>
                    <w:bidi w:val="0"/>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 xml:space="preserve">32 </w:t>
                  </w:r>
                </w:p>
              </w:tc>
            </w:tr>
            <w:tr w14:paraId="1AB610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5E9E7673">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2D893A30">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洒水车</w:t>
                  </w:r>
                </w:p>
              </w:tc>
              <w:tc>
                <w:tcPr>
                  <w:tcW w:w="763" w:type="dxa"/>
                  <w:tcBorders>
                    <w:tl2br w:val="nil"/>
                    <w:tr2bl w:val="nil"/>
                  </w:tcBorders>
                  <w:noWrap w:val="0"/>
                  <w:vAlign w:val="center"/>
                </w:tcPr>
                <w:p w14:paraId="582AEC7B">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61 </w:t>
                  </w:r>
                </w:p>
              </w:tc>
              <w:tc>
                <w:tcPr>
                  <w:tcW w:w="763" w:type="dxa"/>
                  <w:tcBorders>
                    <w:tl2br w:val="nil"/>
                    <w:tr2bl w:val="nil"/>
                  </w:tcBorders>
                  <w:noWrap w:val="0"/>
                  <w:vAlign w:val="center"/>
                </w:tcPr>
                <w:p w14:paraId="5791F52D">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55 </w:t>
                  </w:r>
                </w:p>
              </w:tc>
              <w:tc>
                <w:tcPr>
                  <w:tcW w:w="763" w:type="dxa"/>
                  <w:tcBorders>
                    <w:tl2br w:val="nil"/>
                    <w:tr2bl w:val="nil"/>
                  </w:tcBorders>
                  <w:noWrap w:val="0"/>
                  <w:vAlign w:val="center"/>
                </w:tcPr>
                <w:p w14:paraId="3491E74C">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49 </w:t>
                  </w:r>
                </w:p>
              </w:tc>
              <w:tc>
                <w:tcPr>
                  <w:tcW w:w="763" w:type="dxa"/>
                  <w:tcBorders>
                    <w:tl2br w:val="nil"/>
                    <w:tr2bl w:val="nil"/>
                  </w:tcBorders>
                  <w:noWrap w:val="0"/>
                  <w:vAlign w:val="center"/>
                </w:tcPr>
                <w:p w14:paraId="611708FC">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45 </w:t>
                  </w:r>
                </w:p>
              </w:tc>
              <w:tc>
                <w:tcPr>
                  <w:tcW w:w="763" w:type="dxa"/>
                  <w:tcBorders>
                    <w:tl2br w:val="nil"/>
                    <w:tr2bl w:val="nil"/>
                  </w:tcBorders>
                  <w:noWrap w:val="0"/>
                  <w:vAlign w:val="center"/>
                </w:tcPr>
                <w:p w14:paraId="081714D9">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43 </w:t>
                  </w:r>
                </w:p>
              </w:tc>
              <w:tc>
                <w:tcPr>
                  <w:tcW w:w="763" w:type="dxa"/>
                  <w:tcBorders>
                    <w:tl2br w:val="nil"/>
                    <w:tr2bl w:val="nil"/>
                  </w:tcBorders>
                  <w:noWrap w:val="0"/>
                  <w:vAlign w:val="center"/>
                </w:tcPr>
                <w:p w14:paraId="4B4F8E74">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41 </w:t>
                  </w:r>
                </w:p>
              </w:tc>
              <w:tc>
                <w:tcPr>
                  <w:tcW w:w="764" w:type="dxa"/>
                  <w:tcBorders>
                    <w:tl2br w:val="nil"/>
                    <w:tr2bl w:val="nil"/>
                  </w:tcBorders>
                  <w:noWrap w:val="0"/>
                  <w:vAlign w:val="center"/>
                </w:tcPr>
                <w:p w14:paraId="58F7CAA7">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35 </w:t>
                  </w:r>
                </w:p>
              </w:tc>
              <w:tc>
                <w:tcPr>
                  <w:tcW w:w="764" w:type="dxa"/>
                  <w:tcBorders>
                    <w:tl2br w:val="nil"/>
                    <w:tr2bl w:val="nil"/>
                  </w:tcBorders>
                  <w:noWrap w:val="0"/>
                  <w:vAlign w:val="center"/>
                </w:tcPr>
                <w:p w14:paraId="14BE5B1F">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29 </w:t>
                  </w:r>
                </w:p>
              </w:tc>
            </w:tr>
            <w:tr w14:paraId="3D5C14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692" w:type="dxa"/>
                  <w:tcBorders>
                    <w:tl2br w:val="nil"/>
                    <w:tr2bl w:val="nil"/>
                  </w:tcBorders>
                  <w:noWrap w:val="0"/>
                  <w:vAlign w:val="center"/>
                </w:tcPr>
                <w:p w14:paraId="4A412636">
                  <w:pPr>
                    <w:pStyle w:val="35"/>
                    <w:numPr>
                      <w:ilvl w:val="0"/>
                      <w:numId w:val="35"/>
                    </w:numPr>
                    <w:bidi w:val="0"/>
                    <w:ind w:left="0" w:leftChars="0" w:firstLine="0" w:firstLineChars="0"/>
                    <w:rPr>
                      <w:color w:val="auto"/>
                      <w:sz w:val="21"/>
                      <w:szCs w:val="21"/>
                      <w:highlight w:val="none"/>
                    </w:rPr>
                  </w:pPr>
                </w:p>
              </w:tc>
              <w:tc>
                <w:tcPr>
                  <w:tcW w:w="1309" w:type="dxa"/>
                  <w:tcBorders>
                    <w:tl2br w:val="nil"/>
                    <w:tr2bl w:val="nil"/>
                  </w:tcBorders>
                  <w:noWrap w:val="0"/>
                  <w:vAlign w:val="center"/>
                </w:tcPr>
                <w:p w14:paraId="0A0B4EBA">
                  <w:pPr>
                    <w:pStyle w:val="48"/>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雾炮</w:t>
                  </w:r>
                </w:p>
              </w:tc>
              <w:tc>
                <w:tcPr>
                  <w:tcW w:w="763" w:type="dxa"/>
                  <w:tcBorders>
                    <w:tl2br w:val="nil"/>
                    <w:tr2bl w:val="nil"/>
                  </w:tcBorders>
                  <w:noWrap w:val="0"/>
                  <w:vAlign w:val="center"/>
                </w:tcPr>
                <w:p w14:paraId="7D043685">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66 </w:t>
                  </w:r>
                </w:p>
              </w:tc>
              <w:tc>
                <w:tcPr>
                  <w:tcW w:w="763" w:type="dxa"/>
                  <w:tcBorders>
                    <w:tl2br w:val="nil"/>
                    <w:tr2bl w:val="nil"/>
                  </w:tcBorders>
                  <w:noWrap w:val="0"/>
                  <w:vAlign w:val="center"/>
                </w:tcPr>
                <w:p w14:paraId="59F7361F">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60 </w:t>
                  </w:r>
                </w:p>
              </w:tc>
              <w:tc>
                <w:tcPr>
                  <w:tcW w:w="763" w:type="dxa"/>
                  <w:tcBorders>
                    <w:tl2br w:val="nil"/>
                    <w:tr2bl w:val="nil"/>
                  </w:tcBorders>
                  <w:noWrap w:val="0"/>
                  <w:vAlign w:val="center"/>
                </w:tcPr>
                <w:p w14:paraId="0EDBF6AC">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54 </w:t>
                  </w:r>
                </w:p>
              </w:tc>
              <w:tc>
                <w:tcPr>
                  <w:tcW w:w="763" w:type="dxa"/>
                  <w:tcBorders>
                    <w:tl2br w:val="nil"/>
                    <w:tr2bl w:val="nil"/>
                  </w:tcBorders>
                  <w:noWrap w:val="0"/>
                  <w:vAlign w:val="center"/>
                </w:tcPr>
                <w:p w14:paraId="31B0F76F">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50 </w:t>
                  </w:r>
                </w:p>
              </w:tc>
              <w:tc>
                <w:tcPr>
                  <w:tcW w:w="763" w:type="dxa"/>
                  <w:tcBorders>
                    <w:tl2br w:val="nil"/>
                    <w:tr2bl w:val="nil"/>
                  </w:tcBorders>
                  <w:noWrap w:val="0"/>
                  <w:vAlign w:val="center"/>
                </w:tcPr>
                <w:p w14:paraId="52B0CC84">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48 </w:t>
                  </w:r>
                </w:p>
              </w:tc>
              <w:tc>
                <w:tcPr>
                  <w:tcW w:w="763" w:type="dxa"/>
                  <w:tcBorders>
                    <w:tl2br w:val="nil"/>
                    <w:tr2bl w:val="nil"/>
                  </w:tcBorders>
                  <w:noWrap w:val="0"/>
                  <w:vAlign w:val="center"/>
                </w:tcPr>
                <w:p w14:paraId="1AE5F1B8">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46 </w:t>
                  </w:r>
                </w:p>
              </w:tc>
              <w:tc>
                <w:tcPr>
                  <w:tcW w:w="764" w:type="dxa"/>
                  <w:tcBorders>
                    <w:tl2br w:val="nil"/>
                    <w:tr2bl w:val="nil"/>
                  </w:tcBorders>
                  <w:noWrap w:val="0"/>
                  <w:vAlign w:val="center"/>
                </w:tcPr>
                <w:p w14:paraId="4410E350">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40 </w:t>
                  </w:r>
                </w:p>
              </w:tc>
              <w:tc>
                <w:tcPr>
                  <w:tcW w:w="764" w:type="dxa"/>
                  <w:tcBorders>
                    <w:tl2br w:val="nil"/>
                    <w:tr2bl w:val="nil"/>
                  </w:tcBorders>
                  <w:noWrap w:val="0"/>
                  <w:vAlign w:val="center"/>
                </w:tcPr>
                <w:p w14:paraId="563F071C">
                  <w:pPr>
                    <w:pStyle w:val="35"/>
                    <w:bidi w:val="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34 </w:t>
                  </w:r>
                </w:p>
              </w:tc>
            </w:tr>
          </w:tbl>
          <w:p w14:paraId="63031A20">
            <w:pPr>
              <w:bidi w:val="0"/>
              <w:ind w:left="0" w:leftChars="0" w:firstLine="0" w:firstLineChars="0"/>
              <w:rPr>
                <w:rFonts w:hint="default" w:eastAsia="宋体"/>
                <w:b/>
                <w:bCs/>
                <w:color w:val="auto"/>
                <w:highlight w:val="none"/>
                <w:lang w:val="en-US" w:eastAsia="zh-CN"/>
              </w:rPr>
            </w:pPr>
            <w:r>
              <w:rPr>
                <w:rFonts w:hint="eastAsia"/>
                <w:b/>
                <w:bCs/>
                <w:color w:val="auto"/>
                <w:highlight w:val="none"/>
                <w:lang w:val="en-US" w:eastAsia="zh-CN"/>
              </w:rPr>
              <w:t>3.2达标情况分析</w:t>
            </w:r>
          </w:p>
          <w:p w14:paraId="662AD295">
            <w:pPr>
              <w:bidi w:val="0"/>
              <w:rPr>
                <w:rFonts w:hint="default" w:eastAsia="宋体"/>
                <w:color w:val="auto"/>
                <w:highlight w:val="none"/>
                <w:lang w:val="en-US" w:eastAsia="zh-CN"/>
              </w:rPr>
            </w:pPr>
            <w:r>
              <w:rPr>
                <w:rFonts w:hint="eastAsia"/>
                <w:color w:val="auto"/>
                <w:highlight w:val="none"/>
                <w:lang w:val="en-US" w:eastAsia="zh-CN"/>
              </w:rPr>
              <w:t>本项目噪声经过衰减后，场内机械设备噪声源10m处可满足《工业企业厂界环境噪声排放标准》（GB12348-2008）中2类标准：昼间60dB（A），项目夜间不运行。</w:t>
            </w:r>
          </w:p>
          <w:p w14:paraId="0B7555F7">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3.3监测计划</w:t>
            </w:r>
          </w:p>
          <w:p w14:paraId="08876444">
            <w:pPr>
              <w:bidi w:val="0"/>
              <w:rPr>
                <w:rFonts w:hint="eastAsia"/>
                <w:color w:val="auto"/>
                <w:kern w:val="1"/>
                <w:sz w:val="24"/>
                <w:szCs w:val="24"/>
                <w:highlight w:val="none"/>
                <w:lang w:val="en-US" w:eastAsia="zh-CN" w:bidi="ar"/>
              </w:rPr>
            </w:pPr>
            <w:r>
              <w:rPr>
                <w:rFonts w:ascii="Times New Roman" w:hAnsi="Times New Roman"/>
                <w:snapToGrid w:val="0"/>
                <w:color w:val="auto"/>
                <w:kern w:val="0"/>
                <w:sz w:val="24"/>
                <w:szCs w:val="24"/>
                <w:highlight w:val="none"/>
                <w:lang w:bidi="ar"/>
              </w:rPr>
              <w:t>根据本建设项目性质与实际情况，</w:t>
            </w:r>
            <w:r>
              <w:rPr>
                <w:rFonts w:ascii="Times New Roman" w:hAnsi="Times New Roman"/>
                <w:color w:val="auto"/>
                <w:sz w:val="24"/>
                <w:szCs w:val="24"/>
                <w:highlight w:val="none"/>
              </w:rPr>
              <w:t>按照</w:t>
            </w:r>
            <w:r>
              <w:rPr>
                <w:rFonts w:hint="default" w:ascii="Times New Roman" w:hAnsi="Times New Roman" w:cs="Times New Roman"/>
                <w:color w:val="auto"/>
                <w:sz w:val="24"/>
                <w:szCs w:val="24"/>
                <w:highlight w:val="none"/>
              </w:rPr>
              <w:t>《排污单位自行监测技术指南 总则》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HJ819-2017</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排污许可证申请与核发技术规范 工业噪声</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HJ1301-2023</w:t>
            </w:r>
            <w:r>
              <w:rPr>
                <w:rFonts w:hint="eastAsia" w:ascii="Times New Roman" w:hAnsi="Times New Roman" w:cs="Times New Roman"/>
                <w:color w:val="auto"/>
                <w:sz w:val="24"/>
                <w:szCs w:val="24"/>
                <w:highlight w:val="none"/>
                <w:lang w:eastAsia="zh-CN"/>
              </w:rPr>
              <w:t>）</w:t>
            </w:r>
            <w:r>
              <w:rPr>
                <w:rFonts w:hint="eastAsia"/>
                <w:color w:val="auto"/>
                <w:kern w:val="1"/>
                <w:sz w:val="24"/>
                <w:szCs w:val="24"/>
                <w:highlight w:val="none"/>
                <w:lang w:val="en-US" w:eastAsia="zh-CN" w:bidi="ar"/>
              </w:rPr>
              <w:t>要求，本项目投入运营后噪声监测情况见下表。</w:t>
            </w:r>
          </w:p>
          <w:p w14:paraId="31F60360">
            <w:pPr>
              <w:pStyle w:val="36"/>
              <w:numPr>
                <w:ilvl w:val="0"/>
                <w:numId w:val="27"/>
              </w:numPr>
              <w:bidi w:val="0"/>
              <w:rPr>
                <w:rFonts w:hint="default"/>
                <w:color w:val="auto"/>
                <w:highlight w:val="none"/>
              </w:rPr>
            </w:pPr>
            <w:r>
              <w:rPr>
                <w:rFonts w:hint="default"/>
                <w:color w:val="auto"/>
                <w:highlight w:val="none"/>
              </w:rPr>
              <w:t>项目</w:t>
            </w:r>
            <w:r>
              <w:rPr>
                <w:rFonts w:hint="eastAsia"/>
                <w:color w:val="auto"/>
                <w:highlight w:val="none"/>
                <w:lang w:val="en-US" w:eastAsia="zh-CN"/>
              </w:rPr>
              <w:t>场</w:t>
            </w:r>
            <w:r>
              <w:rPr>
                <w:rFonts w:hint="default"/>
                <w:color w:val="auto"/>
                <w:highlight w:val="none"/>
              </w:rPr>
              <w:t>界噪声监测计划</w:t>
            </w:r>
            <w:r>
              <w:rPr>
                <w:rFonts w:hint="eastAsia"/>
                <w:color w:val="auto"/>
                <w:highlight w:val="none"/>
                <w:lang w:val="en-US" w:eastAsia="zh-CN"/>
              </w:rPr>
              <w:t>一览</w:t>
            </w:r>
            <w:r>
              <w:rPr>
                <w:rFonts w:hint="default"/>
                <w:color w:val="auto"/>
                <w:highlight w:val="none"/>
              </w:rPr>
              <w:t>表</w:t>
            </w:r>
          </w:p>
          <w:tbl>
            <w:tblPr>
              <w:tblStyle w:val="29"/>
              <w:tblW w:w="810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49"/>
              <w:gridCol w:w="1344"/>
              <w:gridCol w:w="1173"/>
              <w:gridCol w:w="4141"/>
            </w:tblGrid>
            <w:tr w14:paraId="177D77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84" w:hRule="atLeast"/>
                <w:jc w:val="center"/>
              </w:trPr>
              <w:tc>
                <w:tcPr>
                  <w:tcW w:w="1449" w:type="dxa"/>
                  <w:tcBorders>
                    <w:tl2br w:val="nil"/>
                    <w:tr2bl w:val="nil"/>
                  </w:tcBorders>
                  <w:noWrap w:val="0"/>
                  <w:tcMar>
                    <w:top w:w="15" w:type="dxa"/>
                    <w:left w:w="15" w:type="dxa"/>
                    <w:bottom w:w="15" w:type="dxa"/>
                    <w:right w:w="15" w:type="dxa"/>
                  </w:tcMar>
                  <w:vAlign w:val="center"/>
                </w:tcPr>
                <w:p w14:paraId="1CC55D8F">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sz w:val="21"/>
                      <w:szCs w:val="21"/>
                      <w:highlight w:val="none"/>
                    </w:rPr>
                  </w:pPr>
                  <w:r>
                    <w:rPr>
                      <w:rFonts w:hint="default"/>
                      <w:color w:val="auto"/>
                      <w:sz w:val="21"/>
                      <w:szCs w:val="21"/>
                      <w:highlight w:val="none"/>
                    </w:rPr>
                    <w:t>监测点位</w:t>
                  </w:r>
                </w:p>
              </w:tc>
              <w:tc>
                <w:tcPr>
                  <w:tcW w:w="1344" w:type="dxa"/>
                  <w:tcBorders>
                    <w:tl2br w:val="nil"/>
                    <w:tr2bl w:val="nil"/>
                  </w:tcBorders>
                  <w:noWrap w:val="0"/>
                  <w:tcMar>
                    <w:top w:w="15" w:type="dxa"/>
                    <w:left w:w="15" w:type="dxa"/>
                    <w:bottom w:w="15" w:type="dxa"/>
                    <w:right w:w="15" w:type="dxa"/>
                  </w:tcMar>
                  <w:vAlign w:val="center"/>
                </w:tcPr>
                <w:p w14:paraId="025AFAD8">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sz w:val="21"/>
                      <w:szCs w:val="21"/>
                      <w:highlight w:val="none"/>
                    </w:rPr>
                  </w:pPr>
                  <w:r>
                    <w:rPr>
                      <w:rFonts w:hint="default"/>
                      <w:color w:val="auto"/>
                      <w:sz w:val="21"/>
                      <w:szCs w:val="21"/>
                      <w:highlight w:val="none"/>
                    </w:rPr>
                    <w:t>监测指标</w:t>
                  </w:r>
                </w:p>
              </w:tc>
              <w:tc>
                <w:tcPr>
                  <w:tcW w:w="1173" w:type="dxa"/>
                  <w:tcBorders>
                    <w:tl2br w:val="nil"/>
                    <w:tr2bl w:val="nil"/>
                  </w:tcBorders>
                  <w:noWrap w:val="0"/>
                  <w:tcMar>
                    <w:top w:w="15" w:type="dxa"/>
                    <w:left w:w="15" w:type="dxa"/>
                    <w:bottom w:w="15" w:type="dxa"/>
                    <w:right w:w="15" w:type="dxa"/>
                  </w:tcMar>
                  <w:vAlign w:val="center"/>
                </w:tcPr>
                <w:p w14:paraId="3F4F5979">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sz w:val="21"/>
                      <w:szCs w:val="21"/>
                      <w:highlight w:val="none"/>
                    </w:rPr>
                  </w:pPr>
                  <w:r>
                    <w:rPr>
                      <w:rFonts w:hint="default"/>
                      <w:color w:val="auto"/>
                      <w:sz w:val="21"/>
                      <w:szCs w:val="21"/>
                      <w:highlight w:val="none"/>
                    </w:rPr>
                    <w:t>监测频次</w:t>
                  </w:r>
                </w:p>
              </w:tc>
              <w:tc>
                <w:tcPr>
                  <w:tcW w:w="4141" w:type="dxa"/>
                  <w:tcBorders>
                    <w:tl2br w:val="nil"/>
                    <w:tr2bl w:val="nil"/>
                  </w:tcBorders>
                  <w:noWrap w:val="0"/>
                  <w:tcMar>
                    <w:top w:w="15" w:type="dxa"/>
                    <w:left w:w="15" w:type="dxa"/>
                    <w:bottom w:w="15" w:type="dxa"/>
                    <w:right w:w="15" w:type="dxa"/>
                  </w:tcMar>
                  <w:vAlign w:val="center"/>
                </w:tcPr>
                <w:p w14:paraId="6EDED2DC">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color w:val="auto"/>
                      <w:sz w:val="21"/>
                      <w:szCs w:val="21"/>
                      <w:highlight w:val="none"/>
                    </w:rPr>
                  </w:pPr>
                  <w:r>
                    <w:rPr>
                      <w:rFonts w:hint="default"/>
                      <w:color w:val="auto"/>
                      <w:sz w:val="21"/>
                      <w:szCs w:val="21"/>
                      <w:highlight w:val="none"/>
                    </w:rPr>
                    <w:t>执行排放标准</w:t>
                  </w:r>
                </w:p>
              </w:tc>
            </w:tr>
            <w:tr w14:paraId="745961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98" w:hRule="atLeast"/>
                <w:jc w:val="center"/>
              </w:trPr>
              <w:tc>
                <w:tcPr>
                  <w:tcW w:w="1449" w:type="dxa"/>
                  <w:tcBorders>
                    <w:tl2br w:val="nil"/>
                    <w:tr2bl w:val="nil"/>
                  </w:tcBorders>
                  <w:noWrap w:val="0"/>
                  <w:tcMar>
                    <w:top w:w="15" w:type="dxa"/>
                    <w:left w:w="15" w:type="dxa"/>
                    <w:bottom w:w="15" w:type="dxa"/>
                    <w:right w:w="15" w:type="dxa"/>
                  </w:tcMar>
                  <w:vAlign w:val="center"/>
                </w:tcPr>
                <w:p w14:paraId="2FFCF097">
                  <w:pPr>
                    <w:pStyle w:val="35"/>
                    <w:bidi w:val="0"/>
                    <w:rPr>
                      <w:rFonts w:hint="default"/>
                      <w:color w:val="auto"/>
                      <w:sz w:val="21"/>
                      <w:szCs w:val="21"/>
                      <w:highlight w:val="none"/>
                    </w:rPr>
                  </w:pPr>
                  <w:r>
                    <w:rPr>
                      <w:rFonts w:hint="eastAsia"/>
                      <w:color w:val="auto"/>
                      <w:sz w:val="21"/>
                      <w:szCs w:val="21"/>
                      <w:highlight w:val="none"/>
                      <w:lang w:val="en-US" w:eastAsia="zh-CN"/>
                    </w:rPr>
                    <w:t>场</w:t>
                  </w:r>
                  <w:r>
                    <w:rPr>
                      <w:rFonts w:hint="default"/>
                      <w:color w:val="auto"/>
                      <w:sz w:val="21"/>
                      <w:szCs w:val="21"/>
                      <w:highlight w:val="none"/>
                    </w:rPr>
                    <w:t>界外1m处</w:t>
                  </w:r>
                </w:p>
              </w:tc>
              <w:tc>
                <w:tcPr>
                  <w:tcW w:w="1344" w:type="dxa"/>
                  <w:tcBorders>
                    <w:tl2br w:val="nil"/>
                    <w:tr2bl w:val="nil"/>
                  </w:tcBorders>
                  <w:noWrap w:val="0"/>
                  <w:tcMar>
                    <w:top w:w="15" w:type="dxa"/>
                    <w:left w:w="15" w:type="dxa"/>
                    <w:bottom w:w="15" w:type="dxa"/>
                    <w:right w:w="15" w:type="dxa"/>
                  </w:tcMar>
                  <w:vAlign w:val="center"/>
                </w:tcPr>
                <w:p w14:paraId="28B70D33">
                  <w:pPr>
                    <w:pStyle w:val="35"/>
                    <w:bidi w:val="0"/>
                    <w:rPr>
                      <w:rFonts w:hint="default"/>
                      <w:color w:val="auto"/>
                      <w:sz w:val="21"/>
                      <w:szCs w:val="21"/>
                      <w:highlight w:val="none"/>
                    </w:rPr>
                  </w:pPr>
                  <w:r>
                    <w:rPr>
                      <w:rFonts w:hint="default"/>
                      <w:color w:val="auto"/>
                      <w:sz w:val="21"/>
                      <w:szCs w:val="21"/>
                      <w:highlight w:val="none"/>
                    </w:rPr>
                    <w:t>等效连续A声级</w:t>
                  </w:r>
                </w:p>
              </w:tc>
              <w:tc>
                <w:tcPr>
                  <w:tcW w:w="1173" w:type="dxa"/>
                  <w:tcBorders>
                    <w:tl2br w:val="nil"/>
                    <w:tr2bl w:val="nil"/>
                  </w:tcBorders>
                  <w:noWrap w:val="0"/>
                  <w:tcMar>
                    <w:top w:w="15" w:type="dxa"/>
                    <w:left w:w="15" w:type="dxa"/>
                    <w:bottom w:w="15" w:type="dxa"/>
                    <w:right w:w="15" w:type="dxa"/>
                  </w:tcMar>
                  <w:vAlign w:val="center"/>
                </w:tcPr>
                <w:p w14:paraId="373ADCFE">
                  <w:pPr>
                    <w:pStyle w:val="35"/>
                    <w:bidi w:val="0"/>
                    <w:rPr>
                      <w:rFonts w:hint="default" w:eastAsia="宋体"/>
                      <w:color w:val="auto"/>
                      <w:sz w:val="21"/>
                      <w:szCs w:val="21"/>
                      <w:highlight w:val="none"/>
                      <w:lang w:val="en-US" w:eastAsia="zh-CN"/>
                    </w:rPr>
                  </w:pPr>
                  <w:r>
                    <w:rPr>
                      <w:rFonts w:hint="default"/>
                      <w:color w:val="auto"/>
                      <w:sz w:val="21"/>
                      <w:szCs w:val="21"/>
                      <w:highlight w:val="none"/>
                    </w:rPr>
                    <w:t>1次</w:t>
                  </w:r>
                  <w:r>
                    <w:rPr>
                      <w:rFonts w:hint="eastAsia"/>
                      <w:color w:val="auto"/>
                      <w:sz w:val="21"/>
                      <w:szCs w:val="21"/>
                      <w:highlight w:val="none"/>
                      <w:lang w:val="en-US" w:eastAsia="zh-CN"/>
                    </w:rPr>
                    <w:t>/季度</w:t>
                  </w:r>
                </w:p>
              </w:tc>
              <w:tc>
                <w:tcPr>
                  <w:tcW w:w="4141" w:type="dxa"/>
                  <w:tcBorders>
                    <w:tl2br w:val="nil"/>
                    <w:tr2bl w:val="nil"/>
                  </w:tcBorders>
                  <w:noWrap w:val="0"/>
                  <w:tcMar>
                    <w:top w:w="15" w:type="dxa"/>
                    <w:left w:w="15" w:type="dxa"/>
                    <w:bottom w:w="15" w:type="dxa"/>
                    <w:right w:w="15" w:type="dxa"/>
                  </w:tcMar>
                  <w:vAlign w:val="center"/>
                </w:tcPr>
                <w:p w14:paraId="42146A21">
                  <w:pPr>
                    <w:pStyle w:val="35"/>
                    <w:keepNext w:val="0"/>
                    <w:keepLines w:val="0"/>
                    <w:pageBreakBefore w:val="0"/>
                    <w:widowControl w:val="0"/>
                    <w:kinsoku/>
                    <w:wordWrap/>
                    <w:overflowPunct/>
                    <w:topLinePunct w:val="0"/>
                    <w:autoSpaceDE/>
                    <w:autoSpaceDN/>
                    <w:bidi w:val="0"/>
                    <w:adjustRightInd/>
                    <w:snapToGrid w:val="0"/>
                    <w:spacing w:before="0" w:after="0"/>
                    <w:textAlignment w:val="auto"/>
                    <w:rPr>
                      <w:rFonts w:hint="default" w:eastAsia="宋体"/>
                      <w:color w:val="auto"/>
                      <w:sz w:val="21"/>
                      <w:szCs w:val="21"/>
                      <w:highlight w:val="none"/>
                      <w:lang w:val="en-US" w:eastAsia="zh-CN"/>
                    </w:rPr>
                  </w:pPr>
                  <w:r>
                    <w:rPr>
                      <w:rFonts w:hint="default"/>
                      <w:color w:val="auto"/>
                      <w:sz w:val="21"/>
                      <w:szCs w:val="21"/>
                      <w:highlight w:val="none"/>
                    </w:rPr>
                    <w:t>《工业企业厂界环境噪声排放标准》（GB12348-2008）中</w:t>
                  </w:r>
                  <w:r>
                    <w:rPr>
                      <w:rFonts w:hint="eastAsia"/>
                      <w:color w:val="auto"/>
                      <w:sz w:val="21"/>
                      <w:szCs w:val="21"/>
                      <w:highlight w:val="none"/>
                      <w:lang w:val="en-US" w:eastAsia="zh-CN"/>
                    </w:rPr>
                    <w:t>2</w:t>
                  </w:r>
                  <w:r>
                    <w:rPr>
                      <w:rFonts w:hint="default"/>
                      <w:color w:val="auto"/>
                      <w:sz w:val="21"/>
                      <w:szCs w:val="21"/>
                      <w:highlight w:val="none"/>
                    </w:rPr>
                    <w:t>类标准</w:t>
                  </w:r>
                  <w:r>
                    <w:rPr>
                      <w:rFonts w:hint="eastAsia"/>
                      <w:color w:val="auto"/>
                      <w:sz w:val="21"/>
                      <w:szCs w:val="21"/>
                      <w:highlight w:val="none"/>
                      <w:lang w:eastAsia="zh-CN"/>
                    </w:rPr>
                    <w:t>：</w:t>
                  </w:r>
                  <w:r>
                    <w:rPr>
                      <w:rFonts w:hint="eastAsia"/>
                      <w:color w:val="auto"/>
                      <w:sz w:val="21"/>
                      <w:szCs w:val="21"/>
                      <w:highlight w:val="none"/>
                      <w:lang w:val="en-US" w:eastAsia="zh-CN"/>
                    </w:rPr>
                    <w:t>昼间60</w:t>
                  </w:r>
                  <w:r>
                    <w:rPr>
                      <w:rFonts w:hint="default"/>
                      <w:color w:val="auto"/>
                      <w:sz w:val="21"/>
                      <w:szCs w:val="21"/>
                      <w:highlight w:val="none"/>
                    </w:rPr>
                    <w:t>dB（A）</w:t>
                  </w:r>
                </w:p>
              </w:tc>
            </w:tr>
          </w:tbl>
          <w:p w14:paraId="4D06EF66">
            <w:pPr>
              <w:bidi w:val="0"/>
              <w:ind w:left="0" w:leftChars="0" w:firstLine="0" w:firstLineChars="0"/>
              <w:rPr>
                <w:rFonts w:hint="eastAsia"/>
                <w:color w:val="auto"/>
                <w:highlight w:val="none"/>
                <w:lang w:val="en-US" w:eastAsia="zh-CN"/>
              </w:rPr>
            </w:pPr>
            <w:r>
              <w:rPr>
                <w:rFonts w:hint="eastAsia"/>
                <w:b/>
                <w:bCs/>
                <w:color w:val="auto"/>
                <w:highlight w:val="none"/>
                <w:lang w:val="en-US" w:eastAsia="zh-CN"/>
              </w:rPr>
              <w:t>3</w:t>
            </w:r>
            <w:r>
              <w:rPr>
                <w:rFonts w:hint="default"/>
                <w:b/>
                <w:bCs/>
                <w:color w:val="auto"/>
                <w:highlight w:val="none"/>
              </w:rPr>
              <w:t>.</w:t>
            </w:r>
            <w:r>
              <w:rPr>
                <w:rFonts w:hint="eastAsia"/>
                <w:b/>
                <w:bCs/>
                <w:color w:val="auto"/>
                <w:highlight w:val="none"/>
                <w:lang w:val="en-US" w:eastAsia="zh-CN"/>
              </w:rPr>
              <w:t>4</w:t>
            </w:r>
            <w:r>
              <w:rPr>
                <w:rFonts w:hint="eastAsia" w:ascii="Times New Roman" w:eastAsia="宋体"/>
                <w:b/>
                <w:bCs/>
                <w:color w:val="auto"/>
                <w:highlight w:val="none"/>
                <w:lang w:val="en-US" w:eastAsia="zh-CN"/>
              </w:rPr>
              <w:t>声环境评价结论</w:t>
            </w:r>
          </w:p>
          <w:p w14:paraId="67288A2A">
            <w:pPr>
              <w:bidi w:val="0"/>
              <w:rPr>
                <w:rFonts w:hint="eastAsia"/>
                <w:color w:val="auto"/>
                <w:highlight w:val="none"/>
                <w:lang w:val="en-US" w:eastAsia="zh-CN"/>
              </w:rPr>
            </w:pPr>
            <w:r>
              <w:rPr>
                <w:rFonts w:hint="eastAsia"/>
                <w:color w:val="auto"/>
                <w:highlight w:val="none"/>
                <w:lang w:val="en-US" w:eastAsia="zh-CN"/>
              </w:rPr>
              <w:t>本项目场界外50m范围内无声环境保护目标，项目不会对声环境造成明显不利影响，声环境影响可接受。</w:t>
            </w:r>
          </w:p>
          <w:p w14:paraId="4E7C10F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eastAsia"/>
                <w:b/>
                <w:bCs/>
                <w:color w:val="auto"/>
                <w:highlight w:val="none"/>
                <w:lang w:val="en-US" w:eastAsia="zh-CN"/>
              </w:rPr>
            </w:pPr>
            <w:r>
              <w:rPr>
                <w:rFonts w:hint="eastAsia"/>
                <w:b/>
                <w:bCs/>
                <w:color w:val="auto"/>
                <w:highlight w:val="none"/>
                <w:lang w:val="en-US" w:eastAsia="zh-CN"/>
              </w:rPr>
              <w:t>4.固体废物</w:t>
            </w:r>
          </w:p>
          <w:p w14:paraId="4CF73297">
            <w:pPr>
              <w:bidi w:val="0"/>
              <w:rPr>
                <w:rFonts w:hint="eastAsia"/>
                <w:color w:val="auto"/>
                <w:highlight w:val="none"/>
                <w:lang w:eastAsia="zh-CN"/>
              </w:rPr>
            </w:pPr>
            <w:r>
              <w:rPr>
                <w:rFonts w:hint="eastAsia"/>
                <w:color w:val="auto"/>
                <w:sz w:val="24"/>
                <w:szCs w:val="24"/>
                <w:highlight w:val="none"/>
                <w:lang w:val="en-US" w:eastAsia="zh-CN"/>
              </w:rPr>
              <w:t>本项目产生的固体废物主要为洗车平台污泥，</w:t>
            </w:r>
            <w:r>
              <w:rPr>
                <w:rFonts w:hint="eastAsia" w:ascii="Times New Roman" w:hAnsi="Times New Roman" w:eastAsia="宋体" w:cs="Times New Roman"/>
                <w:color w:val="auto"/>
                <w:kern w:val="2"/>
                <w:sz w:val="24"/>
                <w:szCs w:val="24"/>
                <w:highlight w:val="none"/>
                <w:lang w:val="en-US" w:eastAsia="zh-CN" w:bidi="ar-SA"/>
              </w:rPr>
              <w:t>沉砂池和沉淀池沉渣</w:t>
            </w:r>
            <w:r>
              <w:rPr>
                <w:rFonts w:hint="eastAsia"/>
                <w:color w:val="auto"/>
                <w:sz w:val="24"/>
                <w:szCs w:val="24"/>
                <w:highlight w:val="none"/>
                <w:lang w:val="en-US" w:eastAsia="zh-CN"/>
              </w:rPr>
              <w:t>，职工生活产生的生活垃圾。</w:t>
            </w:r>
          </w:p>
          <w:p w14:paraId="7CFE9EAC">
            <w:pPr>
              <w:bidi w:val="0"/>
              <w:ind w:left="0" w:leftChars="0" w:firstLine="0" w:firstLineChars="0"/>
              <w:rPr>
                <w:rFonts w:hint="eastAsia"/>
                <w:b/>
                <w:bCs/>
                <w:color w:val="auto"/>
                <w:highlight w:val="none"/>
                <w:lang w:val="en-US" w:eastAsia="zh-CN"/>
              </w:rPr>
            </w:pPr>
            <w:r>
              <w:rPr>
                <w:rFonts w:hint="eastAsia"/>
                <w:b/>
                <w:bCs/>
                <w:color w:val="auto"/>
                <w:highlight w:val="none"/>
                <w:lang w:val="en-US" w:eastAsia="zh-CN"/>
              </w:rPr>
              <w:t>4.1一般工业固体废物</w:t>
            </w:r>
          </w:p>
          <w:p w14:paraId="607A5342">
            <w:pPr>
              <w:bidi w:val="0"/>
              <w:rPr>
                <w:rFonts w:hint="default" w:ascii="Times New Roman" w:eastAsia="宋体"/>
                <w:b/>
                <w:bCs/>
                <w:color w:val="auto"/>
                <w:highlight w:val="none"/>
                <w:lang w:val="en-US" w:eastAsia="zh-CN"/>
              </w:rPr>
            </w:pPr>
            <w:r>
              <w:rPr>
                <w:rFonts w:hint="eastAsia" w:ascii="Times New Roman" w:eastAsia="宋体"/>
                <w:b/>
                <w:bCs/>
                <w:color w:val="auto"/>
                <w:highlight w:val="none"/>
                <w:lang w:val="en-US" w:eastAsia="zh-CN"/>
              </w:rPr>
              <w:t>4.1.1 一般工业固体废物基本情况</w:t>
            </w:r>
          </w:p>
          <w:p w14:paraId="16CB75EE">
            <w:pPr>
              <w:bidi w:val="0"/>
              <w:rPr>
                <w:rFonts w:hint="eastAsia"/>
                <w:color w:val="auto"/>
                <w:sz w:val="24"/>
                <w:szCs w:val="24"/>
                <w:highlight w:val="none"/>
                <w:lang w:val="en-US" w:eastAsia="zh-CN"/>
              </w:rPr>
            </w:pPr>
            <w:r>
              <w:rPr>
                <w:rFonts w:hint="eastAsia"/>
                <w:color w:val="auto"/>
                <w:sz w:val="24"/>
                <w:szCs w:val="24"/>
                <w:highlight w:val="none"/>
                <w:lang w:val="en-US" w:eastAsia="zh-CN"/>
              </w:rPr>
              <w:t>本项目产生的一般工业固体废物主要洗车平台污泥，</w:t>
            </w:r>
            <w:r>
              <w:rPr>
                <w:rFonts w:hint="eastAsia" w:ascii="Times New Roman" w:hAnsi="Times New Roman" w:eastAsia="宋体" w:cs="Times New Roman"/>
                <w:color w:val="auto"/>
                <w:kern w:val="2"/>
                <w:sz w:val="24"/>
                <w:szCs w:val="24"/>
                <w:highlight w:val="none"/>
                <w:lang w:val="en-US" w:eastAsia="zh-CN" w:bidi="ar-SA"/>
              </w:rPr>
              <w:t>沉砂池和沉淀池沉渣</w:t>
            </w:r>
            <w:r>
              <w:rPr>
                <w:rFonts w:hint="eastAsia"/>
                <w:color w:val="auto"/>
                <w:sz w:val="24"/>
                <w:szCs w:val="24"/>
                <w:highlight w:val="none"/>
                <w:lang w:val="en-US" w:eastAsia="zh-CN"/>
              </w:rPr>
              <w:t>，</w:t>
            </w:r>
            <w:r>
              <w:rPr>
                <w:rFonts w:hint="eastAsia"/>
                <w:color w:val="auto"/>
                <w:highlight w:val="none"/>
                <w:lang w:val="en-US" w:eastAsia="zh-CN"/>
              </w:rPr>
              <w:t>固废代码为900-099-S07，其中，</w:t>
            </w:r>
            <w:r>
              <w:rPr>
                <w:rFonts w:hint="eastAsia"/>
                <w:color w:val="auto"/>
                <w:sz w:val="24"/>
                <w:szCs w:val="24"/>
                <w:highlight w:val="none"/>
                <w:lang w:val="en-US" w:eastAsia="zh-CN"/>
              </w:rPr>
              <w:t>洗车平台污泥</w:t>
            </w:r>
            <w:r>
              <w:rPr>
                <w:rFonts w:hint="eastAsia"/>
                <w:color w:val="auto"/>
                <w:highlight w:val="none"/>
                <w:lang w:val="en-US" w:eastAsia="zh-CN"/>
              </w:rPr>
              <w:t>产生量为120t/a，</w:t>
            </w:r>
            <w:r>
              <w:rPr>
                <w:rFonts w:hint="eastAsia" w:ascii="Times New Roman" w:hAnsi="Times New Roman" w:eastAsia="宋体" w:cs="Times New Roman"/>
                <w:color w:val="auto"/>
                <w:kern w:val="2"/>
                <w:sz w:val="24"/>
                <w:szCs w:val="24"/>
                <w:highlight w:val="none"/>
                <w:lang w:val="en-US" w:eastAsia="zh-CN" w:bidi="ar-SA"/>
              </w:rPr>
              <w:t>沉砂池和沉淀池沉渣</w:t>
            </w:r>
            <w:r>
              <w:rPr>
                <w:rFonts w:hint="eastAsia"/>
                <w:color w:val="auto"/>
                <w:highlight w:val="none"/>
                <w:lang w:val="en-US" w:eastAsia="zh-CN"/>
              </w:rPr>
              <w:t>产生量为5t/a，与建筑垃圾一起堆填处理</w:t>
            </w:r>
            <w:r>
              <w:rPr>
                <w:rFonts w:hint="eastAsia"/>
                <w:color w:val="auto"/>
                <w:sz w:val="24"/>
                <w:szCs w:val="24"/>
                <w:highlight w:val="none"/>
                <w:lang w:val="en-US" w:eastAsia="zh-CN"/>
              </w:rPr>
              <w:t>。</w:t>
            </w:r>
          </w:p>
          <w:p w14:paraId="07FF184A">
            <w:pPr>
              <w:bidi w:val="0"/>
              <w:rPr>
                <w:rFonts w:hint="eastAsia"/>
                <w:color w:val="auto"/>
                <w:highlight w:val="none"/>
                <w:lang w:val="en-US" w:eastAsia="zh-CN"/>
              </w:rPr>
            </w:pPr>
            <w:r>
              <w:rPr>
                <w:rFonts w:hint="default"/>
                <w:color w:val="auto"/>
                <w:highlight w:val="none"/>
                <w:lang w:val="en-US" w:eastAsia="zh-CN"/>
              </w:rPr>
              <w:t>本项目一般工业固体废物</w:t>
            </w:r>
            <w:r>
              <w:rPr>
                <w:rFonts w:hint="eastAsia"/>
                <w:color w:val="auto"/>
                <w:highlight w:val="none"/>
                <w:lang w:val="en-US" w:eastAsia="zh-CN"/>
              </w:rPr>
              <w:t>产生及处置情况见下表。</w:t>
            </w:r>
          </w:p>
          <w:p w14:paraId="1A15AF00">
            <w:pPr>
              <w:numPr>
                <w:ilvl w:val="0"/>
                <w:numId w:val="27"/>
              </w:numPr>
              <w:tabs>
                <w:tab w:val="left" w:pos="0"/>
                <w:tab w:val="left" w:pos="6240"/>
              </w:tabs>
              <w:spacing w:line="480" w:lineRule="exact"/>
              <w:ind w:left="0" w:leftChars="0" w:firstLine="0" w:firstLineChars="0"/>
              <w:jc w:val="center"/>
              <w:rPr>
                <w:rFonts w:hint="default" w:ascii="Times New Roman" w:hAnsi="Times New Roman" w:eastAsia="宋体" w:cs="Times New Roman"/>
                <w:b/>
                <w:bCs/>
                <w:color w:val="auto"/>
                <w:sz w:val="21"/>
                <w:szCs w:val="21"/>
                <w:highlight w:val="none"/>
                <w:shd w:val="clear" w:color="auto" w:fill="auto"/>
                <w:lang w:val="en-US" w:eastAsia="zh-CN"/>
              </w:rPr>
            </w:pPr>
            <w:r>
              <w:rPr>
                <w:rFonts w:hint="eastAsia" w:cs="Times New Roman"/>
                <w:b/>
                <w:bCs/>
                <w:color w:val="auto"/>
                <w:sz w:val="21"/>
                <w:szCs w:val="21"/>
                <w:highlight w:val="none"/>
                <w:shd w:val="clear" w:color="auto" w:fill="auto"/>
                <w:lang w:val="en-US" w:eastAsia="zh-CN"/>
              </w:rPr>
              <w:t>本项目一般工业</w:t>
            </w:r>
            <w:r>
              <w:rPr>
                <w:rFonts w:hint="eastAsia" w:ascii="Times New Roman" w:hAnsi="Times New Roman" w:eastAsia="宋体" w:cs="Times New Roman"/>
                <w:b/>
                <w:bCs/>
                <w:color w:val="auto"/>
                <w:sz w:val="21"/>
                <w:szCs w:val="21"/>
                <w:highlight w:val="none"/>
                <w:shd w:val="clear" w:color="auto" w:fill="auto"/>
                <w:lang w:val="en-US" w:eastAsia="zh-CN"/>
              </w:rPr>
              <w:t>固体废物污染源及治理措施</w:t>
            </w:r>
            <w:r>
              <w:rPr>
                <w:rFonts w:hint="eastAsia" w:ascii="Times New Roman" w:hAnsi="Times New Roman" w:eastAsia="宋体" w:cs="Times New Roman"/>
                <w:b/>
                <w:bCs/>
                <w:color w:val="auto"/>
                <w:sz w:val="21"/>
                <w:szCs w:val="21"/>
                <w:highlight w:val="none"/>
                <w:shd w:val="clear" w:color="auto" w:fill="auto"/>
                <w:lang w:val="zh-CN" w:eastAsia="zh-CN"/>
              </w:rPr>
              <w:t>一览</w:t>
            </w:r>
            <w:r>
              <w:rPr>
                <w:rFonts w:hint="default" w:ascii="Times New Roman" w:hAnsi="Times New Roman" w:eastAsia="宋体" w:cs="Times New Roman"/>
                <w:b/>
                <w:bCs/>
                <w:color w:val="auto"/>
                <w:sz w:val="21"/>
                <w:szCs w:val="21"/>
                <w:highlight w:val="none"/>
                <w:shd w:val="clear" w:color="auto" w:fill="auto"/>
                <w:lang w:val="zh-CN" w:eastAsia="zh-CN"/>
              </w:rPr>
              <w:t>表</w:t>
            </w:r>
            <w:r>
              <w:rPr>
                <w:rFonts w:hint="eastAsia" w:ascii="Times New Roman" w:hAnsi="Times New Roman" w:eastAsia="宋体" w:cs="Times New Roman"/>
                <w:b/>
                <w:bCs/>
                <w:color w:val="auto"/>
                <w:sz w:val="21"/>
                <w:szCs w:val="21"/>
                <w:highlight w:val="none"/>
                <w:shd w:val="clear" w:color="auto" w:fill="auto"/>
                <w:lang w:val="en-US" w:eastAsia="zh-CN"/>
              </w:rPr>
              <w:t xml:space="preserve">    </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08"/>
              <w:gridCol w:w="673"/>
              <w:gridCol w:w="788"/>
              <w:gridCol w:w="940"/>
              <w:gridCol w:w="545"/>
              <w:gridCol w:w="735"/>
              <w:gridCol w:w="667"/>
              <w:gridCol w:w="757"/>
              <w:gridCol w:w="1361"/>
              <w:gridCol w:w="833"/>
            </w:tblGrid>
            <w:tr w14:paraId="23E31D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48" w:hRule="atLeast"/>
                <w:jc w:val="center"/>
              </w:trPr>
              <w:tc>
                <w:tcPr>
                  <w:tcW w:w="808" w:type="dxa"/>
                  <w:tcBorders>
                    <w:tl2br w:val="nil"/>
                    <w:tr2bl w:val="nil"/>
                  </w:tcBorders>
                  <w:noWrap w:val="0"/>
                  <w:tcMar>
                    <w:top w:w="15" w:type="dxa"/>
                    <w:left w:w="15" w:type="dxa"/>
                    <w:right w:w="15" w:type="dxa"/>
                  </w:tcMar>
                  <w:vAlign w:val="center"/>
                </w:tcPr>
                <w:p w14:paraId="457137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lang w:eastAsia="zh-CN"/>
                    </w:rPr>
                    <w:t>产生环节</w:t>
                  </w:r>
                </w:p>
              </w:tc>
              <w:tc>
                <w:tcPr>
                  <w:tcW w:w="673" w:type="dxa"/>
                  <w:tcBorders>
                    <w:tl2br w:val="nil"/>
                    <w:tr2bl w:val="nil"/>
                  </w:tcBorders>
                  <w:noWrap w:val="0"/>
                  <w:tcMar>
                    <w:top w:w="15" w:type="dxa"/>
                    <w:left w:w="15" w:type="dxa"/>
                    <w:right w:w="15" w:type="dxa"/>
                  </w:tcMar>
                  <w:vAlign w:val="center"/>
                </w:tcPr>
                <w:p w14:paraId="6D72AA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lang w:eastAsia="zh-CN"/>
                    </w:rPr>
                    <w:t>名称</w:t>
                  </w:r>
                </w:p>
              </w:tc>
              <w:tc>
                <w:tcPr>
                  <w:tcW w:w="788" w:type="dxa"/>
                  <w:tcBorders>
                    <w:tl2br w:val="nil"/>
                    <w:tr2bl w:val="nil"/>
                  </w:tcBorders>
                  <w:noWrap w:val="0"/>
                  <w:tcMar>
                    <w:top w:w="15" w:type="dxa"/>
                    <w:left w:w="15" w:type="dxa"/>
                    <w:right w:w="15" w:type="dxa"/>
                  </w:tcMar>
                  <w:vAlign w:val="center"/>
                </w:tcPr>
                <w:p w14:paraId="0F643A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shd w:val="clear" w:color="auto" w:fill="auto"/>
                    </w:rPr>
                  </w:pPr>
                  <w:r>
                    <w:rPr>
                      <w:rFonts w:hint="eastAsia" w:ascii="Times New Roman" w:hAnsi="Times New Roman" w:eastAsia="宋体" w:cs="Times New Roman"/>
                      <w:color w:val="auto"/>
                      <w:sz w:val="21"/>
                      <w:szCs w:val="21"/>
                      <w:highlight w:val="none"/>
                      <w:shd w:val="clear" w:color="auto" w:fill="auto"/>
                      <w:lang w:val="en-US" w:eastAsia="zh-CN"/>
                    </w:rPr>
                    <w:t>属性</w:t>
                  </w:r>
                </w:p>
              </w:tc>
              <w:tc>
                <w:tcPr>
                  <w:tcW w:w="940" w:type="dxa"/>
                  <w:tcBorders>
                    <w:tl2br w:val="nil"/>
                    <w:tr2bl w:val="nil"/>
                  </w:tcBorders>
                  <w:noWrap w:val="0"/>
                  <w:tcMar>
                    <w:top w:w="15" w:type="dxa"/>
                    <w:left w:w="15" w:type="dxa"/>
                    <w:right w:w="15" w:type="dxa"/>
                  </w:tcMar>
                  <w:vAlign w:val="center"/>
                </w:tcPr>
                <w:p w14:paraId="556EDE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主要有毒有害物质名称</w:t>
                  </w:r>
                </w:p>
              </w:tc>
              <w:tc>
                <w:tcPr>
                  <w:tcW w:w="545" w:type="dxa"/>
                  <w:tcBorders>
                    <w:tl2br w:val="nil"/>
                    <w:tr2bl w:val="nil"/>
                  </w:tcBorders>
                  <w:noWrap w:val="0"/>
                  <w:tcMar>
                    <w:top w:w="15" w:type="dxa"/>
                    <w:left w:w="15" w:type="dxa"/>
                    <w:right w:w="15" w:type="dxa"/>
                  </w:tcMar>
                  <w:vAlign w:val="center"/>
                </w:tcPr>
                <w:p w14:paraId="3BB79A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物理性状</w:t>
                  </w:r>
                </w:p>
              </w:tc>
              <w:tc>
                <w:tcPr>
                  <w:tcW w:w="735" w:type="dxa"/>
                  <w:tcBorders>
                    <w:tl2br w:val="nil"/>
                    <w:tr2bl w:val="nil"/>
                  </w:tcBorders>
                  <w:noWrap w:val="0"/>
                  <w:tcMar>
                    <w:top w:w="15" w:type="dxa"/>
                    <w:left w:w="15" w:type="dxa"/>
                    <w:right w:w="15" w:type="dxa"/>
                  </w:tcMar>
                  <w:vAlign w:val="center"/>
                </w:tcPr>
                <w:p w14:paraId="4639E8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rPr>
                  </w:pPr>
                  <w:r>
                    <w:rPr>
                      <w:rFonts w:hint="eastAsia" w:ascii="Times New Roman" w:hAnsi="Times New Roman" w:eastAsia="宋体" w:cs="Times New Roman"/>
                      <w:color w:val="auto"/>
                      <w:sz w:val="21"/>
                      <w:szCs w:val="21"/>
                      <w:highlight w:val="none"/>
                      <w:shd w:val="clear" w:color="auto" w:fill="auto"/>
                      <w:lang w:val="en-US" w:eastAsia="zh-CN"/>
                    </w:rPr>
                    <w:t>环境危险特性</w:t>
                  </w:r>
                </w:p>
              </w:tc>
              <w:tc>
                <w:tcPr>
                  <w:tcW w:w="667" w:type="dxa"/>
                  <w:tcBorders>
                    <w:tl2br w:val="nil"/>
                    <w:tr2bl w:val="nil"/>
                  </w:tcBorders>
                  <w:noWrap w:val="0"/>
                  <w:tcMar>
                    <w:top w:w="15" w:type="dxa"/>
                    <w:left w:w="15" w:type="dxa"/>
                    <w:right w:w="15" w:type="dxa"/>
                  </w:tcMar>
                  <w:vAlign w:val="center"/>
                </w:tcPr>
                <w:p w14:paraId="1D5D5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产生量</w:t>
                  </w:r>
                  <w:r>
                    <w:rPr>
                      <w:rFonts w:hint="eastAsia" w:cs="Times New Roman"/>
                      <w:color w:val="auto"/>
                      <w:sz w:val="21"/>
                      <w:szCs w:val="21"/>
                      <w:highlight w:val="none"/>
                      <w:shd w:val="clear" w:color="auto" w:fill="auto"/>
                      <w:lang w:val="en-US" w:eastAsia="zh-CN"/>
                    </w:rPr>
                    <w:t>（t/a）</w:t>
                  </w:r>
                </w:p>
              </w:tc>
              <w:tc>
                <w:tcPr>
                  <w:tcW w:w="757" w:type="dxa"/>
                  <w:tcBorders>
                    <w:tl2br w:val="nil"/>
                    <w:tr2bl w:val="nil"/>
                  </w:tcBorders>
                  <w:noWrap w:val="0"/>
                  <w:tcMar>
                    <w:top w:w="15" w:type="dxa"/>
                    <w:left w:w="15" w:type="dxa"/>
                    <w:right w:w="15" w:type="dxa"/>
                  </w:tcMar>
                  <w:vAlign w:val="center"/>
                </w:tcPr>
                <w:p w14:paraId="2B06AA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贮存方式</w:t>
                  </w:r>
                </w:p>
              </w:tc>
              <w:tc>
                <w:tcPr>
                  <w:tcW w:w="1361" w:type="dxa"/>
                  <w:tcBorders>
                    <w:tl2br w:val="nil"/>
                    <w:tr2bl w:val="nil"/>
                  </w:tcBorders>
                  <w:noWrap w:val="0"/>
                  <w:tcMar>
                    <w:top w:w="15" w:type="dxa"/>
                    <w:left w:w="15" w:type="dxa"/>
                    <w:right w:w="15" w:type="dxa"/>
                  </w:tcMar>
                  <w:vAlign w:val="center"/>
                </w:tcPr>
                <w:p w14:paraId="319E38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利用及处置方式和去向</w:t>
                  </w:r>
                </w:p>
              </w:tc>
              <w:tc>
                <w:tcPr>
                  <w:tcW w:w="833" w:type="dxa"/>
                  <w:tcBorders>
                    <w:tl2br w:val="nil"/>
                    <w:tr2bl w:val="nil"/>
                  </w:tcBorders>
                  <w:noWrap w:val="0"/>
                  <w:tcMar>
                    <w:top w:w="15" w:type="dxa"/>
                    <w:left w:w="15" w:type="dxa"/>
                    <w:right w:w="15" w:type="dxa"/>
                  </w:tcMar>
                  <w:vAlign w:val="center"/>
                </w:tcPr>
                <w:p w14:paraId="70B49C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利用或处置量</w:t>
                  </w:r>
                  <w:r>
                    <w:rPr>
                      <w:rFonts w:hint="eastAsia" w:cs="Times New Roman"/>
                      <w:color w:val="auto"/>
                      <w:sz w:val="21"/>
                      <w:szCs w:val="21"/>
                      <w:highlight w:val="none"/>
                      <w:shd w:val="clear" w:color="auto" w:fill="auto"/>
                      <w:lang w:val="en-US" w:eastAsia="zh-CN"/>
                    </w:rPr>
                    <w:t>（t/a）</w:t>
                  </w:r>
                </w:p>
              </w:tc>
            </w:tr>
            <w:tr w14:paraId="31338C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91" w:hRule="atLeast"/>
                <w:jc w:val="center"/>
              </w:trPr>
              <w:tc>
                <w:tcPr>
                  <w:tcW w:w="808" w:type="dxa"/>
                  <w:tcBorders>
                    <w:tl2br w:val="nil"/>
                    <w:tr2bl w:val="nil"/>
                  </w:tcBorders>
                  <w:noWrap w:val="0"/>
                  <w:tcMar>
                    <w:top w:w="15" w:type="dxa"/>
                    <w:left w:w="15" w:type="dxa"/>
                    <w:right w:w="15" w:type="dxa"/>
                  </w:tcMar>
                  <w:vAlign w:val="center"/>
                </w:tcPr>
                <w:p w14:paraId="6D02F3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洗车</w:t>
                  </w:r>
                  <w:r>
                    <w:rPr>
                      <w:rFonts w:hint="default" w:ascii="Times New Roman" w:hAnsi="Times New Roman" w:eastAsia="宋体" w:cs="Times New Roman"/>
                      <w:color w:val="auto"/>
                      <w:sz w:val="21"/>
                      <w:szCs w:val="21"/>
                      <w:highlight w:val="none"/>
                      <w:shd w:val="clear" w:color="auto" w:fill="auto"/>
                      <w:lang w:val="en-US" w:eastAsia="zh-CN"/>
                    </w:rPr>
                    <w:t>过程</w:t>
                  </w:r>
                </w:p>
              </w:tc>
              <w:tc>
                <w:tcPr>
                  <w:tcW w:w="673" w:type="dxa"/>
                  <w:tcBorders>
                    <w:tl2br w:val="nil"/>
                    <w:tr2bl w:val="nil"/>
                  </w:tcBorders>
                  <w:noWrap w:val="0"/>
                  <w:tcMar>
                    <w:top w:w="15" w:type="dxa"/>
                    <w:left w:w="15" w:type="dxa"/>
                    <w:right w:w="15" w:type="dxa"/>
                  </w:tcMar>
                  <w:vAlign w:val="center"/>
                </w:tcPr>
                <w:p w14:paraId="1F8113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eastAsia="宋体" w:cs="Times New Roman"/>
                      <w:color w:val="auto"/>
                      <w:sz w:val="21"/>
                      <w:szCs w:val="21"/>
                      <w:highlight w:val="none"/>
                      <w:shd w:val="clear" w:color="auto" w:fill="auto"/>
                      <w:lang w:val="en-US" w:eastAsia="zh-CN"/>
                    </w:rPr>
                    <w:t>污泥</w:t>
                  </w:r>
                </w:p>
              </w:tc>
              <w:tc>
                <w:tcPr>
                  <w:tcW w:w="788" w:type="dxa"/>
                  <w:tcBorders>
                    <w:tl2br w:val="nil"/>
                    <w:tr2bl w:val="nil"/>
                  </w:tcBorders>
                  <w:noWrap w:val="0"/>
                  <w:tcMar>
                    <w:top w:w="15" w:type="dxa"/>
                    <w:left w:w="15" w:type="dxa"/>
                    <w:right w:w="15" w:type="dxa"/>
                  </w:tcMar>
                  <w:vAlign w:val="center"/>
                </w:tcPr>
                <w:p w14:paraId="418FAD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一般工业固体废物</w:t>
                  </w:r>
                </w:p>
              </w:tc>
              <w:tc>
                <w:tcPr>
                  <w:tcW w:w="940" w:type="dxa"/>
                  <w:tcBorders>
                    <w:tl2br w:val="nil"/>
                    <w:tr2bl w:val="nil"/>
                  </w:tcBorders>
                  <w:noWrap w:val="0"/>
                  <w:tcMar>
                    <w:top w:w="15" w:type="dxa"/>
                    <w:left w:w="15" w:type="dxa"/>
                    <w:right w:w="15" w:type="dxa"/>
                  </w:tcMar>
                  <w:vAlign w:val="center"/>
                </w:tcPr>
                <w:p w14:paraId="1CAC40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 xml:space="preserve">无  </w:t>
                  </w:r>
                </w:p>
              </w:tc>
              <w:tc>
                <w:tcPr>
                  <w:tcW w:w="545" w:type="dxa"/>
                  <w:tcBorders>
                    <w:tl2br w:val="nil"/>
                    <w:tr2bl w:val="nil"/>
                  </w:tcBorders>
                  <w:noWrap w:val="0"/>
                  <w:tcMar>
                    <w:top w:w="15" w:type="dxa"/>
                    <w:left w:w="15" w:type="dxa"/>
                    <w:right w:w="15" w:type="dxa"/>
                  </w:tcMar>
                  <w:vAlign w:val="center"/>
                </w:tcPr>
                <w:p w14:paraId="523CB4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固体</w:t>
                  </w:r>
                </w:p>
              </w:tc>
              <w:tc>
                <w:tcPr>
                  <w:tcW w:w="735" w:type="dxa"/>
                  <w:tcBorders>
                    <w:tl2br w:val="nil"/>
                    <w:tr2bl w:val="nil"/>
                  </w:tcBorders>
                  <w:noWrap w:val="0"/>
                  <w:tcMar>
                    <w:top w:w="15" w:type="dxa"/>
                    <w:left w:w="15" w:type="dxa"/>
                    <w:right w:w="15" w:type="dxa"/>
                  </w:tcMar>
                  <w:vAlign w:val="center"/>
                </w:tcPr>
                <w:p w14:paraId="2D960A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无</w:t>
                  </w:r>
                </w:p>
              </w:tc>
              <w:tc>
                <w:tcPr>
                  <w:tcW w:w="667" w:type="dxa"/>
                  <w:tcBorders>
                    <w:tl2br w:val="nil"/>
                    <w:tr2bl w:val="nil"/>
                  </w:tcBorders>
                  <w:noWrap w:val="0"/>
                  <w:tcMar>
                    <w:top w:w="15" w:type="dxa"/>
                    <w:left w:w="15" w:type="dxa"/>
                    <w:right w:w="15" w:type="dxa"/>
                  </w:tcMar>
                  <w:vAlign w:val="center"/>
                </w:tcPr>
                <w:p w14:paraId="0FD3F1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120</w:t>
                  </w:r>
                </w:p>
              </w:tc>
              <w:tc>
                <w:tcPr>
                  <w:tcW w:w="757" w:type="dxa"/>
                  <w:tcBorders>
                    <w:tl2br w:val="nil"/>
                    <w:tr2bl w:val="nil"/>
                  </w:tcBorders>
                  <w:noWrap w:val="0"/>
                  <w:tcMar>
                    <w:top w:w="15" w:type="dxa"/>
                    <w:left w:w="15" w:type="dxa"/>
                    <w:right w:w="15" w:type="dxa"/>
                  </w:tcMar>
                  <w:vAlign w:val="center"/>
                </w:tcPr>
                <w:p w14:paraId="04DE4D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olor w:val="auto"/>
                      <w:sz w:val="21"/>
                      <w:szCs w:val="21"/>
                      <w:highlight w:val="none"/>
                      <w:lang w:val="en-US" w:eastAsia="zh-CN"/>
                    </w:rPr>
                    <w:t>/</w:t>
                  </w:r>
                </w:p>
              </w:tc>
              <w:tc>
                <w:tcPr>
                  <w:tcW w:w="1361" w:type="dxa"/>
                  <w:tcBorders>
                    <w:tl2br w:val="nil"/>
                    <w:tr2bl w:val="nil"/>
                  </w:tcBorders>
                  <w:noWrap w:val="0"/>
                  <w:tcMar>
                    <w:top w:w="15" w:type="dxa"/>
                    <w:left w:w="15" w:type="dxa"/>
                    <w:right w:w="15" w:type="dxa"/>
                  </w:tcMar>
                  <w:vAlign w:val="center"/>
                </w:tcPr>
                <w:p w14:paraId="406F1E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eastAsia="宋体" w:cs="Times New Roman"/>
                      <w:color w:val="auto"/>
                      <w:sz w:val="21"/>
                      <w:szCs w:val="21"/>
                      <w:highlight w:val="none"/>
                      <w:shd w:val="clear" w:color="auto" w:fill="auto"/>
                      <w:lang w:val="en-US" w:eastAsia="zh-CN"/>
                    </w:rPr>
                    <w:t>与建筑垃圾一起堆填处理</w:t>
                  </w:r>
                </w:p>
              </w:tc>
              <w:tc>
                <w:tcPr>
                  <w:tcW w:w="833" w:type="dxa"/>
                  <w:tcBorders>
                    <w:tl2br w:val="nil"/>
                    <w:tr2bl w:val="nil"/>
                  </w:tcBorders>
                  <w:noWrap w:val="0"/>
                  <w:tcMar>
                    <w:top w:w="15" w:type="dxa"/>
                    <w:left w:w="15" w:type="dxa"/>
                    <w:right w:w="15" w:type="dxa"/>
                  </w:tcMar>
                  <w:vAlign w:val="center"/>
                </w:tcPr>
                <w:p w14:paraId="004774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120</w:t>
                  </w:r>
                </w:p>
              </w:tc>
            </w:tr>
            <w:tr w14:paraId="635DE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808" w:type="dxa"/>
                  <w:tcBorders>
                    <w:tl2br w:val="nil"/>
                    <w:tr2bl w:val="nil"/>
                  </w:tcBorders>
                  <w:noWrap w:val="0"/>
                  <w:tcMar>
                    <w:top w:w="15" w:type="dxa"/>
                    <w:left w:w="15" w:type="dxa"/>
                    <w:right w:w="15" w:type="dxa"/>
                  </w:tcMar>
                  <w:vAlign w:val="center"/>
                </w:tcPr>
                <w:p w14:paraId="4854CE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kern w:val="2"/>
                      <w:sz w:val="21"/>
                      <w:szCs w:val="21"/>
                      <w:highlight w:val="none"/>
                      <w:lang w:val="en-US" w:eastAsia="zh-CN" w:bidi="ar-SA"/>
                    </w:rPr>
                    <w:t>沉砂池和沉淀池</w:t>
                  </w:r>
                </w:p>
              </w:tc>
              <w:tc>
                <w:tcPr>
                  <w:tcW w:w="673" w:type="dxa"/>
                  <w:tcBorders>
                    <w:tl2br w:val="nil"/>
                    <w:tr2bl w:val="nil"/>
                  </w:tcBorders>
                  <w:noWrap w:val="0"/>
                  <w:tcMar>
                    <w:top w:w="15" w:type="dxa"/>
                    <w:left w:w="15" w:type="dxa"/>
                    <w:right w:w="15" w:type="dxa"/>
                  </w:tcMar>
                  <w:vAlign w:val="center"/>
                </w:tcPr>
                <w:p w14:paraId="12078E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kern w:val="2"/>
                      <w:sz w:val="21"/>
                      <w:szCs w:val="21"/>
                      <w:highlight w:val="none"/>
                      <w:lang w:val="en-US" w:eastAsia="zh-CN" w:bidi="ar-SA"/>
                    </w:rPr>
                    <w:t>沉渣</w:t>
                  </w:r>
                </w:p>
              </w:tc>
              <w:tc>
                <w:tcPr>
                  <w:tcW w:w="788" w:type="dxa"/>
                  <w:tcBorders>
                    <w:tl2br w:val="nil"/>
                    <w:tr2bl w:val="nil"/>
                  </w:tcBorders>
                  <w:shd w:val="clear" w:color="auto" w:fill="auto"/>
                  <w:noWrap w:val="0"/>
                  <w:tcMar>
                    <w:top w:w="15" w:type="dxa"/>
                    <w:left w:w="15" w:type="dxa"/>
                    <w:right w:w="15" w:type="dxa"/>
                  </w:tcMar>
                  <w:vAlign w:val="center"/>
                </w:tcPr>
                <w:p w14:paraId="50D1B6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一般工业固体废物</w:t>
                  </w:r>
                </w:p>
              </w:tc>
              <w:tc>
                <w:tcPr>
                  <w:tcW w:w="940" w:type="dxa"/>
                  <w:tcBorders>
                    <w:tl2br w:val="nil"/>
                    <w:tr2bl w:val="nil"/>
                  </w:tcBorders>
                  <w:shd w:val="clear" w:color="auto" w:fill="auto"/>
                  <w:noWrap w:val="0"/>
                  <w:tcMar>
                    <w:top w:w="15" w:type="dxa"/>
                    <w:left w:w="15" w:type="dxa"/>
                    <w:right w:w="15" w:type="dxa"/>
                  </w:tcMar>
                  <w:vAlign w:val="center"/>
                </w:tcPr>
                <w:p w14:paraId="4CBCC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cs="Times New Roman"/>
                      <w:color w:val="auto"/>
                      <w:sz w:val="21"/>
                      <w:szCs w:val="21"/>
                      <w:highlight w:val="none"/>
                      <w:shd w:val="clear" w:color="auto" w:fill="auto"/>
                      <w:lang w:val="en-US" w:eastAsia="zh-CN"/>
                    </w:rPr>
                    <w:t xml:space="preserve">无  </w:t>
                  </w:r>
                </w:p>
              </w:tc>
              <w:tc>
                <w:tcPr>
                  <w:tcW w:w="545" w:type="dxa"/>
                  <w:tcBorders>
                    <w:tl2br w:val="nil"/>
                    <w:tr2bl w:val="nil"/>
                  </w:tcBorders>
                  <w:shd w:val="clear" w:color="auto" w:fill="auto"/>
                  <w:noWrap w:val="0"/>
                  <w:tcMar>
                    <w:top w:w="15" w:type="dxa"/>
                    <w:left w:w="15" w:type="dxa"/>
                    <w:right w:w="15" w:type="dxa"/>
                  </w:tcMar>
                  <w:vAlign w:val="center"/>
                </w:tcPr>
                <w:p w14:paraId="01E59D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固体</w:t>
                  </w:r>
                </w:p>
              </w:tc>
              <w:tc>
                <w:tcPr>
                  <w:tcW w:w="735" w:type="dxa"/>
                  <w:tcBorders>
                    <w:tl2br w:val="nil"/>
                    <w:tr2bl w:val="nil"/>
                  </w:tcBorders>
                  <w:shd w:val="clear" w:color="auto" w:fill="auto"/>
                  <w:noWrap w:val="0"/>
                  <w:tcMar>
                    <w:top w:w="15" w:type="dxa"/>
                    <w:left w:w="15" w:type="dxa"/>
                    <w:right w:w="15" w:type="dxa"/>
                  </w:tcMar>
                  <w:vAlign w:val="center"/>
                </w:tcPr>
                <w:p w14:paraId="06EB22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ascii="Times New Roman" w:hAnsi="Times New Roman" w:eastAsia="宋体" w:cs="Times New Roman"/>
                      <w:color w:val="auto"/>
                      <w:sz w:val="21"/>
                      <w:szCs w:val="21"/>
                      <w:highlight w:val="none"/>
                      <w:shd w:val="clear" w:color="auto" w:fill="auto"/>
                      <w:lang w:val="en-US" w:eastAsia="zh-CN"/>
                    </w:rPr>
                    <w:t>无</w:t>
                  </w:r>
                </w:p>
              </w:tc>
              <w:tc>
                <w:tcPr>
                  <w:tcW w:w="667" w:type="dxa"/>
                  <w:tcBorders>
                    <w:tl2br w:val="nil"/>
                    <w:tr2bl w:val="nil"/>
                  </w:tcBorders>
                  <w:shd w:val="clear" w:color="auto" w:fill="auto"/>
                  <w:noWrap w:val="0"/>
                  <w:tcMar>
                    <w:top w:w="15" w:type="dxa"/>
                    <w:left w:w="15" w:type="dxa"/>
                    <w:right w:w="15" w:type="dxa"/>
                  </w:tcMar>
                  <w:vAlign w:val="center"/>
                </w:tcPr>
                <w:p w14:paraId="256DEF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cs="Times New Roman"/>
                      <w:color w:val="auto"/>
                      <w:sz w:val="21"/>
                      <w:szCs w:val="21"/>
                      <w:highlight w:val="none"/>
                      <w:shd w:val="clear" w:color="auto" w:fill="auto"/>
                      <w:lang w:val="en-US" w:eastAsia="zh-CN"/>
                    </w:rPr>
                    <w:t>5</w:t>
                  </w:r>
                </w:p>
              </w:tc>
              <w:tc>
                <w:tcPr>
                  <w:tcW w:w="757" w:type="dxa"/>
                  <w:tcBorders>
                    <w:tl2br w:val="nil"/>
                    <w:tr2bl w:val="nil"/>
                  </w:tcBorders>
                  <w:shd w:val="clear" w:color="auto" w:fill="auto"/>
                  <w:noWrap w:val="0"/>
                  <w:tcMar>
                    <w:top w:w="15" w:type="dxa"/>
                    <w:left w:w="15" w:type="dxa"/>
                    <w:right w:w="15" w:type="dxa"/>
                  </w:tcMar>
                  <w:vAlign w:val="center"/>
                </w:tcPr>
                <w:p w14:paraId="5F91BF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color w:val="auto"/>
                      <w:sz w:val="21"/>
                      <w:szCs w:val="21"/>
                      <w:highlight w:val="none"/>
                      <w:lang w:val="en-US" w:eastAsia="zh-CN"/>
                    </w:rPr>
                    <w:t>/</w:t>
                  </w:r>
                </w:p>
              </w:tc>
              <w:tc>
                <w:tcPr>
                  <w:tcW w:w="1361" w:type="dxa"/>
                  <w:tcBorders>
                    <w:tl2br w:val="nil"/>
                    <w:tr2bl w:val="nil"/>
                  </w:tcBorders>
                  <w:shd w:val="clear" w:color="auto" w:fill="auto"/>
                  <w:noWrap w:val="0"/>
                  <w:tcMar>
                    <w:top w:w="15" w:type="dxa"/>
                    <w:left w:w="15" w:type="dxa"/>
                    <w:right w:w="15" w:type="dxa"/>
                  </w:tcMar>
                  <w:vAlign w:val="center"/>
                </w:tcPr>
                <w:p w14:paraId="5BB1EB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1"/>
                      <w:szCs w:val="21"/>
                      <w:highlight w:val="none"/>
                      <w:shd w:val="clear" w:color="auto" w:fill="auto"/>
                      <w:lang w:val="en-US" w:eastAsia="zh-CN" w:bidi="ar-SA"/>
                    </w:rPr>
                  </w:pPr>
                  <w:r>
                    <w:rPr>
                      <w:rFonts w:hint="default" w:ascii="Times New Roman" w:hAnsi="Times New Roman" w:eastAsia="宋体" w:cs="Times New Roman"/>
                      <w:color w:val="auto"/>
                      <w:sz w:val="21"/>
                      <w:szCs w:val="21"/>
                      <w:highlight w:val="none"/>
                      <w:shd w:val="clear" w:color="auto" w:fill="auto"/>
                      <w:lang w:val="en-US" w:eastAsia="zh-CN"/>
                    </w:rPr>
                    <w:t>与建筑垃圾一起堆填处理</w:t>
                  </w:r>
                </w:p>
              </w:tc>
              <w:tc>
                <w:tcPr>
                  <w:tcW w:w="833" w:type="dxa"/>
                  <w:tcBorders>
                    <w:tl2br w:val="nil"/>
                    <w:tr2bl w:val="nil"/>
                  </w:tcBorders>
                  <w:shd w:val="clear" w:color="auto" w:fill="auto"/>
                  <w:noWrap w:val="0"/>
                  <w:tcMar>
                    <w:top w:w="15" w:type="dxa"/>
                    <w:left w:w="15" w:type="dxa"/>
                    <w:right w:w="15" w:type="dxa"/>
                  </w:tcMar>
                  <w:vAlign w:val="center"/>
                </w:tcPr>
                <w:p w14:paraId="5841A3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kern w:val="2"/>
                      <w:sz w:val="21"/>
                      <w:szCs w:val="21"/>
                      <w:highlight w:val="none"/>
                      <w:shd w:val="clear" w:color="auto" w:fill="auto"/>
                      <w:lang w:val="en-US" w:eastAsia="zh-CN" w:bidi="ar-SA"/>
                    </w:rPr>
                  </w:pPr>
                  <w:r>
                    <w:rPr>
                      <w:rFonts w:hint="eastAsia" w:cs="Times New Roman"/>
                      <w:color w:val="auto"/>
                      <w:sz w:val="21"/>
                      <w:szCs w:val="21"/>
                      <w:highlight w:val="none"/>
                      <w:shd w:val="clear" w:color="auto" w:fill="auto"/>
                      <w:lang w:val="en-US" w:eastAsia="zh-CN"/>
                    </w:rPr>
                    <w:t>5</w:t>
                  </w:r>
                </w:p>
              </w:tc>
            </w:tr>
          </w:tbl>
          <w:p w14:paraId="6598F7D3">
            <w:pPr>
              <w:bidi w:val="0"/>
              <w:rPr>
                <w:rFonts w:hint="default"/>
                <w:b w:val="0"/>
                <w:bCs w:val="0"/>
                <w:color w:val="auto"/>
                <w:highlight w:val="none"/>
                <w:lang w:val="en-US" w:eastAsia="zh-CN"/>
              </w:rPr>
            </w:pPr>
            <w:r>
              <w:rPr>
                <w:rFonts w:hint="eastAsia"/>
                <w:b w:val="0"/>
                <w:bCs w:val="0"/>
                <w:color w:val="auto"/>
                <w:highlight w:val="none"/>
                <w:lang w:val="en-US" w:eastAsia="zh-CN"/>
              </w:rPr>
              <w:t>本项目洗车平台污泥、沉淀池和沉砂池沉渣产生量少，定期清理后采用防渗漏袋密闭包装，直接与建筑垃圾一起堆填，不在场区内贮存。</w:t>
            </w:r>
          </w:p>
          <w:p w14:paraId="41E360E9">
            <w:pPr>
              <w:bidi w:val="0"/>
              <w:rPr>
                <w:rFonts w:hint="eastAsia"/>
                <w:b/>
                <w:bCs/>
                <w:color w:val="auto"/>
                <w:highlight w:val="none"/>
                <w:lang w:val="en-US" w:eastAsia="zh-CN"/>
              </w:rPr>
            </w:pPr>
            <w:r>
              <w:rPr>
                <w:rFonts w:hint="eastAsia"/>
                <w:b/>
                <w:bCs/>
                <w:color w:val="auto"/>
                <w:highlight w:val="none"/>
                <w:lang w:val="en-US" w:eastAsia="zh-CN"/>
              </w:rPr>
              <w:t>4.1.2一般工业固体废物台账管理要求</w:t>
            </w:r>
          </w:p>
          <w:p w14:paraId="7230D6F1">
            <w:pPr>
              <w:numPr>
                <w:ilvl w:val="0"/>
                <w:numId w:val="36"/>
              </w:numPr>
              <w:bidi w:val="0"/>
              <w:rPr>
                <w:rFonts w:hint="eastAsia"/>
                <w:color w:val="auto"/>
                <w:highlight w:val="none"/>
                <w:lang w:val="en-US" w:eastAsia="zh-CN"/>
              </w:rPr>
            </w:pPr>
            <w:r>
              <w:rPr>
                <w:rFonts w:hint="eastAsia"/>
                <w:color w:val="auto"/>
                <w:highlight w:val="none"/>
                <w:lang w:val="en-US" w:eastAsia="zh-CN"/>
              </w:rPr>
              <w:t>一般工业固体废物管理台账实施分级管理，主要用于记录固体废物的基础信息及流向信息，所有产废单位均应当填写。按年度填写一般工业固体废物产生清单；按月度填写一般工业固体废物流向汇总表，记录固体废物的产生、贮存、利用、处置数量和利用、处置方式等信息；按批次填写一般工业固体废物出厂环节记录表，每一批次固体废物的出厂以及转移信息均应当如实记录。</w:t>
            </w:r>
          </w:p>
          <w:p w14:paraId="3D4B9428">
            <w:pPr>
              <w:numPr>
                <w:ilvl w:val="0"/>
                <w:numId w:val="36"/>
              </w:numPr>
              <w:bidi w:val="0"/>
              <w:rPr>
                <w:rFonts w:hint="default"/>
                <w:color w:val="auto"/>
                <w:highlight w:val="none"/>
                <w:lang w:val="en-US" w:eastAsia="zh-CN"/>
              </w:rPr>
            </w:pPr>
            <w:r>
              <w:rPr>
                <w:rFonts w:hint="default"/>
                <w:color w:val="auto"/>
                <w:highlight w:val="none"/>
                <w:lang w:val="en-US" w:eastAsia="zh-CN"/>
              </w:rPr>
              <w:t>产废单位填写台账记录表时，应当根据自身固体废物产生情况</w:t>
            </w:r>
            <w:r>
              <w:rPr>
                <w:rFonts w:hint="eastAsia"/>
                <w:color w:val="auto"/>
                <w:highlight w:val="none"/>
                <w:lang w:val="en-US" w:eastAsia="zh-CN"/>
              </w:rPr>
              <w:t>，选择对应的固体废物种类和代码，并根据固体废物种类确定固体废物的具体名称。</w:t>
            </w:r>
          </w:p>
          <w:p w14:paraId="7EBFF1A9">
            <w:pPr>
              <w:numPr>
                <w:ilvl w:val="0"/>
                <w:numId w:val="36"/>
              </w:numPr>
              <w:bidi w:val="0"/>
              <w:rPr>
                <w:rFonts w:hint="default"/>
                <w:color w:val="auto"/>
                <w:highlight w:val="none"/>
                <w:lang w:val="en-US" w:eastAsia="zh-CN"/>
              </w:rPr>
            </w:pPr>
            <w:r>
              <w:rPr>
                <w:rFonts w:hint="default"/>
                <w:color w:val="auto"/>
                <w:highlight w:val="none"/>
                <w:lang w:val="en-US" w:eastAsia="zh-CN"/>
              </w:rPr>
              <w:t>台账记录表各表单的负责人对记录信息的真实性、完整性和规范性负责</w:t>
            </w:r>
            <w:r>
              <w:rPr>
                <w:rFonts w:hint="eastAsia"/>
                <w:color w:val="auto"/>
                <w:highlight w:val="none"/>
                <w:lang w:val="en-US" w:eastAsia="zh-CN"/>
              </w:rPr>
              <w:t>。</w:t>
            </w:r>
          </w:p>
          <w:p w14:paraId="24D26ED0">
            <w:pPr>
              <w:numPr>
                <w:ilvl w:val="0"/>
                <w:numId w:val="36"/>
              </w:numPr>
              <w:bidi w:val="0"/>
              <w:rPr>
                <w:rFonts w:hint="default"/>
                <w:color w:val="auto"/>
                <w:highlight w:val="none"/>
                <w:lang w:val="en-US" w:eastAsia="zh-CN"/>
              </w:rPr>
            </w:pPr>
            <w:r>
              <w:rPr>
                <w:rFonts w:hint="default"/>
                <w:color w:val="auto"/>
                <w:highlight w:val="none"/>
                <w:lang w:val="en-US" w:eastAsia="zh-CN"/>
              </w:rPr>
              <w:t>产废单位应当设立专人负责台账的管理与归档，一般工业固体废物管理台账保存期限不少于5年</w:t>
            </w:r>
            <w:r>
              <w:rPr>
                <w:rFonts w:hint="eastAsia"/>
                <w:color w:val="auto"/>
                <w:highlight w:val="none"/>
                <w:lang w:val="en-US" w:eastAsia="zh-CN"/>
              </w:rPr>
              <w:t>。</w:t>
            </w:r>
          </w:p>
          <w:p w14:paraId="79283063">
            <w:pPr>
              <w:bidi w:val="0"/>
              <w:ind w:left="0" w:leftChars="0" w:firstLine="0" w:firstLineChars="0"/>
              <w:rPr>
                <w:rFonts w:hint="default"/>
                <w:b/>
                <w:bCs/>
                <w:color w:val="auto"/>
                <w:highlight w:val="none"/>
                <w:lang w:val="en-US" w:eastAsia="zh-CN"/>
              </w:rPr>
            </w:pPr>
            <w:r>
              <w:rPr>
                <w:rFonts w:hint="eastAsia"/>
                <w:b/>
                <w:bCs/>
                <w:color w:val="auto"/>
                <w:sz w:val="24"/>
                <w:szCs w:val="24"/>
                <w:highlight w:val="none"/>
                <w:lang w:val="en-US" w:eastAsia="zh-CN"/>
              </w:rPr>
              <w:t>4.2</w:t>
            </w:r>
            <w:r>
              <w:rPr>
                <w:rFonts w:hint="eastAsia"/>
                <w:b/>
                <w:bCs/>
                <w:color w:val="auto"/>
                <w:highlight w:val="none"/>
                <w:lang w:val="en-US" w:eastAsia="zh-CN"/>
              </w:rPr>
              <w:t xml:space="preserve"> 生活垃圾</w:t>
            </w:r>
          </w:p>
          <w:p w14:paraId="67AF77F2">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color w:val="auto"/>
                <w:highlight w:val="none"/>
              </w:rPr>
            </w:pPr>
            <w:r>
              <w:rPr>
                <w:rFonts w:hint="eastAsia"/>
                <w:b w:val="0"/>
                <w:bCs w:val="0"/>
                <w:color w:val="auto"/>
                <w:sz w:val="24"/>
                <w:szCs w:val="24"/>
                <w:highlight w:val="none"/>
                <w:lang w:val="en-US" w:eastAsia="zh-CN"/>
              </w:rPr>
              <w:t>本项目职工生活会产生一定量的生活垃圾，主要为</w:t>
            </w:r>
            <w:r>
              <w:rPr>
                <w:rFonts w:hint="default"/>
                <w:color w:val="auto"/>
                <w:highlight w:val="none"/>
              </w:rPr>
              <w:t>废纸、废塑料袋等，职工</w:t>
            </w:r>
            <w:r>
              <w:rPr>
                <w:rFonts w:hint="eastAsia"/>
                <w:color w:val="auto"/>
                <w:highlight w:val="none"/>
                <w:lang w:val="en-US" w:eastAsia="zh-CN"/>
              </w:rPr>
              <w:t>生活</w:t>
            </w:r>
            <w:r>
              <w:rPr>
                <w:rFonts w:hint="default"/>
                <w:color w:val="auto"/>
                <w:highlight w:val="none"/>
              </w:rPr>
              <w:t>垃圾</w:t>
            </w:r>
            <w:r>
              <w:rPr>
                <w:rFonts w:hint="eastAsia"/>
                <w:color w:val="auto"/>
                <w:highlight w:val="none"/>
                <w:lang w:val="en-US" w:eastAsia="zh-CN"/>
              </w:rPr>
              <w:t>产生量</w:t>
            </w:r>
            <w:r>
              <w:rPr>
                <w:rFonts w:hint="default"/>
                <w:color w:val="auto"/>
                <w:highlight w:val="none"/>
              </w:rPr>
              <w:t>按0.</w:t>
            </w:r>
            <w:r>
              <w:rPr>
                <w:rFonts w:hint="eastAsia"/>
                <w:color w:val="auto"/>
                <w:highlight w:val="none"/>
                <w:lang w:val="en-US" w:eastAsia="zh-CN"/>
              </w:rPr>
              <w:t>5</w:t>
            </w:r>
            <w:r>
              <w:rPr>
                <w:rFonts w:hint="default"/>
                <w:color w:val="auto"/>
                <w:highlight w:val="none"/>
              </w:rPr>
              <w:t>kg/人•天计，</w:t>
            </w:r>
            <w:r>
              <w:rPr>
                <w:rFonts w:hint="eastAsia"/>
                <w:color w:val="auto"/>
                <w:highlight w:val="none"/>
                <w:lang w:val="en-US" w:eastAsia="zh-CN"/>
              </w:rPr>
              <w:t>本项目年工作360天，劳动定员为5人，生活</w:t>
            </w:r>
            <w:r>
              <w:rPr>
                <w:rFonts w:hint="default"/>
                <w:color w:val="auto"/>
                <w:highlight w:val="none"/>
              </w:rPr>
              <w:t>垃圾产生量为</w:t>
            </w:r>
            <w:r>
              <w:rPr>
                <w:rFonts w:hint="eastAsia"/>
                <w:color w:val="auto"/>
                <w:highlight w:val="none"/>
                <w:lang w:val="en-US" w:eastAsia="zh-CN"/>
              </w:rPr>
              <w:t>0.9t/a，</w:t>
            </w:r>
            <w:r>
              <w:rPr>
                <w:rFonts w:hint="default"/>
                <w:color w:val="auto"/>
                <w:highlight w:val="none"/>
              </w:rPr>
              <w:t>袋装化</w:t>
            </w:r>
            <w:r>
              <w:rPr>
                <w:rFonts w:hint="eastAsia"/>
                <w:color w:val="auto"/>
                <w:highlight w:val="none"/>
                <w:lang w:eastAsia="zh-CN"/>
              </w:rPr>
              <w:t>，</w:t>
            </w:r>
            <w:r>
              <w:rPr>
                <w:rFonts w:hint="default"/>
                <w:color w:val="auto"/>
                <w:highlight w:val="none"/>
              </w:rPr>
              <w:t>集中收集，送当地环卫部门指定地点统一处理。</w:t>
            </w:r>
          </w:p>
          <w:p w14:paraId="460F4721">
            <w:pPr>
              <w:bidi w:val="0"/>
              <w:ind w:left="0" w:leftChars="0" w:firstLine="0" w:firstLineChars="0"/>
              <w:rPr>
                <w:rFonts w:hint="default"/>
                <w:b/>
                <w:bCs/>
                <w:color w:val="auto"/>
                <w:highlight w:val="none"/>
                <w:lang w:val="en-US" w:eastAsia="zh-CN"/>
              </w:rPr>
            </w:pPr>
            <w:r>
              <w:rPr>
                <w:rFonts w:hint="eastAsia"/>
                <w:b/>
                <w:bCs/>
                <w:color w:val="auto"/>
                <w:sz w:val="24"/>
                <w:szCs w:val="24"/>
                <w:highlight w:val="none"/>
                <w:lang w:val="en-US" w:eastAsia="zh-CN"/>
              </w:rPr>
              <w:t>4.3</w:t>
            </w:r>
            <w:r>
              <w:rPr>
                <w:rFonts w:hint="eastAsia"/>
                <w:b/>
                <w:bCs/>
                <w:color w:val="auto"/>
                <w:highlight w:val="none"/>
                <w:lang w:val="en-US" w:eastAsia="zh-CN"/>
              </w:rPr>
              <w:t xml:space="preserve"> 危险废物</w:t>
            </w:r>
          </w:p>
          <w:p w14:paraId="43224482">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textAlignment w:val="auto"/>
              <w:rPr>
                <w:rFonts w:hint="default"/>
                <w:color w:val="auto"/>
                <w:highlight w:val="none"/>
                <w:lang w:val="en-US" w:eastAsia="zh-CN"/>
              </w:rPr>
            </w:pPr>
            <w:r>
              <w:rPr>
                <w:rFonts w:hint="eastAsia"/>
                <w:color w:val="auto"/>
                <w:highlight w:val="none"/>
                <w:lang w:val="en-US" w:eastAsia="zh-CN"/>
              </w:rPr>
              <w:t>本项目机械设备运至专门维修厂维修，不在场区内进行维修，场区内无机械设备维修保养危险废物产生。</w:t>
            </w:r>
          </w:p>
          <w:p w14:paraId="610FC139">
            <w:pPr>
              <w:keepNext w:val="0"/>
              <w:keepLines w:val="0"/>
              <w:pageBreakBefore w:val="0"/>
              <w:widowControl w:val="0"/>
              <w:kinsoku/>
              <w:wordWrap/>
              <w:overflowPunct/>
              <w:topLinePunct w:val="0"/>
              <w:autoSpaceDE/>
              <w:autoSpaceDN/>
              <w:bidi w:val="0"/>
              <w:adjustRightInd/>
              <w:snapToGrid/>
              <w:spacing w:line="480" w:lineRule="exact"/>
              <w:ind w:left="0" w:leftChars="0" w:firstLine="0" w:firstLineChars="0"/>
              <w:textAlignment w:val="auto"/>
              <w:outlineLvl w:val="9"/>
              <w:rPr>
                <w:rFonts w:hint="eastAsia" w:ascii="Times New Roman" w:hAnsi="Times New Roman" w:eastAsia="宋体" w:cs="Times New Roman"/>
                <w:b/>
                <w:bCs/>
                <w:color w:val="auto"/>
                <w:sz w:val="24"/>
                <w:szCs w:val="21"/>
                <w:highlight w:val="none"/>
                <w:shd w:val="clear" w:color="auto" w:fill="auto"/>
                <w:lang w:val="en-US" w:eastAsia="zh-CN"/>
              </w:rPr>
            </w:pPr>
            <w:r>
              <w:rPr>
                <w:rFonts w:hint="eastAsia" w:ascii="Times New Roman" w:hAnsi="Times New Roman" w:eastAsia="宋体" w:cs="Times New Roman"/>
                <w:b/>
                <w:bCs/>
                <w:color w:val="auto"/>
                <w:sz w:val="24"/>
                <w:szCs w:val="21"/>
                <w:highlight w:val="none"/>
                <w:shd w:val="clear" w:color="auto" w:fill="auto"/>
                <w:lang w:val="en-US" w:eastAsia="zh-CN"/>
              </w:rPr>
              <w:t>4.4固体废物影响评价结论</w:t>
            </w:r>
          </w:p>
          <w:p w14:paraId="22C302C9">
            <w:pPr>
              <w:bidi w:val="0"/>
              <w:rPr>
                <w:rFonts w:hint="default"/>
                <w:color w:val="auto"/>
                <w:highlight w:val="none"/>
              </w:rPr>
            </w:pPr>
            <w:r>
              <w:rPr>
                <w:rFonts w:hint="eastAsia"/>
                <w:color w:val="auto"/>
                <w:highlight w:val="none"/>
                <w:lang w:val="en-US" w:eastAsia="zh-CN"/>
              </w:rPr>
              <w:t>采取本项目提出的固体废物处置措施，各固体废物均得到合理处置，不会对环境造成二次污染。</w:t>
            </w:r>
          </w:p>
          <w:p w14:paraId="6681223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b/>
                <w:bCs/>
                <w:color w:val="auto"/>
                <w:highlight w:val="none"/>
                <w:lang w:val="en-US" w:eastAsia="zh-CN"/>
              </w:rPr>
            </w:pPr>
            <w:r>
              <w:rPr>
                <w:rFonts w:hint="eastAsia"/>
                <w:b/>
                <w:bCs/>
                <w:color w:val="auto"/>
                <w:highlight w:val="none"/>
                <w:lang w:val="en-US" w:eastAsia="zh-CN"/>
              </w:rPr>
              <w:t>5.地下水、土壤</w:t>
            </w:r>
          </w:p>
          <w:p w14:paraId="6C286834">
            <w:pPr>
              <w:bidi w:val="0"/>
              <w:rPr>
                <w:rFonts w:hint="eastAsia" w:ascii="Times New Roman" w:hAnsi="Times New Roman" w:eastAsia="宋体" w:cs="Times New Roman"/>
                <w:color w:val="auto"/>
                <w:sz w:val="24"/>
                <w:szCs w:val="21"/>
                <w:highlight w:val="none"/>
                <w:shd w:val="clear" w:color="auto" w:fill="auto"/>
                <w:lang w:eastAsia="zh-CN"/>
              </w:rPr>
            </w:pPr>
            <w:r>
              <w:rPr>
                <w:rFonts w:hint="eastAsia" w:ascii="Times New Roman" w:hAnsi="Times New Roman" w:eastAsia="宋体" w:cs="Times New Roman"/>
                <w:color w:val="auto"/>
                <w:sz w:val="24"/>
                <w:szCs w:val="21"/>
                <w:highlight w:val="none"/>
                <w:shd w:val="clear" w:color="auto" w:fill="auto"/>
                <w:lang w:eastAsia="zh-CN"/>
              </w:rPr>
              <w:t>本项目生产过程产生的废气</w:t>
            </w:r>
            <w:r>
              <w:rPr>
                <w:rFonts w:hint="eastAsia" w:cs="Times New Roman"/>
                <w:color w:val="auto"/>
                <w:sz w:val="24"/>
                <w:szCs w:val="21"/>
                <w:highlight w:val="none"/>
                <w:shd w:val="clear" w:color="auto" w:fill="auto"/>
                <w:lang w:val="en-US" w:eastAsia="zh-CN"/>
              </w:rPr>
              <w:t>污染物</w:t>
            </w:r>
            <w:r>
              <w:rPr>
                <w:rFonts w:hint="eastAsia" w:ascii="Times New Roman" w:hAnsi="Times New Roman" w:eastAsia="宋体" w:cs="Times New Roman"/>
                <w:color w:val="auto"/>
                <w:sz w:val="24"/>
                <w:szCs w:val="21"/>
                <w:highlight w:val="none"/>
                <w:shd w:val="clear" w:color="auto" w:fill="auto"/>
                <w:lang w:val="en-US" w:eastAsia="zh-CN"/>
              </w:rPr>
              <w:t>主要</w:t>
            </w:r>
            <w:r>
              <w:rPr>
                <w:rFonts w:hint="eastAsia" w:ascii="Times New Roman" w:hAnsi="Times New Roman" w:eastAsia="宋体" w:cs="Times New Roman"/>
                <w:color w:val="auto"/>
                <w:sz w:val="24"/>
                <w:szCs w:val="21"/>
                <w:highlight w:val="none"/>
                <w:shd w:val="clear" w:color="auto" w:fill="auto"/>
                <w:lang w:eastAsia="zh-CN"/>
              </w:rPr>
              <w:t>为</w:t>
            </w:r>
            <w:r>
              <w:rPr>
                <w:rFonts w:hint="eastAsia" w:cs="Times New Roman"/>
                <w:color w:val="auto"/>
                <w:sz w:val="24"/>
                <w:szCs w:val="21"/>
                <w:highlight w:val="none"/>
                <w:shd w:val="clear" w:color="auto" w:fill="auto"/>
                <w:lang w:val="en-US" w:eastAsia="zh-CN"/>
              </w:rPr>
              <w:t>颗粒物，</w:t>
            </w:r>
            <w:r>
              <w:rPr>
                <w:rFonts w:hint="eastAsia" w:ascii="Times New Roman" w:hAnsi="Times New Roman" w:eastAsia="宋体" w:cs="Times New Roman"/>
                <w:color w:val="auto"/>
                <w:sz w:val="24"/>
                <w:szCs w:val="21"/>
                <w:highlight w:val="none"/>
                <w:shd w:val="clear" w:color="auto" w:fill="auto"/>
                <w:lang w:eastAsia="zh-CN"/>
              </w:rPr>
              <w:t>排放量较少</w:t>
            </w:r>
            <w:r>
              <w:rPr>
                <w:rFonts w:hint="eastAsia" w:cs="Times New Roman"/>
                <w:color w:val="auto"/>
                <w:sz w:val="24"/>
                <w:szCs w:val="21"/>
                <w:highlight w:val="none"/>
                <w:shd w:val="clear" w:color="auto" w:fill="auto"/>
                <w:lang w:val="en-US" w:eastAsia="zh-CN"/>
              </w:rPr>
              <w:t>，</w:t>
            </w:r>
            <w:r>
              <w:rPr>
                <w:rFonts w:hint="eastAsia" w:ascii="Times New Roman" w:hAnsi="Times New Roman" w:eastAsia="宋体" w:cs="Times New Roman"/>
                <w:color w:val="auto"/>
                <w:sz w:val="24"/>
                <w:szCs w:val="21"/>
                <w:highlight w:val="none"/>
                <w:shd w:val="clear" w:color="auto" w:fill="auto"/>
                <w:lang w:eastAsia="zh-CN"/>
              </w:rPr>
              <w:t>因此</w:t>
            </w:r>
            <w:r>
              <w:rPr>
                <w:rFonts w:hint="eastAsia" w:cs="Times New Roman"/>
                <w:color w:val="auto"/>
                <w:sz w:val="24"/>
                <w:szCs w:val="21"/>
                <w:highlight w:val="none"/>
                <w:shd w:val="clear" w:color="auto" w:fill="auto"/>
                <w:lang w:eastAsia="zh-CN"/>
              </w:rPr>
              <w:t>，</w:t>
            </w:r>
            <w:r>
              <w:rPr>
                <w:rFonts w:hint="eastAsia" w:ascii="Times New Roman" w:hAnsi="Times New Roman" w:eastAsia="宋体" w:cs="Times New Roman"/>
                <w:color w:val="auto"/>
                <w:sz w:val="24"/>
                <w:szCs w:val="21"/>
                <w:highlight w:val="none"/>
                <w:shd w:val="clear" w:color="auto" w:fill="auto"/>
                <w:lang w:eastAsia="zh-CN"/>
              </w:rPr>
              <w:t>不会</w:t>
            </w:r>
            <w:r>
              <w:rPr>
                <w:rFonts w:hint="eastAsia" w:cs="Times New Roman"/>
                <w:color w:val="auto"/>
                <w:sz w:val="24"/>
                <w:szCs w:val="21"/>
                <w:highlight w:val="none"/>
                <w:shd w:val="clear" w:color="auto" w:fill="auto"/>
                <w:lang w:val="en-US" w:eastAsia="zh-CN"/>
              </w:rPr>
              <w:t>通过大气沉降</w:t>
            </w:r>
            <w:r>
              <w:rPr>
                <w:rFonts w:hint="eastAsia" w:ascii="Times New Roman" w:hAnsi="Times New Roman" w:eastAsia="宋体" w:cs="Times New Roman"/>
                <w:color w:val="auto"/>
                <w:sz w:val="24"/>
                <w:szCs w:val="21"/>
                <w:highlight w:val="none"/>
                <w:shd w:val="clear" w:color="auto" w:fill="auto"/>
                <w:lang w:eastAsia="zh-CN"/>
              </w:rPr>
              <w:t>对土壤环境及地下水环境产生明显不利影响。</w:t>
            </w:r>
          </w:p>
          <w:p w14:paraId="6E798EDA">
            <w:pPr>
              <w:bidi w:val="0"/>
              <w:rPr>
                <w:rFonts w:hint="eastAsia"/>
                <w:color w:val="auto"/>
                <w:highlight w:val="none"/>
                <w:lang w:val="en-US" w:eastAsia="zh-CN"/>
              </w:rPr>
            </w:pPr>
            <w:r>
              <w:rPr>
                <w:rFonts w:hint="eastAsia"/>
                <w:color w:val="auto"/>
                <w:highlight w:val="none"/>
                <w:lang w:val="en-US" w:eastAsia="zh-CN"/>
              </w:rPr>
              <w:t>项目洗车废水经洗车平台配套沉淀池沉淀处理后排入清水池循环使用，无废水外排。生活污水主要为盥洗废水，产生量小，泼洒地面抑尘，无废水外排。</w:t>
            </w:r>
          </w:p>
          <w:p w14:paraId="2423A83F">
            <w:pPr>
              <w:bidi w:val="0"/>
              <w:rPr>
                <w:rFonts w:hint="eastAsia" w:ascii="Times New Roman" w:hAnsi="Times New Roman" w:eastAsia="宋体" w:cs="Times New Roman"/>
                <w:color w:val="auto"/>
                <w:sz w:val="24"/>
                <w:szCs w:val="21"/>
                <w:highlight w:val="none"/>
                <w:shd w:val="clear" w:color="auto" w:fill="auto"/>
                <w:lang w:eastAsia="zh-CN"/>
              </w:rPr>
            </w:pPr>
            <w:r>
              <w:rPr>
                <w:rFonts w:hint="eastAsia"/>
                <w:color w:val="auto"/>
                <w:highlight w:val="none"/>
                <w:lang w:val="en-US" w:eastAsia="zh-CN"/>
              </w:rPr>
              <w:t>项目针对雨水在场地周边设置截洪沟，场外雨水经截洪沟收集后经沉砂池消除水流能量和沉淀后排入周边沟渠。项目</w:t>
            </w:r>
            <w:r>
              <w:rPr>
                <w:rFonts w:hint="default"/>
                <w:color w:val="auto"/>
                <w:highlight w:val="none"/>
                <w:lang w:val="en-US" w:eastAsia="zh-CN"/>
              </w:rPr>
              <w:t>设计</w:t>
            </w:r>
            <w:r>
              <w:rPr>
                <w:rFonts w:hint="eastAsia"/>
                <w:color w:val="auto"/>
                <w:highlight w:val="none"/>
                <w:lang w:val="en-US" w:eastAsia="zh-CN"/>
              </w:rPr>
              <w:t>一座容积为</w:t>
            </w:r>
            <w:r>
              <w:rPr>
                <w:rFonts w:hint="default"/>
                <w:color w:val="auto"/>
                <w:highlight w:val="none"/>
                <w:lang w:val="en-US" w:eastAsia="zh-CN"/>
              </w:rPr>
              <w:t>300m</w:t>
            </w:r>
            <w:r>
              <w:rPr>
                <w:rFonts w:hint="default"/>
                <w:color w:val="auto"/>
                <w:highlight w:val="none"/>
                <w:vertAlign w:val="superscript"/>
                <w:lang w:val="en-US" w:eastAsia="zh-CN"/>
              </w:rPr>
              <w:t>3</w:t>
            </w:r>
            <w:r>
              <w:rPr>
                <w:rFonts w:hint="eastAsia"/>
                <w:color w:val="auto"/>
                <w:highlight w:val="none"/>
                <w:lang w:val="en-US" w:eastAsia="zh-CN"/>
              </w:rPr>
              <w:t>沉淀</w:t>
            </w:r>
            <w:r>
              <w:rPr>
                <w:rFonts w:hint="default"/>
                <w:color w:val="auto"/>
                <w:highlight w:val="none"/>
                <w:lang w:val="en-US" w:eastAsia="zh-CN"/>
              </w:rPr>
              <w:t>池</w:t>
            </w:r>
            <w:r>
              <w:rPr>
                <w:rFonts w:hint="eastAsia"/>
                <w:color w:val="auto"/>
                <w:highlight w:val="none"/>
                <w:lang w:val="en-US" w:eastAsia="zh-CN"/>
              </w:rPr>
              <w:t>收集堆填（砌）</w:t>
            </w:r>
            <w:r>
              <w:rPr>
                <w:rFonts w:hint="default"/>
                <w:color w:val="auto"/>
                <w:highlight w:val="none"/>
                <w:lang w:val="en-US" w:eastAsia="zh-CN"/>
              </w:rPr>
              <w:t>区淋溶水</w:t>
            </w:r>
            <w:r>
              <w:rPr>
                <w:rFonts w:hint="eastAsia"/>
                <w:color w:val="auto"/>
                <w:highlight w:val="none"/>
                <w:lang w:val="en-US" w:eastAsia="zh-CN"/>
              </w:rPr>
              <w:t>和地下水渗水，经</w:t>
            </w:r>
            <w:r>
              <w:rPr>
                <w:rFonts w:hint="default"/>
                <w:color w:val="auto"/>
                <w:highlight w:val="none"/>
                <w:lang w:val="en-US" w:eastAsia="zh-CN"/>
              </w:rPr>
              <w:t>收集后</w:t>
            </w:r>
            <w:r>
              <w:rPr>
                <w:rFonts w:hint="eastAsia"/>
                <w:color w:val="auto"/>
                <w:highlight w:val="none"/>
                <w:lang w:val="en-US" w:eastAsia="zh-CN"/>
              </w:rPr>
              <w:t>淋溶水或地下渗水</w:t>
            </w:r>
            <w:r>
              <w:rPr>
                <w:rFonts w:hint="default"/>
                <w:color w:val="auto"/>
                <w:highlight w:val="none"/>
                <w:lang w:val="en-US" w:eastAsia="zh-CN"/>
              </w:rPr>
              <w:t>分批次回用于</w:t>
            </w:r>
            <w:r>
              <w:rPr>
                <w:rFonts w:hint="eastAsia"/>
                <w:color w:val="auto"/>
                <w:highlight w:val="none"/>
                <w:lang w:val="en-US" w:eastAsia="zh-CN"/>
              </w:rPr>
              <w:t>堆填（砌）</w:t>
            </w:r>
            <w:r>
              <w:rPr>
                <w:rFonts w:hint="default"/>
                <w:color w:val="auto"/>
                <w:highlight w:val="none"/>
                <w:lang w:val="en-US" w:eastAsia="zh-CN"/>
              </w:rPr>
              <w:t>区喷淋</w:t>
            </w:r>
            <w:r>
              <w:rPr>
                <w:rFonts w:hint="eastAsia"/>
                <w:color w:val="auto"/>
                <w:highlight w:val="none"/>
                <w:lang w:val="en-US" w:eastAsia="zh-CN"/>
              </w:rPr>
              <w:t>洒水</w:t>
            </w:r>
            <w:r>
              <w:rPr>
                <w:rFonts w:hint="default"/>
                <w:color w:val="auto"/>
                <w:highlight w:val="none"/>
                <w:lang w:val="en-US" w:eastAsia="zh-CN"/>
              </w:rPr>
              <w:t>的补充水，不外排</w:t>
            </w:r>
            <w:r>
              <w:rPr>
                <w:rFonts w:hint="eastAsia"/>
                <w:color w:val="auto"/>
                <w:highlight w:val="none"/>
                <w:lang w:val="en-US" w:eastAsia="zh-CN"/>
              </w:rPr>
              <w:t>。项目不会通过地表径流</w:t>
            </w:r>
            <w:r>
              <w:rPr>
                <w:rFonts w:hint="eastAsia" w:ascii="Times New Roman" w:hAnsi="Times New Roman" w:eastAsia="宋体" w:cs="Times New Roman"/>
                <w:color w:val="auto"/>
                <w:sz w:val="24"/>
                <w:szCs w:val="21"/>
                <w:highlight w:val="none"/>
                <w:shd w:val="clear" w:color="auto" w:fill="auto"/>
                <w:lang w:eastAsia="zh-CN"/>
              </w:rPr>
              <w:t>对土壤环境及地下水环境产生明显不利影响。</w:t>
            </w:r>
          </w:p>
          <w:p w14:paraId="6AF705D1">
            <w:pPr>
              <w:bidi w:val="0"/>
              <w:rPr>
                <w:rFonts w:hint="eastAsia"/>
                <w:color w:val="auto"/>
                <w:highlight w:val="none"/>
                <w:lang w:val="en-US" w:eastAsia="zh-CN"/>
              </w:rPr>
            </w:pPr>
            <w:r>
              <w:rPr>
                <w:rFonts w:hint="eastAsia"/>
                <w:color w:val="auto"/>
                <w:highlight w:val="none"/>
                <w:lang w:val="en-US" w:eastAsia="zh-CN"/>
              </w:rPr>
              <w:t>本项目场区不设油品储存区和设备维修设施，机械设备运至专门维修厂维修，场区内无机械设备维修保养危险废物产生。项目对</w:t>
            </w:r>
            <w:r>
              <w:rPr>
                <w:rFonts w:hint="eastAsia" w:ascii="Times New Roman" w:hAnsi="Times New Roman" w:eastAsia="宋体" w:cs="Times New Roman"/>
                <w:color w:val="auto"/>
                <w:sz w:val="24"/>
                <w:szCs w:val="21"/>
                <w:highlight w:val="none"/>
                <w:shd w:val="clear" w:color="auto" w:fill="auto"/>
                <w:lang w:eastAsia="zh-CN"/>
              </w:rPr>
              <w:t>土壤及地下水环境</w:t>
            </w:r>
            <w:r>
              <w:rPr>
                <w:rFonts w:hint="eastAsia" w:cs="Times New Roman"/>
                <w:color w:val="auto"/>
                <w:sz w:val="24"/>
                <w:szCs w:val="21"/>
                <w:highlight w:val="none"/>
                <w:shd w:val="clear" w:color="auto" w:fill="auto"/>
                <w:lang w:val="en-US" w:eastAsia="zh-CN"/>
              </w:rPr>
              <w:t>的影响途径可能是沉砂池、沉淀池收集的水，堆填（砌）区的淋溶水，洗车平台废水以及集水设施等垂直入渗。</w:t>
            </w:r>
          </w:p>
          <w:p w14:paraId="37245DB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val="en-US" w:eastAsia="zh-CN"/>
              </w:rPr>
              <w:t>参照</w:t>
            </w:r>
            <w:r>
              <w:rPr>
                <w:rFonts w:hint="eastAsia"/>
                <w:color w:val="auto"/>
                <w:highlight w:val="none"/>
                <w:lang w:eastAsia="zh-CN"/>
              </w:rPr>
              <w:t>《环境影响评价技术导则</w:t>
            </w:r>
            <w:r>
              <w:rPr>
                <w:rFonts w:hint="eastAsia"/>
                <w:color w:val="auto"/>
                <w:highlight w:val="none"/>
                <w:lang w:val="en-US" w:eastAsia="zh-CN"/>
              </w:rPr>
              <w:t xml:space="preserve"> </w:t>
            </w:r>
            <w:r>
              <w:rPr>
                <w:rFonts w:hint="eastAsia"/>
                <w:color w:val="auto"/>
                <w:highlight w:val="none"/>
                <w:lang w:eastAsia="zh-CN"/>
              </w:rPr>
              <w:t>地下水环境》（HJ610-2016）</w:t>
            </w:r>
            <w:r>
              <w:rPr>
                <w:rFonts w:hint="eastAsia"/>
                <w:color w:val="auto"/>
                <w:highlight w:val="none"/>
                <w:lang w:val="en-US" w:eastAsia="zh-CN"/>
              </w:rPr>
              <w:t>中</w:t>
            </w:r>
            <w:r>
              <w:rPr>
                <w:rFonts w:hint="eastAsia"/>
                <w:color w:val="auto"/>
                <w:highlight w:val="none"/>
                <w:lang w:eastAsia="zh-CN"/>
              </w:rPr>
              <w:t>关于地下水环境保护措施与对策基本要求，地下水环境保护措施与对策应符合《中华人民共和国水污染防治法》和《中华人民共和国环境影响评价法》（《中华人民共和国水污染防治法》和《中华人民共和国环境影响评价法》</w:t>
            </w:r>
            <w:r>
              <w:rPr>
                <w:rFonts w:hint="eastAsia"/>
                <w:color w:val="auto"/>
                <w:highlight w:val="none"/>
                <w:lang w:val="en-US" w:eastAsia="zh-CN"/>
              </w:rPr>
              <w:t>现已被</w:t>
            </w:r>
            <w:r>
              <w:rPr>
                <w:rFonts w:hint="default"/>
                <w:color w:val="auto"/>
                <w:highlight w:val="none"/>
              </w:rPr>
              <w:t>《</w:t>
            </w:r>
            <w:r>
              <w:rPr>
                <w:rFonts w:hint="eastAsia"/>
                <w:color w:val="auto"/>
                <w:highlight w:val="none"/>
              </w:rPr>
              <w:t>中华人民共和国生态环境法典</w:t>
            </w:r>
            <w:r>
              <w:rPr>
                <w:rFonts w:hint="default"/>
                <w:color w:val="auto"/>
                <w:highlight w:val="none"/>
              </w:rPr>
              <w:t>》</w:t>
            </w:r>
            <w:r>
              <w:rPr>
                <w:rFonts w:hint="eastAsia"/>
                <w:color w:val="auto"/>
                <w:highlight w:val="none"/>
                <w:lang w:val="en-US" w:eastAsia="zh-CN"/>
              </w:rPr>
              <w:t>替代</w:t>
            </w:r>
            <w:r>
              <w:rPr>
                <w:rFonts w:hint="eastAsia"/>
                <w:color w:val="auto"/>
                <w:highlight w:val="none"/>
                <w:lang w:eastAsia="zh-CN"/>
              </w:rPr>
              <w:t>）的相关规定，按照“源头控制、分区防控、污染监控、应急响应”的原则确定。结合本项目工程类型及污染源分布，提出以下防治原则：</w:t>
            </w:r>
          </w:p>
          <w:p w14:paraId="1F19A7E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）控制进场垃圾的含水率；严格控制进场废物的种类；</w:t>
            </w:r>
          </w:p>
          <w:p w14:paraId="4B42919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）实行雨污分流、污污分流并设置雨水集排水系统，以收集、排出汇水区内可能流向堆填（砌）区的雨水、上游雨水及未堆填（砌）区域内未与建筑垃圾接触的雨水；</w:t>
            </w:r>
          </w:p>
          <w:p w14:paraId="18EA0BD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）严格按照相关规范设计要求完善堆填（砌）场周围的盖板暗涵等截流设施，尽可能减小堆填（砌）区的汇水面积，进而使进入到堆填（砌）场堆填（砌）区的大气降水量减少到最小；</w:t>
            </w:r>
          </w:p>
          <w:p w14:paraId="604EEAD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）禁止不能进入建筑垃圾堆填（砌）场的物质进场。</w:t>
            </w:r>
          </w:p>
          <w:p w14:paraId="23BF243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（5）一般防渗区：洗车平台：设置为地下式抗渗混凝土结构，渗透系数</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w:t>
            </w:r>
            <w:r>
              <w:rPr>
                <w:rFonts w:hint="default"/>
                <w:color w:val="auto"/>
                <w:highlight w:val="none"/>
                <w:lang w:val="en-US" w:eastAsia="zh-CN"/>
              </w:rPr>
              <w:t>10</w:t>
            </w:r>
            <w:r>
              <w:rPr>
                <w:rFonts w:hint="default"/>
                <w:color w:val="auto"/>
                <w:highlight w:val="none"/>
                <w:vertAlign w:val="superscript"/>
                <w:lang w:val="en-US" w:eastAsia="zh-CN"/>
              </w:rPr>
              <w:t>-7</w:t>
            </w:r>
            <w:r>
              <w:rPr>
                <w:rFonts w:hint="default"/>
                <w:color w:val="auto"/>
                <w:highlight w:val="none"/>
                <w:lang w:val="en-US" w:eastAsia="zh-CN"/>
              </w:rPr>
              <w:t>cm/s</w:t>
            </w:r>
            <w:r>
              <w:rPr>
                <w:rFonts w:hint="eastAsia"/>
                <w:color w:val="auto"/>
                <w:highlight w:val="none"/>
                <w:lang w:val="en-US" w:eastAsia="zh-CN"/>
              </w:rPr>
              <w:t>；堆填（砌）区底部及边坡：对坑体内底部及边坡进行清表，原地基整平、压实（压实系数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0.9）后，采用改性压实黏土类衬里作为防渗结构，饱和渗透系数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1</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-7</w:t>
            </w:r>
            <w:r>
              <w:rPr>
                <w:rFonts w:hint="eastAsia"/>
                <w:color w:val="auto"/>
                <w:highlight w:val="none"/>
                <w:lang w:val="en-US" w:eastAsia="zh-CN"/>
              </w:rPr>
              <w:t>cm/s；场区截洪沟：采用浆砌块石砌筑，沟底铺设厚度</w:t>
            </w:r>
            <w:r>
              <w:rPr>
                <w:rFonts w:hint="default"/>
                <w:color w:val="auto"/>
                <w:highlight w:val="none"/>
                <w:lang w:val="en-US" w:eastAsia="zh-CN"/>
              </w:rPr>
              <w:t>15</w:t>
            </w:r>
            <w:r>
              <w:rPr>
                <w:rFonts w:hint="eastAsia"/>
                <w:color w:val="auto"/>
                <w:highlight w:val="none"/>
                <w:lang w:val="en-US" w:eastAsia="zh-CN"/>
              </w:rPr>
              <w:t>厘米的</w:t>
            </w:r>
            <w:r>
              <w:rPr>
                <w:rFonts w:hint="default"/>
                <w:color w:val="auto"/>
                <w:highlight w:val="none"/>
                <w:lang w:val="en-US" w:eastAsia="zh-CN"/>
              </w:rPr>
              <w:t>C15</w:t>
            </w:r>
            <w:r>
              <w:rPr>
                <w:rFonts w:hint="eastAsia"/>
                <w:color w:val="auto"/>
                <w:highlight w:val="none"/>
                <w:lang w:val="en-US" w:eastAsia="zh-CN"/>
              </w:rPr>
              <w:t>混凝土垫层；明渠为</w:t>
            </w:r>
            <w:r>
              <w:rPr>
                <w:rFonts w:hint="default"/>
                <w:color w:val="auto"/>
                <w:highlight w:val="none"/>
                <w:lang w:val="en-US" w:eastAsia="zh-CN"/>
              </w:rPr>
              <w:t>370</w:t>
            </w:r>
            <w:r>
              <w:rPr>
                <w:rFonts w:hint="eastAsia"/>
                <w:color w:val="auto"/>
                <w:highlight w:val="none"/>
                <w:lang w:val="en-US" w:eastAsia="zh-CN"/>
              </w:rPr>
              <w:t>厚砖砌墙；雨水沉砂池和沉淀池均采用浆砌石砌筑，确保渗透系数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-7</w:t>
            </w:r>
            <w:r>
              <w:rPr>
                <w:rFonts w:hint="eastAsia"/>
                <w:color w:val="auto"/>
                <w:highlight w:val="none"/>
                <w:lang w:val="en-US" w:eastAsia="zh-CN"/>
              </w:rPr>
              <w:t>cm/s，集水管采用</w:t>
            </w:r>
            <w:r>
              <w:rPr>
                <w:rFonts w:hint="default"/>
                <w:color w:val="auto"/>
                <w:highlight w:val="none"/>
                <w:lang w:val="en-US" w:eastAsia="zh-CN"/>
              </w:rPr>
              <w:t>HDPE穿孔花管</w:t>
            </w:r>
            <w:r>
              <w:rPr>
                <w:rFonts w:hint="eastAsia"/>
                <w:color w:val="auto"/>
                <w:highlight w:val="none"/>
                <w:lang w:val="en-US" w:eastAsia="zh-CN"/>
              </w:rPr>
              <w:t>。</w:t>
            </w:r>
          </w:p>
          <w:p w14:paraId="44C3452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（6）办公区及厂区地面为简单防渗区，地面非绿即硬。</w:t>
            </w:r>
          </w:p>
          <w:p w14:paraId="6EE426E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（7）堆填（砌）</w:t>
            </w:r>
            <w:r>
              <w:rPr>
                <w:rFonts w:hint="default"/>
                <w:color w:val="auto"/>
                <w:highlight w:val="none"/>
                <w:lang w:val="en-US" w:eastAsia="zh-CN"/>
              </w:rPr>
              <w:t>场封场覆盖结构各层由下至上依次为</w:t>
            </w:r>
            <w:r>
              <w:rPr>
                <w:rFonts w:hint="eastAsia"/>
                <w:color w:val="auto"/>
                <w:highlight w:val="none"/>
                <w:lang w:val="en-US" w:eastAsia="zh-CN"/>
              </w:rPr>
              <w:t>：</w:t>
            </w:r>
            <w:r>
              <w:rPr>
                <w:rFonts w:hint="default"/>
                <w:color w:val="auto"/>
                <w:highlight w:val="none"/>
                <w:lang w:val="en-US" w:eastAsia="zh-CN"/>
              </w:rPr>
              <w:t>防渗层、排水层与植被层</w:t>
            </w:r>
            <w:r>
              <w:rPr>
                <w:rFonts w:hint="eastAsia"/>
                <w:color w:val="auto"/>
                <w:highlight w:val="none"/>
                <w:lang w:val="en-US" w:eastAsia="zh-CN"/>
              </w:rPr>
              <w:t>。</w:t>
            </w:r>
          </w:p>
          <w:p w14:paraId="566AF31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default"/>
                <w:color w:val="auto"/>
                <w:highlight w:val="none"/>
                <w:lang w:val="en-US" w:eastAsia="zh-CN"/>
              </w:rPr>
              <w:t>防渗层</w:t>
            </w:r>
            <w:r>
              <w:rPr>
                <w:rFonts w:hint="eastAsia"/>
                <w:color w:val="auto"/>
                <w:highlight w:val="none"/>
                <w:lang w:val="en-US" w:eastAsia="zh-CN"/>
              </w:rPr>
              <w:t>：</w:t>
            </w:r>
            <w:r>
              <w:rPr>
                <w:rFonts w:hint="default"/>
                <w:color w:val="auto"/>
                <w:highlight w:val="none"/>
                <w:lang w:val="en-US" w:eastAsia="zh-CN"/>
              </w:rPr>
              <w:t>采用黏土层，采用黏土层的渗透系数不应大于1</w:t>
            </w:r>
            <w:r>
              <w:rPr>
                <w:rFonts w:hint="eastAsia"/>
                <w:color w:val="auto"/>
                <w:highlight w:val="none"/>
                <w:lang w:val="en-US" w:eastAsia="zh-CN"/>
              </w:rPr>
              <w:t>.0</w:t>
            </w:r>
            <w:r>
              <w:rPr>
                <w:rFonts w:hint="default"/>
                <w:color w:val="auto"/>
                <w:highlight w:val="none"/>
                <w:lang w:val="en-US" w:eastAsia="zh-CN"/>
              </w:rPr>
              <w:t>×10</w:t>
            </w:r>
            <w:r>
              <w:rPr>
                <w:rFonts w:hint="default"/>
                <w:color w:val="auto"/>
                <w:highlight w:val="none"/>
                <w:vertAlign w:val="superscript"/>
                <w:lang w:val="en-US" w:eastAsia="zh-CN"/>
              </w:rPr>
              <w:t>-7</w:t>
            </w:r>
            <w:r>
              <w:rPr>
                <w:rFonts w:hint="default"/>
                <w:color w:val="auto"/>
                <w:highlight w:val="none"/>
                <w:lang w:val="en-US" w:eastAsia="zh-CN"/>
              </w:rPr>
              <w:t>cm/s，厚度为30cm</w:t>
            </w:r>
            <w:r>
              <w:rPr>
                <w:rFonts w:hint="eastAsia"/>
                <w:color w:val="auto"/>
                <w:highlight w:val="none"/>
                <w:lang w:val="en-US" w:eastAsia="zh-CN"/>
              </w:rPr>
              <w:t>；</w:t>
            </w:r>
            <w:r>
              <w:rPr>
                <w:rFonts w:hint="default"/>
                <w:color w:val="auto"/>
                <w:highlight w:val="none"/>
                <w:lang w:val="en-US" w:eastAsia="zh-CN"/>
              </w:rPr>
              <w:t>排水层</w:t>
            </w:r>
            <w:r>
              <w:rPr>
                <w:rFonts w:hint="eastAsia"/>
                <w:color w:val="auto"/>
                <w:highlight w:val="none"/>
                <w:lang w:val="en-US" w:eastAsia="zh-CN"/>
              </w:rPr>
              <w:t>：采用卵石，厚度为30cm，边坡采用土工复合排水网，厚度为5mm；</w:t>
            </w:r>
            <w:r>
              <w:rPr>
                <w:rFonts w:hint="default"/>
                <w:color w:val="auto"/>
                <w:highlight w:val="none"/>
                <w:lang w:val="en-US" w:eastAsia="zh-CN"/>
              </w:rPr>
              <w:t>植被层</w:t>
            </w:r>
            <w:r>
              <w:rPr>
                <w:rFonts w:hint="eastAsia"/>
                <w:color w:val="auto"/>
                <w:highlight w:val="none"/>
                <w:lang w:val="en-US" w:eastAsia="zh-CN"/>
              </w:rPr>
              <w:t>：采用自然土加表层营养土回填，自然土厚度为35cm，营养土厚度为15cm，植被层压实度大于80%</w:t>
            </w:r>
            <w:r>
              <w:rPr>
                <w:rFonts w:hint="default"/>
                <w:color w:val="auto"/>
                <w:highlight w:val="none"/>
                <w:lang w:val="en-US" w:eastAsia="zh-CN"/>
              </w:rPr>
              <w:t>。</w:t>
            </w:r>
          </w:p>
          <w:p w14:paraId="62E7590B">
            <w:pPr>
              <w:keepNext w:val="0"/>
              <w:keepLines w:val="0"/>
              <w:widowControl/>
              <w:suppressLineNumbers w:val="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项目严格按照要求采取防渗措施，确保防渗效果。采取以上措施后，项目切断了污染物入渗土壤及地下水的途径，因此，正常生产情况下，</w:t>
            </w:r>
            <w:r>
              <w:rPr>
                <w:rFonts w:hint="eastAsia" w:ascii="宋体" w:hAnsi="宋体" w:cs="宋体"/>
                <w:color w:val="auto"/>
                <w:kern w:val="0"/>
                <w:sz w:val="24"/>
                <w:szCs w:val="24"/>
                <w:highlight w:val="none"/>
                <w:lang w:val="en-US" w:eastAsia="zh-CN" w:bidi="ar"/>
              </w:rPr>
              <w:t>项目</w:t>
            </w:r>
            <w:r>
              <w:rPr>
                <w:rFonts w:hint="eastAsia" w:ascii="宋体" w:hAnsi="宋体" w:eastAsia="宋体" w:cs="宋体"/>
                <w:color w:val="auto"/>
                <w:kern w:val="0"/>
                <w:sz w:val="24"/>
                <w:szCs w:val="24"/>
                <w:highlight w:val="none"/>
                <w:lang w:val="en-US" w:eastAsia="zh-CN" w:bidi="ar"/>
              </w:rPr>
              <w:t>对土壤、地下水没有污染途径，本项目对场区及附近地下水、土壤环境的影响较小。</w:t>
            </w:r>
          </w:p>
          <w:p w14:paraId="75F1BD3A">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为了及时准确的掌握项目所在地周围地下水和土壤环境质量状况和动态变化情况，应对项目区所在区域地下水和土壤环境质量进行定期的监测。因此，</w:t>
            </w:r>
            <w:r>
              <w:rPr>
                <w:rFonts w:hint="eastAsia" w:cs="Times New Roman"/>
                <w:color w:val="auto"/>
                <w:kern w:val="0"/>
                <w:sz w:val="24"/>
                <w:szCs w:val="24"/>
                <w:highlight w:val="none"/>
                <w:lang w:val="en-US" w:eastAsia="zh-CN" w:bidi="ar"/>
              </w:rPr>
              <w:t>本项目</w:t>
            </w:r>
            <w:r>
              <w:rPr>
                <w:rFonts w:hint="default" w:ascii="Times New Roman" w:hAnsi="Times New Roman" w:eastAsia="宋体" w:cs="Times New Roman"/>
                <w:color w:val="auto"/>
                <w:kern w:val="0"/>
                <w:sz w:val="24"/>
                <w:szCs w:val="24"/>
                <w:highlight w:val="none"/>
                <w:lang w:val="en-US" w:eastAsia="zh-CN" w:bidi="ar"/>
              </w:rPr>
              <w:t>参照《建筑垃圾处理技术标准》（CJJ/T134-2019）、《建筑垃圾污染控制技术规范》</w:t>
            </w:r>
            <w:r>
              <w:rPr>
                <w:rFonts w:hint="eastAsia"/>
                <w:color w:val="auto"/>
                <w:highlight w:val="none"/>
                <w:lang w:val="en-US" w:eastAsia="zh-CN"/>
              </w:rPr>
              <w:t>（HJ 1462-2026）</w:t>
            </w:r>
            <w:r>
              <w:rPr>
                <w:rFonts w:hint="default" w:ascii="Times New Roman" w:hAnsi="Times New Roman" w:eastAsia="宋体" w:cs="Times New Roman"/>
                <w:color w:val="auto"/>
                <w:kern w:val="0"/>
                <w:sz w:val="24"/>
                <w:szCs w:val="24"/>
                <w:highlight w:val="none"/>
                <w:lang w:val="en-US" w:eastAsia="zh-CN" w:bidi="ar"/>
              </w:rPr>
              <w:t>和《排污单位自行监测技术指南 总则》（HJ819-2017），并结合本项目实际情况，提出如下跟踪监测计划。</w:t>
            </w:r>
          </w:p>
          <w:p w14:paraId="04E573AD">
            <w:pPr>
              <w:pStyle w:val="36"/>
              <w:numPr>
                <w:ilvl w:val="0"/>
                <w:numId w:val="27"/>
              </w:numPr>
              <w:bidi w:val="0"/>
              <w:rPr>
                <w:rFonts w:hint="eastAsia"/>
                <w:color w:val="auto"/>
                <w:highlight w:val="none"/>
              </w:rPr>
            </w:pPr>
            <w:r>
              <w:rPr>
                <w:rFonts w:hint="eastAsia"/>
                <w:color w:val="auto"/>
                <w:highlight w:val="none"/>
                <w:lang w:val="en-US" w:eastAsia="zh-CN"/>
              </w:rPr>
              <w:t>地下水</w:t>
            </w:r>
            <w:r>
              <w:rPr>
                <w:rFonts w:hint="eastAsia"/>
                <w:color w:val="auto"/>
                <w:highlight w:val="none"/>
              </w:rPr>
              <w:t>跟踪监测计划一览表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463"/>
              <w:gridCol w:w="975"/>
              <w:gridCol w:w="890"/>
              <w:gridCol w:w="1041"/>
              <w:gridCol w:w="1631"/>
              <w:gridCol w:w="1712"/>
              <w:gridCol w:w="1395"/>
            </w:tblGrid>
            <w:tr w14:paraId="4D9CB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57" w:hRule="atLeast"/>
                <w:tblHeader/>
                <w:jc w:val="center"/>
              </w:trPr>
              <w:tc>
                <w:tcPr>
                  <w:tcW w:w="463" w:type="dxa"/>
                  <w:tcBorders>
                    <w:tl2br w:val="nil"/>
                    <w:tr2bl w:val="nil"/>
                  </w:tcBorders>
                  <w:noWrap w:val="0"/>
                  <w:vAlign w:val="center"/>
                </w:tcPr>
                <w:p w14:paraId="4E56B6AC">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975" w:type="dxa"/>
                  <w:tcBorders>
                    <w:tl2br w:val="nil"/>
                    <w:tr2bl w:val="nil"/>
                  </w:tcBorders>
                  <w:noWrap w:val="0"/>
                  <w:tcMar>
                    <w:top w:w="15" w:type="dxa"/>
                    <w:left w:w="15" w:type="dxa"/>
                    <w:bottom w:w="0" w:type="dxa"/>
                    <w:right w:w="15" w:type="dxa"/>
                  </w:tcMar>
                  <w:vAlign w:val="center"/>
                </w:tcPr>
                <w:p w14:paraId="5A55AE7B">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流场方位</w:t>
                  </w:r>
                </w:p>
              </w:tc>
              <w:tc>
                <w:tcPr>
                  <w:tcW w:w="890" w:type="dxa"/>
                  <w:tcBorders>
                    <w:tl2br w:val="nil"/>
                    <w:tr2bl w:val="nil"/>
                  </w:tcBorders>
                  <w:noWrap w:val="0"/>
                  <w:vAlign w:val="center"/>
                </w:tcPr>
                <w:p w14:paraId="52350FF8">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功能</w:t>
                  </w:r>
                </w:p>
              </w:tc>
              <w:tc>
                <w:tcPr>
                  <w:tcW w:w="1041" w:type="dxa"/>
                  <w:tcBorders>
                    <w:tl2br w:val="nil"/>
                    <w:tr2bl w:val="nil"/>
                  </w:tcBorders>
                  <w:noWrap w:val="0"/>
                  <w:tcMar>
                    <w:top w:w="15" w:type="dxa"/>
                    <w:left w:w="15" w:type="dxa"/>
                    <w:bottom w:w="0" w:type="dxa"/>
                    <w:right w:w="15" w:type="dxa"/>
                  </w:tcMar>
                  <w:vAlign w:val="center"/>
                </w:tcPr>
                <w:p w14:paraId="573F8DAB">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监测层位</w:t>
                  </w:r>
                </w:p>
              </w:tc>
              <w:tc>
                <w:tcPr>
                  <w:tcW w:w="1631" w:type="dxa"/>
                  <w:tcBorders>
                    <w:tl2br w:val="nil"/>
                    <w:tr2bl w:val="nil"/>
                  </w:tcBorders>
                  <w:noWrap w:val="0"/>
                  <w:tcMar>
                    <w:top w:w="15" w:type="dxa"/>
                    <w:left w:w="15" w:type="dxa"/>
                    <w:bottom w:w="0" w:type="dxa"/>
                    <w:right w:w="15" w:type="dxa"/>
                  </w:tcMar>
                  <w:vAlign w:val="center"/>
                </w:tcPr>
                <w:p w14:paraId="2B3223AB">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监测频率</w:t>
                  </w:r>
                </w:p>
              </w:tc>
              <w:tc>
                <w:tcPr>
                  <w:tcW w:w="1712" w:type="dxa"/>
                  <w:tcBorders>
                    <w:tl2br w:val="nil"/>
                    <w:tr2bl w:val="nil"/>
                  </w:tcBorders>
                  <w:noWrap w:val="0"/>
                  <w:tcMar>
                    <w:top w:w="15" w:type="dxa"/>
                    <w:left w:w="15" w:type="dxa"/>
                    <w:bottom w:w="0" w:type="dxa"/>
                    <w:right w:w="15" w:type="dxa"/>
                  </w:tcMar>
                  <w:vAlign w:val="center"/>
                </w:tcPr>
                <w:p w14:paraId="110AF1E5">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监测项目</w:t>
                  </w:r>
                </w:p>
              </w:tc>
              <w:tc>
                <w:tcPr>
                  <w:tcW w:w="1395" w:type="dxa"/>
                  <w:tcBorders>
                    <w:tl2br w:val="nil"/>
                    <w:tr2bl w:val="nil"/>
                  </w:tcBorders>
                  <w:noWrap w:val="0"/>
                  <w:tcMar>
                    <w:top w:w="15" w:type="dxa"/>
                    <w:left w:w="15" w:type="dxa"/>
                    <w:bottom w:w="0" w:type="dxa"/>
                    <w:right w:w="15" w:type="dxa"/>
                  </w:tcMar>
                  <w:vAlign w:val="center"/>
                </w:tcPr>
                <w:p w14:paraId="269B5273">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执行标准</w:t>
                  </w:r>
                </w:p>
              </w:tc>
            </w:tr>
            <w:tr w14:paraId="791829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122" w:hRule="atLeast"/>
                <w:jc w:val="center"/>
              </w:trPr>
              <w:tc>
                <w:tcPr>
                  <w:tcW w:w="463" w:type="dxa"/>
                  <w:tcBorders>
                    <w:tl2br w:val="nil"/>
                    <w:tr2bl w:val="nil"/>
                  </w:tcBorders>
                  <w:noWrap w:val="0"/>
                  <w:vAlign w:val="center"/>
                </w:tcPr>
                <w:p w14:paraId="39DD14D5">
                  <w:pPr>
                    <w:pStyle w:val="79"/>
                    <w:keepNext w:val="0"/>
                    <w:keepLines w:val="0"/>
                    <w:pageBreakBefore w:val="0"/>
                    <w:numPr>
                      <w:ilvl w:val="0"/>
                      <w:numId w:val="37"/>
                    </w:numPr>
                    <w:kinsoku/>
                    <w:wordWrap/>
                    <w:overflowPunct/>
                    <w:topLinePunct w:val="0"/>
                    <w:autoSpaceDE/>
                    <w:autoSpaceDN/>
                    <w:bidi w:val="0"/>
                    <w:adjustRightInd/>
                    <w:snapToGrid/>
                    <w:ind w:left="0" w:leftChars="0" w:firstLine="0" w:firstLineChars="0"/>
                    <w:textAlignment w:val="auto"/>
                    <w:outlineLvl w:val="9"/>
                    <w:rPr>
                      <w:rFonts w:hint="eastAsia" w:ascii="Times New Roman" w:hAnsi="Times New Roman" w:eastAsia="宋体" w:cs="Times New Roman"/>
                      <w:color w:val="auto"/>
                      <w:sz w:val="21"/>
                      <w:szCs w:val="21"/>
                      <w:highlight w:val="none"/>
                      <w:lang w:val="en-US" w:eastAsia="zh-CN"/>
                    </w:rPr>
                  </w:pPr>
                </w:p>
              </w:tc>
              <w:tc>
                <w:tcPr>
                  <w:tcW w:w="975" w:type="dxa"/>
                  <w:tcBorders>
                    <w:tl2br w:val="nil"/>
                    <w:tr2bl w:val="nil"/>
                  </w:tcBorders>
                  <w:shd w:val="clear" w:color="auto" w:fill="auto"/>
                  <w:noWrap w:val="0"/>
                  <w:tcMar>
                    <w:top w:w="15" w:type="dxa"/>
                    <w:left w:w="15" w:type="dxa"/>
                    <w:bottom w:w="0" w:type="dxa"/>
                    <w:right w:w="15" w:type="dxa"/>
                  </w:tcMar>
                  <w:vAlign w:val="center"/>
                </w:tcPr>
                <w:p w14:paraId="41BF8744">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rPr>
                    <w:t>上</w:t>
                  </w:r>
                  <w:r>
                    <w:rPr>
                      <w:color w:val="auto"/>
                      <w:kern w:val="0"/>
                      <w:sz w:val="21"/>
                      <w:szCs w:val="21"/>
                      <w:highlight w:val="none"/>
                    </w:rPr>
                    <w:t>游</w:t>
                  </w:r>
                  <w:r>
                    <w:rPr>
                      <w:rFonts w:hint="eastAsia"/>
                      <w:color w:val="auto"/>
                      <w:kern w:val="0"/>
                      <w:sz w:val="21"/>
                      <w:szCs w:val="21"/>
                      <w:highlight w:val="none"/>
                    </w:rPr>
                    <w:t>（</w:t>
                  </w:r>
                  <w:r>
                    <w:rPr>
                      <w:rFonts w:hint="eastAsia"/>
                      <w:color w:val="auto"/>
                      <w:kern w:val="0"/>
                      <w:sz w:val="21"/>
                      <w:szCs w:val="21"/>
                      <w:highlight w:val="none"/>
                      <w:lang w:val="en-US" w:eastAsia="zh-CN"/>
                    </w:rPr>
                    <w:t>场</w:t>
                  </w:r>
                  <w:r>
                    <w:rPr>
                      <w:rFonts w:hint="eastAsia"/>
                      <w:color w:val="auto"/>
                      <w:kern w:val="0"/>
                      <w:sz w:val="21"/>
                      <w:szCs w:val="21"/>
                      <w:highlight w:val="none"/>
                    </w:rPr>
                    <w:t>区</w:t>
                  </w:r>
                  <w:r>
                    <w:rPr>
                      <w:rFonts w:hint="eastAsia"/>
                      <w:color w:val="auto"/>
                      <w:kern w:val="0"/>
                      <w:sz w:val="21"/>
                      <w:szCs w:val="21"/>
                      <w:highlight w:val="none"/>
                      <w:lang w:val="en-US" w:eastAsia="zh-CN"/>
                    </w:rPr>
                    <w:t>东北侧</w:t>
                  </w:r>
                  <w:r>
                    <w:rPr>
                      <w:rFonts w:hint="eastAsia"/>
                      <w:color w:val="auto"/>
                      <w:kern w:val="0"/>
                      <w:sz w:val="21"/>
                      <w:szCs w:val="21"/>
                      <w:highlight w:val="none"/>
                    </w:rPr>
                    <w:t>）</w:t>
                  </w:r>
                </w:p>
              </w:tc>
              <w:tc>
                <w:tcPr>
                  <w:tcW w:w="890" w:type="dxa"/>
                  <w:tcBorders>
                    <w:tl2br w:val="nil"/>
                    <w:tr2bl w:val="nil"/>
                  </w:tcBorders>
                  <w:shd w:val="clear" w:color="auto" w:fill="auto"/>
                  <w:noWrap w:val="0"/>
                  <w:vAlign w:val="center"/>
                </w:tcPr>
                <w:p w14:paraId="7440442E">
                  <w:pPr>
                    <w:pStyle w:val="35"/>
                    <w:keepNext w:val="0"/>
                    <w:keepLines w:val="0"/>
                    <w:pageBreakBefore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eastAsia"/>
                      <w:color w:val="auto"/>
                      <w:sz w:val="21"/>
                      <w:szCs w:val="21"/>
                      <w:highlight w:val="none"/>
                      <w:lang w:val="en-US" w:eastAsia="zh-CN"/>
                    </w:rPr>
                    <w:t>背景点</w:t>
                  </w:r>
                </w:p>
              </w:tc>
              <w:tc>
                <w:tcPr>
                  <w:tcW w:w="1041" w:type="dxa"/>
                  <w:tcBorders>
                    <w:tl2br w:val="nil"/>
                    <w:tr2bl w:val="nil"/>
                  </w:tcBorders>
                  <w:noWrap w:val="0"/>
                  <w:tcMar>
                    <w:top w:w="15" w:type="dxa"/>
                    <w:left w:w="15" w:type="dxa"/>
                    <w:bottom w:w="0" w:type="dxa"/>
                    <w:right w:w="15" w:type="dxa"/>
                  </w:tcMar>
                  <w:vAlign w:val="center"/>
                </w:tcPr>
                <w:p w14:paraId="2D247632">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浅层地下水</w:t>
                  </w:r>
                </w:p>
              </w:tc>
              <w:tc>
                <w:tcPr>
                  <w:tcW w:w="1631" w:type="dxa"/>
                  <w:vMerge w:val="restart"/>
                  <w:tcBorders>
                    <w:tl2br w:val="nil"/>
                    <w:tr2bl w:val="nil"/>
                  </w:tcBorders>
                  <w:noWrap w:val="0"/>
                  <w:tcMar>
                    <w:top w:w="15" w:type="dxa"/>
                    <w:left w:w="15" w:type="dxa"/>
                    <w:bottom w:w="0" w:type="dxa"/>
                    <w:right w:w="15" w:type="dxa"/>
                  </w:tcMar>
                  <w:vAlign w:val="center"/>
                </w:tcPr>
                <w:p w14:paraId="7D29C0AC">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运行期间，每季度一次，每两次监测之间间隔不少于1个月，封场后，每半年一次，直到地下水水质连续2年不超出地下水本底水平</w:t>
                  </w:r>
                </w:p>
              </w:tc>
              <w:tc>
                <w:tcPr>
                  <w:tcW w:w="1712" w:type="dxa"/>
                  <w:vMerge w:val="restart"/>
                  <w:tcBorders>
                    <w:tl2br w:val="nil"/>
                    <w:tr2bl w:val="nil"/>
                  </w:tcBorders>
                  <w:noWrap w:val="0"/>
                  <w:tcMar>
                    <w:top w:w="15" w:type="dxa"/>
                    <w:left w:w="15" w:type="dxa"/>
                    <w:bottom w:w="0" w:type="dxa"/>
                    <w:right w:w="15" w:type="dxa"/>
                  </w:tcMar>
                  <w:vAlign w:val="center"/>
                </w:tcPr>
                <w:p w14:paraId="246B316D">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浑浊度、pH、溶解性总固体、钙、钾、钠、硫酸盐、碳酸盐、砷、汞、总铬、六价铬、铅、镉、铁、锰、铜、锌、镍</w:t>
                  </w:r>
                  <w:r>
                    <w:rPr>
                      <w:rFonts w:hint="eastAsia" w:cs="Times New Roman"/>
                      <w:color w:val="auto"/>
                      <w:sz w:val="21"/>
                      <w:szCs w:val="21"/>
                      <w:highlight w:val="none"/>
                      <w:lang w:val="en-US" w:eastAsia="zh-CN"/>
                    </w:rPr>
                    <w:t>、石油类</w:t>
                  </w:r>
                </w:p>
              </w:tc>
              <w:tc>
                <w:tcPr>
                  <w:tcW w:w="1395" w:type="dxa"/>
                  <w:vMerge w:val="restart"/>
                  <w:tcBorders>
                    <w:tl2br w:val="nil"/>
                    <w:tr2bl w:val="nil"/>
                  </w:tcBorders>
                  <w:noWrap w:val="0"/>
                  <w:tcMar>
                    <w:top w:w="15" w:type="dxa"/>
                    <w:left w:w="15" w:type="dxa"/>
                    <w:bottom w:w="0" w:type="dxa"/>
                    <w:right w:w="15" w:type="dxa"/>
                  </w:tcMar>
                  <w:vAlign w:val="center"/>
                </w:tcPr>
                <w:p w14:paraId="66C6B172">
                  <w:pPr>
                    <w:pStyle w:val="79"/>
                    <w:keepNext w:val="0"/>
                    <w:keepLines w:val="0"/>
                    <w:pageBreakBefore w:val="0"/>
                    <w:kinsoku/>
                    <w:wordWrap/>
                    <w:overflowPunct/>
                    <w:topLinePunct w:val="0"/>
                    <w:autoSpaceDE/>
                    <w:autoSpaceDN/>
                    <w:bidi w:val="0"/>
                    <w:adjustRightInd/>
                    <w:snapToGrid/>
                    <w:textAlignment w:val="auto"/>
                    <w:outlineLvl w:val="9"/>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《地下水质量标准》（</w:t>
                  </w:r>
                  <w:r>
                    <w:rPr>
                      <w:rFonts w:hint="default" w:ascii="Times New Roman" w:hAnsi="Times New Roman" w:eastAsia="宋体" w:cs="Times New Roman"/>
                      <w:color w:val="auto"/>
                      <w:sz w:val="21"/>
                      <w:szCs w:val="21"/>
                      <w:highlight w:val="none"/>
                      <w:lang w:val="en-US"/>
                    </w:rPr>
                    <w:t>GB/T14848-2017</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rPr>
                    <w:t>III</w:t>
                  </w:r>
                  <w:r>
                    <w:rPr>
                      <w:rFonts w:hint="default" w:ascii="Times New Roman" w:hAnsi="Times New Roman" w:eastAsia="宋体" w:cs="Times New Roman"/>
                      <w:color w:val="auto"/>
                      <w:sz w:val="21"/>
                      <w:szCs w:val="21"/>
                      <w:highlight w:val="none"/>
                    </w:rPr>
                    <w:t>类标准</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《地表水环境质量标准》（GB 3838-2002）</w:t>
                  </w:r>
                  <w:r>
                    <w:rPr>
                      <w:rFonts w:hint="default" w:ascii="Times New Roman" w:hAnsi="Times New Roman" w:cs="Times New Roman"/>
                      <w:color w:val="auto"/>
                      <w:sz w:val="21"/>
                      <w:szCs w:val="21"/>
                      <w:highlight w:val="none"/>
                      <w:lang w:val="en-US" w:eastAsia="zh-CN"/>
                    </w:rPr>
                    <w:t>Ⅲ</w:t>
                  </w:r>
                  <w:r>
                    <w:rPr>
                      <w:rFonts w:hint="eastAsia" w:cs="Times New Roman"/>
                      <w:color w:val="auto"/>
                      <w:sz w:val="21"/>
                      <w:szCs w:val="21"/>
                      <w:highlight w:val="none"/>
                      <w:lang w:val="en-US" w:eastAsia="zh-CN"/>
                    </w:rPr>
                    <w:t>类标准</w:t>
                  </w:r>
                </w:p>
              </w:tc>
            </w:tr>
            <w:tr w14:paraId="647B6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476" w:hRule="atLeast"/>
                <w:jc w:val="center"/>
              </w:trPr>
              <w:tc>
                <w:tcPr>
                  <w:tcW w:w="463" w:type="dxa"/>
                  <w:tcBorders>
                    <w:tl2br w:val="nil"/>
                    <w:tr2bl w:val="nil"/>
                  </w:tcBorders>
                  <w:noWrap w:val="0"/>
                  <w:vAlign w:val="center"/>
                </w:tcPr>
                <w:p w14:paraId="2E047F40">
                  <w:pPr>
                    <w:pStyle w:val="79"/>
                    <w:keepNext w:val="0"/>
                    <w:keepLines w:val="0"/>
                    <w:pageBreakBefore w:val="0"/>
                    <w:numPr>
                      <w:ilvl w:val="0"/>
                      <w:numId w:val="37"/>
                    </w:numPr>
                    <w:kinsoku/>
                    <w:wordWrap/>
                    <w:overflowPunct/>
                    <w:topLinePunct w:val="0"/>
                    <w:autoSpaceDE/>
                    <w:autoSpaceDN/>
                    <w:bidi w:val="0"/>
                    <w:adjustRightInd/>
                    <w:snapToGrid/>
                    <w:ind w:left="0" w:leftChars="0" w:firstLine="0" w:firstLineChars="0"/>
                    <w:textAlignment w:val="auto"/>
                    <w:outlineLvl w:val="9"/>
                    <w:rPr>
                      <w:rFonts w:hint="eastAsia" w:ascii="Times New Roman" w:hAnsi="Times New Roman" w:eastAsia="宋体" w:cs="Times New Roman"/>
                      <w:color w:val="auto"/>
                      <w:sz w:val="21"/>
                      <w:szCs w:val="21"/>
                      <w:highlight w:val="none"/>
                      <w:lang w:val="en-US" w:eastAsia="zh-CN"/>
                    </w:rPr>
                  </w:pPr>
                </w:p>
              </w:tc>
              <w:tc>
                <w:tcPr>
                  <w:tcW w:w="975" w:type="dxa"/>
                  <w:tcBorders>
                    <w:tl2br w:val="nil"/>
                    <w:tr2bl w:val="nil"/>
                  </w:tcBorders>
                  <w:shd w:val="clear" w:color="auto" w:fill="auto"/>
                  <w:noWrap w:val="0"/>
                  <w:tcMar>
                    <w:top w:w="15" w:type="dxa"/>
                    <w:left w:w="15" w:type="dxa"/>
                    <w:bottom w:w="0" w:type="dxa"/>
                    <w:right w:w="15" w:type="dxa"/>
                  </w:tcMar>
                  <w:vAlign w:val="center"/>
                </w:tcPr>
                <w:p w14:paraId="41A0CFFA">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bidi="ar-SA"/>
                    </w:rPr>
                  </w:pPr>
                  <w:r>
                    <w:rPr>
                      <w:rFonts w:hint="eastAsia"/>
                      <w:color w:val="auto"/>
                      <w:kern w:val="0"/>
                      <w:sz w:val="21"/>
                      <w:szCs w:val="21"/>
                      <w:highlight w:val="none"/>
                      <w:lang w:val="en-US" w:eastAsia="zh-CN"/>
                    </w:rPr>
                    <w:t>下</w:t>
                  </w:r>
                  <w:r>
                    <w:rPr>
                      <w:color w:val="auto"/>
                      <w:kern w:val="0"/>
                      <w:sz w:val="21"/>
                      <w:szCs w:val="21"/>
                      <w:highlight w:val="none"/>
                    </w:rPr>
                    <w:t>游</w:t>
                  </w:r>
                  <w:r>
                    <w:rPr>
                      <w:rFonts w:hint="eastAsia"/>
                      <w:color w:val="auto"/>
                      <w:kern w:val="0"/>
                      <w:sz w:val="21"/>
                      <w:szCs w:val="21"/>
                      <w:highlight w:val="none"/>
                    </w:rPr>
                    <w:t>（</w:t>
                  </w:r>
                  <w:r>
                    <w:rPr>
                      <w:rFonts w:hint="eastAsia"/>
                      <w:color w:val="auto"/>
                      <w:kern w:val="0"/>
                      <w:sz w:val="21"/>
                      <w:szCs w:val="21"/>
                      <w:highlight w:val="none"/>
                      <w:lang w:val="en-US" w:eastAsia="zh-CN"/>
                    </w:rPr>
                    <w:t>场</w:t>
                  </w:r>
                  <w:r>
                    <w:rPr>
                      <w:rFonts w:hint="eastAsia"/>
                      <w:color w:val="auto"/>
                      <w:kern w:val="0"/>
                      <w:sz w:val="21"/>
                      <w:szCs w:val="21"/>
                      <w:highlight w:val="none"/>
                    </w:rPr>
                    <w:t>区</w:t>
                  </w:r>
                  <w:r>
                    <w:rPr>
                      <w:rFonts w:hint="eastAsia"/>
                      <w:color w:val="auto"/>
                      <w:kern w:val="0"/>
                      <w:sz w:val="21"/>
                      <w:szCs w:val="21"/>
                      <w:highlight w:val="none"/>
                      <w:lang w:val="en-US" w:eastAsia="zh-CN"/>
                    </w:rPr>
                    <w:t>西南侧</w:t>
                  </w:r>
                  <w:r>
                    <w:rPr>
                      <w:rFonts w:hint="eastAsia"/>
                      <w:color w:val="auto"/>
                      <w:kern w:val="0"/>
                      <w:sz w:val="21"/>
                      <w:szCs w:val="21"/>
                      <w:highlight w:val="none"/>
                    </w:rPr>
                    <w:t>）</w:t>
                  </w:r>
                </w:p>
              </w:tc>
              <w:tc>
                <w:tcPr>
                  <w:tcW w:w="890" w:type="dxa"/>
                  <w:tcBorders>
                    <w:tl2br w:val="nil"/>
                    <w:tr2bl w:val="nil"/>
                  </w:tcBorders>
                  <w:shd w:val="clear" w:color="auto" w:fill="auto"/>
                  <w:noWrap w:val="0"/>
                  <w:vAlign w:val="center"/>
                </w:tcPr>
                <w:p w14:paraId="4207498B">
                  <w:pPr>
                    <w:pStyle w:val="35"/>
                    <w:keepNext w:val="0"/>
                    <w:keepLines w:val="0"/>
                    <w:pageBreakBefore w:val="0"/>
                    <w:kinsoku/>
                    <w:wordWrap/>
                    <w:overflowPunct/>
                    <w:topLinePunct w:val="0"/>
                    <w:autoSpaceDE/>
                    <w:autoSpaceDN/>
                    <w:bidi w:val="0"/>
                    <w:adjustRightInd/>
                    <w:snapToGrid/>
                    <w:spacing w:before="0" w:after="0"/>
                    <w:ind w:firstLine="0" w:firstLineChars="0"/>
                    <w:textAlignment w:val="auto"/>
                    <w:rPr>
                      <w:rFonts w:hint="default" w:ascii="Times New Roman" w:hAnsi="Times New Roman" w:eastAsia="宋体" w:cs="Times New Roman"/>
                      <w:color w:val="auto"/>
                      <w:kern w:val="1"/>
                      <w:sz w:val="21"/>
                      <w:szCs w:val="21"/>
                      <w:highlight w:val="none"/>
                      <w:lang w:val="en-US" w:eastAsia="zh-CN" w:bidi="ar-SA"/>
                    </w:rPr>
                  </w:pPr>
                  <w:r>
                    <w:rPr>
                      <w:rFonts w:hint="default"/>
                      <w:color w:val="auto"/>
                      <w:sz w:val="21"/>
                      <w:szCs w:val="21"/>
                      <w:highlight w:val="none"/>
                    </w:rPr>
                    <w:t>影响跟踪监测点</w:t>
                  </w:r>
                </w:p>
              </w:tc>
              <w:tc>
                <w:tcPr>
                  <w:tcW w:w="1041" w:type="dxa"/>
                  <w:tcBorders>
                    <w:tl2br w:val="nil"/>
                    <w:tr2bl w:val="nil"/>
                  </w:tcBorders>
                  <w:shd w:val="clear" w:color="auto" w:fill="auto"/>
                  <w:noWrap w:val="0"/>
                  <w:tcMar>
                    <w:top w:w="15" w:type="dxa"/>
                    <w:left w:w="15" w:type="dxa"/>
                    <w:bottom w:w="0" w:type="dxa"/>
                    <w:right w:w="15" w:type="dxa"/>
                  </w:tcMar>
                  <w:vAlign w:val="center"/>
                </w:tcPr>
                <w:p w14:paraId="10829090">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rPr>
                    <w:t>浅层地下水</w:t>
                  </w:r>
                </w:p>
              </w:tc>
              <w:tc>
                <w:tcPr>
                  <w:tcW w:w="1631" w:type="dxa"/>
                  <w:vMerge w:val="continue"/>
                  <w:tcBorders>
                    <w:tl2br w:val="nil"/>
                    <w:tr2bl w:val="nil"/>
                  </w:tcBorders>
                  <w:noWrap w:val="0"/>
                  <w:tcMar>
                    <w:top w:w="15" w:type="dxa"/>
                    <w:left w:w="15" w:type="dxa"/>
                    <w:bottom w:w="0" w:type="dxa"/>
                    <w:right w:w="15" w:type="dxa"/>
                  </w:tcMar>
                  <w:vAlign w:val="center"/>
                </w:tcPr>
                <w:p w14:paraId="72EBF448">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p>
              </w:tc>
              <w:tc>
                <w:tcPr>
                  <w:tcW w:w="1712" w:type="dxa"/>
                  <w:vMerge w:val="continue"/>
                  <w:tcBorders>
                    <w:tl2br w:val="nil"/>
                    <w:tr2bl w:val="nil"/>
                  </w:tcBorders>
                  <w:noWrap w:val="0"/>
                  <w:tcMar>
                    <w:top w:w="15" w:type="dxa"/>
                    <w:left w:w="15" w:type="dxa"/>
                    <w:bottom w:w="0" w:type="dxa"/>
                    <w:right w:w="15" w:type="dxa"/>
                  </w:tcMar>
                  <w:vAlign w:val="center"/>
                </w:tcPr>
                <w:p w14:paraId="20369A38">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lang w:val="en-US" w:eastAsia="zh-CN"/>
                    </w:rPr>
                  </w:pPr>
                </w:p>
              </w:tc>
              <w:tc>
                <w:tcPr>
                  <w:tcW w:w="1395" w:type="dxa"/>
                  <w:vMerge w:val="continue"/>
                  <w:tcBorders>
                    <w:tl2br w:val="nil"/>
                    <w:tr2bl w:val="nil"/>
                  </w:tcBorders>
                  <w:noWrap w:val="0"/>
                  <w:tcMar>
                    <w:top w:w="15" w:type="dxa"/>
                    <w:left w:w="15" w:type="dxa"/>
                    <w:bottom w:w="0" w:type="dxa"/>
                    <w:right w:w="15" w:type="dxa"/>
                  </w:tcMar>
                  <w:vAlign w:val="center"/>
                </w:tcPr>
                <w:p w14:paraId="382DCE4E">
                  <w:pPr>
                    <w:pStyle w:val="79"/>
                    <w:keepNext w:val="0"/>
                    <w:keepLines w:val="0"/>
                    <w:pageBreakBefore w:val="0"/>
                    <w:kinsoku/>
                    <w:wordWrap/>
                    <w:overflowPunct/>
                    <w:topLinePunct w:val="0"/>
                    <w:autoSpaceDE/>
                    <w:autoSpaceDN/>
                    <w:bidi w:val="0"/>
                    <w:adjustRightInd/>
                    <w:snapToGrid/>
                    <w:textAlignment w:val="auto"/>
                    <w:outlineLvl w:val="9"/>
                    <w:rPr>
                      <w:rFonts w:hint="default" w:ascii="Times New Roman" w:hAnsi="Times New Roman" w:eastAsia="宋体" w:cs="Times New Roman"/>
                      <w:color w:val="auto"/>
                      <w:sz w:val="21"/>
                      <w:szCs w:val="21"/>
                      <w:highlight w:val="none"/>
                    </w:rPr>
                  </w:pPr>
                </w:p>
              </w:tc>
            </w:tr>
          </w:tbl>
          <w:p w14:paraId="4BF84716">
            <w:pPr>
              <w:pStyle w:val="36"/>
              <w:numPr>
                <w:ilvl w:val="0"/>
                <w:numId w:val="27"/>
              </w:numPr>
              <w:bidi w:val="0"/>
              <w:rPr>
                <w:rFonts w:hint="eastAsia"/>
                <w:color w:val="auto"/>
                <w:highlight w:val="none"/>
              </w:rPr>
            </w:pPr>
            <w:r>
              <w:rPr>
                <w:rFonts w:hint="eastAsia"/>
                <w:color w:val="auto"/>
                <w:highlight w:val="none"/>
              </w:rPr>
              <w:t>土壤跟踪监测计划一览表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4"/>
              <w:gridCol w:w="1106"/>
              <w:gridCol w:w="1327"/>
              <w:gridCol w:w="1404"/>
              <w:gridCol w:w="3626"/>
            </w:tblGrid>
            <w:tr w14:paraId="54A9F4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644" w:type="dxa"/>
                  <w:noWrap w:val="0"/>
                  <w:vAlign w:val="center"/>
                </w:tcPr>
                <w:p w14:paraId="757BF03F">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序号</w:t>
                  </w:r>
                </w:p>
              </w:tc>
              <w:tc>
                <w:tcPr>
                  <w:tcW w:w="1106" w:type="dxa"/>
                  <w:noWrap w:val="0"/>
                  <w:vAlign w:val="center"/>
                </w:tcPr>
                <w:p w14:paraId="450AC9EC">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hint="eastAsia"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监测点位</w:t>
                  </w:r>
                </w:p>
              </w:tc>
              <w:tc>
                <w:tcPr>
                  <w:tcW w:w="1327" w:type="dxa"/>
                  <w:noWrap w:val="0"/>
                  <w:vAlign w:val="center"/>
                </w:tcPr>
                <w:p w14:paraId="6D855AF4">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监测指标</w:t>
                  </w:r>
                </w:p>
              </w:tc>
              <w:tc>
                <w:tcPr>
                  <w:tcW w:w="1404" w:type="dxa"/>
                  <w:noWrap w:val="0"/>
                  <w:vAlign w:val="center"/>
                </w:tcPr>
                <w:p w14:paraId="41312508">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监测频次</w:t>
                  </w:r>
                </w:p>
              </w:tc>
              <w:tc>
                <w:tcPr>
                  <w:tcW w:w="3626" w:type="dxa"/>
                  <w:noWrap w:val="0"/>
                  <w:vAlign w:val="center"/>
                </w:tcPr>
                <w:p w14:paraId="61F18FF5">
                  <w:pPr>
                    <w:pStyle w:val="35"/>
                    <w:keepNext w:val="0"/>
                    <w:keepLines w:val="0"/>
                    <w:pageBreakBefore w:val="0"/>
                    <w:widowControl w:val="0"/>
                    <w:kinsoku/>
                    <w:wordWrap/>
                    <w:overflowPunct/>
                    <w:topLinePunct w:val="0"/>
                    <w:autoSpaceDE/>
                    <w:autoSpaceDN/>
                    <w:bidi w:val="0"/>
                    <w:adjustRightInd/>
                    <w:snapToGrid/>
                    <w:spacing w:before="0" w:beforeLines="0" w:after="0" w:afterLines="0"/>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rPr>
                    <w:t>执行标准</w:t>
                  </w:r>
                </w:p>
              </w:tc>
            </w:tr>
            <w:tr w14:paraId="5B5D78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8" w:hRule="atLeast"/>
                <w:jc w:val="center"/>
              </w:trPr>
              <w:tc>
                <w:tcPr>
                  <w:tcW w:w="644" w:type="dxa"/>
                  <w:noWrap w:val="0"/>
                  <w:vAlign w:val="center"/>
                </w:tcPr>
                <w:p w14:paraId="7430B1D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leftChars="0" w:right="0" w:rightChars="0" w:firstLine="0" w:firstLineChars="0"/>
                    <w:jc w:val="center"/>
                    <w:textAlignment w:val="auto"/>
                    <w:rPr>
                      <w:rFonts w:ascii="Times New Roman" w:hAnsi="Times New Roman" w:eastAsia="宋体" w:cs="Times New Roman"/>
                      <w:caps w:val="0"/>
                      <w:color w:val="auto"/>
                      <w:spacing w:val="0"/>
                      <w:position w:val="0"/>
                      <w:sz w:val="21"/>
                      <w:szCs w:val="21"/>
                      <w:highlight w:val="none"/>
                    </w:rPr>
                  </w:pPr>
                  <w:r>
                    <w:rPr>
                      <w:rFonts w:hint="eastAsia" w:ascii="Times New Roman" w:hAnsi="Times New Roman" w:eastAsia="宋体" w:cs="Times New Roman"/>
                      <w:caps w:val="0"/>
                      <w:color w:val="auto"/>
                      <w:spacing w:val="0"/>
                      <w:position w:val="0"/>
                      <w:sz w:val="21"/>
                      <w:szCs w:val="21"/>
                      <w:highlight w:val="none"/>
                      <w:lang w:val="en-US" w:eastAsia="zh-CN"/>
                    </w:rPr>
                    <w:t>1</w:t>
                  </w:r>
                </w:p>
              </w:tc>
              <w:tc>
                <w:tcPr>
                  <w:tcW w:w="1106" w:type="dxa"/>
                  <w:noWrap w:val="0"/>
                  <w:vAlign w:val="center"/>
                </w:tcPr>
                <w:p w14:paraId="159BD04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0" w:lineRule="atLeast"/>
                    <w:ind w:left="0" w:leftChars="0" w:right="0" w:rightChars="0" w:firstLine="0" w:firstLineChars="0"/>
                    <w:jc w:val="center"/>
                    <w:textAlignment w:val="auto"/>
                    <w:rPr>
                      <w:rFonts w:hint="default" w:ascii="Times New Roman" w:hAnsi="Times New Roman" w:eastAsia="宋体" w:cs="Times New Roman"/>
                      <w:caps w:val="0"/>
                      <w:color w:val="auto"/>
                      <w:spacing w:val="0"/>
                      <w:position w:val="0"/>
                      <w:sz w:val="21"/>
                      <w:szCs w:val="21"/>
                      <w:highlight w:val="none"/>
                      <w:lang w:val="en-US" w:eastAsia="zh-CN"/>
                    </w:rPr>
                  </w:pPr>
                  <w:r>
                    <w:rPr>
                      <w:rFonts w:hint="eastAsia"/>
                      <w:color w:val="auto"/>
                      <w:kern w:val="0"/>
                      <w:sz w:val="21"/>
                      <w:szCs w:val="21"/>
                      <w:highlight w:val="none"/>
                      <w:lang w:val="en-US" w:eastAsia="zh-CN"/>
                    </w:rPr>
                    <w:t>场</w:t>
                  </w:r>
                  <w:r>
                    <w:rPr>
                      <w:rFonts w:hint="eastAsia"/>
                      <w:color w:val="auto"/>
                      <w:kern w:val="0"/>
                      <w:sz w:val="21"/>
                      <w:szCs w:val="21"/>
                      <w:highlight w:val="none"/>
                    </w:rPr>
                    <w:t>区</w:t>
                  </w:r>
                  <w:r>
                    <w:rPr>
                      <w:rFonts w:hint="eastAsia"/>
                      <w:color w:val="auto"/>
                      <w:kern w:val="0"/>
                      <w:sz w:val="21"/>
                      <w:szCs w:val="21"/>
                      <w:highlight w:val="none"/>
                      <w:lang w:val="en-US" w:eastAsia="zh-CN"/>
                    </w:rPr>
                    <w:t>西南侧</w:t>
                  </w:r>
                </w:p>
              </w:tc>
              <w:tc>
                <w:tcPr>
                  <w:tcW w:w="1327" w:type="dxa"/>
                  <w:noWrap w:val="0"/>
                  <w:vAlign w:val="center"/>
                </w:tcPr>
                <w:p w14:paraId="065225CF">
                  <w:pPr>
                    <w:pStyle w:val="35"/>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default" w:ascii="Times New Roman" w:hAnsi="Times New Roman" w:eastAsia="宋体" w:cs="Times New Roman"/>
                      <w:caps w:val="0"/>
                      <w:color w:val="auto"/>
                      <w:spacing w:val="0"/>
                      <w:position w:val="0"/>
                      <w:sz w:val="21"/>
                      <w:szCs w:val="21"/>
                      <w:highlight w:val="none"/>
                      <w:lang w:val="en-US" w:eastAsia="zh-CN"/>
                    </w:rPr>
                  </w:pPr>
                  <w:r>
                    <w:rPr>
                      <w:rFonts w:hint="default" w:ascii="Times New Roman" w:hAnsi="Times New Roman" w:eastAsia="宋体" w:cs="Times New Roman"/>
                      <w:caps w:val="0"/>
                      <w:color w:val="auto"/>
                      <w:spacing w:val="0"/>
                      <w:position w:val="0"/>
                      <w:sz w:val="21"/>
                      <w:szCs w:val="21"/>
                      <w:highlight w:val="none"/>
                      <w:lang w:val="en-US" w:eastAsia="zh-CN"/>
                    </w:rPr>
                    <w:t>pH、镉、汞、砷、铅、铬、铜、镍、锌、石油烃、氨氮、氟化物</w:t>
                  </w:r>
                </w:p>
              </w:tc>
              <w:tc>
                <w:tcPr>
                  <w:tcW w:w="1404" w:type="dxa"/>
                  <w:noWrap w:val="0"/>
                  <w:vAlign w:val="center"/>
                </w:tcPr>
                <w:p w14:paraId="0F02F0C2">
                  <w:pPr>
                    <w:pStyle w:val="35"/>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ascii="Times New Roman" w:hAnsi="Times New Roman" w:eastAsia="宋体" w:cs="Times New Roman"/>
                      <w:caps w:val="0"/>
                      <w:color w:val="auto"/>
                      <w:spacing w:val="0"/>
                      <w:position w:val="0"/>
                      <w:sz w:val="21"/>
                      <w:szCs w:val="21"/>
                      <w:highlight w:val="none"/>
                    </w:rPr>
                  </w:pPr>
                  <w:r>
                    <w:rPr>
                      <w:rFonts w:hint="eastAsia" w:cs="Times New Roman"/>
                      <w:color w:val="auto"/>
                      <w:sz w:val="21"/>
                      <w:szCs w:val="21"/>
                      <w:highlight w:val="none"/>
                      <w:lang w:val="en-US" w:eastAsia="zh-CN"/>
                    </w:rPr>
                    <w:t>运行期间，每3年一次，封场后，每年一次，直至相关指标连续2年不超过环境本底值</w:t>
                  </w:r>
                </w:p>
              </w:tc>
              <w:tc>
                <w:tcPr>
                  <w:tcW w:w="3626" w:type="dxa"/>
                  <w:noWrap w:val="0"/>
                  <w:vAlign w:val="center"/>
                </w:tcPr>
                <w:p w14:paraId="1B84A032">
                  <w:pPr>
                    <w:pStyle w:val="35"/>
                    <w:keepNext w:val="0"/>
                    <w:keepLines w:val="0"/>
                    <w:pageBreakBefore w:val="0"/>
                    <w:widowControl w:val="0"/>
                    <w:kinsoku/>
                    <w:wordWrap/>
                    <w:overflowPunct/>
                    <w:topLinePunct w:val="0"/>
                    <w:autoSpaceDE/>
                    <w:autoSpaceDN/>
                    <w:bidi w:val="0"/>
                    <w:adjustRightInd/>
                    <w:snapToGrid/>
                    <w:spacing w:before="0" w:beforeLines="0" w:after="0" w:afterLines="0"/>
                    <w:ind w:firstLine="0" w:firstLineChars="0"/>
                    <w:textAlignment w:val="auto"/>
                    <w:rPr>
                      <w:rFonts w:hint="eastAsia" w:ascii="Times New Roman" w:hAnsi="Times New Roman" w:eastAsia="宋体" w:cs="Times New Roman"/>
                      <w:caps w:val="0"/>
                      <w:color w:val="auto"/>
                      <w:spacing w:val="0"/>
                      <w:position w:val="0"/>
                      <w:sz w:val="21"/>
                      <w:szCs w:val="21"/>
                      <w:highlight w:val="none"/>
                      <w:lang w:eastAsia="zh-CN"/>
                    </w:rPr>
                  </w:pPr>
                  <w:r>
                    <w:rPr>
                      <w:rFonts w:hint="default"/>
                      <w:color w:val="auto"/>
                      <w:highlight w:val="none"/>
                      <w:lang w:val="en-US" w:eastAsia="zh-CN"/>
                    </w:rPr>
                    <w:t xml:space="preserve">《土壤环境质量 </w:t>
                  </w:r>
                  <w:r>
                    <w:rPr>
                      <w:rFonts w:hint="eastAsia"/>
                      <w:color w:val="auto"/>
                      <w:highlight w:val="none"/>
                      <w:lang w:val="en-US" w:eastAsia="zh-CN"/>
                    </w:rPr>
                    <w:t>农用地土壤污染风险管控标准（试行）</w:t>
                  </w:r>
                  <w:r>
                    <w:rPr>
                      <w:rFonts w:hint="default"/>
                      <w:color w:val="auto"/>
                      <w:highlight w:val="none"/>
                      <w:lang w:val="en-US" w:eastAsia="zh-CN"/>
                    </w:rPr>
                    <w:t>》（GB</w:t>
                  </w:r>
                  <w:r>
                    <w:rPr>
                      <w:rFonts w:hint="eastAsia"/>
                      <w:color w:val="auto"/>
                      <w:highlight w:val="none"/>
                      <w:lang w:val="en-US" w:eastAsia="zh-CN"/>
                    </w:rPr>
                    <w:t>15618-</w:t>
                  </w:r>
                  <w:r>
                    <w:rPr>
                      <w:rFonts w:hint="default"/>
                      <w:color w:val="auto"/>
                      <w:highlight w:val="none"/>
                      <w:lang w:val="en-US" w:eastAsia="zh-CN"/>
                    </w:rPr>
                    <w:t>2018</w:t>
                  </w:r>
                  <w:r>
                    <w:rPr>
                      <w:rFonts w:hint="eastAsia"/>
                      <w:color w:val="auto"/>
                      <w:highlight w:val="none"/>
                      <w:lang w:val="en-US" w:eastAsia="zh-CN"/>
                    </w:rPr>
                    <w:t>）中风险</w:t>
                  </w:r>
                  <w:r>
                    <w:rPr>
                      <w:rFonts w:hint="default"/>
                      <w:color w:val="auto"/>
                      <w:highlight w:val="none"/>
                      <w:lang w:val="en-US" w:eastAsia="zh-CN"/>
                    </w:rPr>
                    <w:t>筛选值</w:t>
                  </w:r>
                  <w:r>
                    <w:rPr>
                      <w:rFonts w:hint="eastAsia"/>
                      <w:color w:val="auto"/>
                      <w:highlight w:val="none"/>
                      <w:lang w:val="en-US" w:eastAsia="zh-CN"/>
                    </w:rPr>
                    <w:t>，同时参照执行《土壤环境质量 建设用地土壤污染风险管控标准（试行）》（GB36600-2018）中第一类用地筛选值、《建设用地土壤污染物风险筛选值》（DB13/T 5216-2022）中第一类用地筛选值</w:t>
                  </w:r>
                  <w:r>
                    <w:rPr>
                      <w:rFonts w:hint="default"/>
                      <w:color w:val="auto"/>
                      <w:highlight w:val="none"/>
                      <w:lang w:val="en-US" w:eastAsia="zh-CN"/>
                    </w:rPr>
                    <w:t>标准</w:t>
                  </w:r>
                </w:p>
              </w:tc>
            </w:tr>
          </w:tbl>
          <w:p w14:paraId="50552FC1">
            <w:pPr>
              <w:bidi w:val="0"/>
              <w:rPr>
                <w:rFonts w:hint="eastAsia"/>
                <w:color w:val="auto"/>
                <w:highlight w:val="none"/>
              </w:rPr>
            </w:pPr>
            <w:r>
              <w:rPr>
                <w:rFonts w:hint="eastAsia"/>
                <w:color w:val="auto"/>
                <w:highlight w:val="none"/>
                <w:lang w:eastAsia="zh-CN"/>
              </w:rPr>
              <w:t>综上，</w:t>
            </w:r>
            <w:r>
              <w:rPr>
                <w:rFonts w:hint="eastAsia"/>
                <w:color w:val="auto"/>
                <w:highlight w:val="none"/>
              </w:rPr>
              <w:t>本项目</w:t>
            </w:r>
            <w:r>
              <w:rPr>
                <w:rFonts w:hint="eastAsia"/>
                <w:color w:val="auto"/>
                <w:highlight w:val="none"/>
                <w:lang w:eastAsia="zh-CN"/>
              </w:rPr>
              <w:t>采取上述防控措施后，</w:t>
            </w:r>
            <w:r>
              <w:rPr>
                <w:rFonts w:hint="eastAsia"/>
                <w:color w:val="auto"/>
                <w:highlight w:val="none"/>
              </w:rPr>
              <w:t>对</w:t>
            </w:r>
            <w:r>
              <w:rPr>
                <w:rFonts w:hint="eastAsia"/>
                <w:color w:val="auto"/>
                <w:highlight w:val="none"/>
                <w:lang w:eastAsia="zh-CN"/>
              </w:rPr>
              <w:t>地下水、土壤</w:t>
            </w:r>
            <w:r>
              <w:rPr>
                <w:rFonts w:hint="eastAsia"/>
                <w:color w:val="auto"/>
                <w:highlight w:val="none"/>
              </w:rPr>
              <w:t>环境影响较小。</w:t>
            </w:r>
          </w:p>
          <w:p w14:paraId="04A1BF7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textAlignment w:val="auto"/>
              <w:rPr>
                <w:rFonts w:hint="eastAsia"/>
                <w:b/>
                <w:bCs/>
                <w:color w:val="auto"/>
                <w:highlight w:val="none"/>
                <w:lang w:val="en-US" w:eastAsia="zh-CN"/>
              </w:rPr>
            </w:pPr>
            <w:r>
              <w:rPr>
                <w:rFonts w:hint="eastAsia"/>
                <w:b/>
                <w:bCs/>
                <w:color w:val="auto"/>
                <w:highlight w:val="none"/>
                <w:lang w:val="en-US" w:eastAsia="zh-CN"/>
              </w:rPr>
              <w:t>6.生态</w:t>
            </w:r>
          </w:p>
          <w:p w14:paraId="67C0C208">
            <w:pPr>
              <w:bidi w:val="0"/>
              <w:ind w:left="0" w:leftChars="0" w:firstLine="0" w:firstLineChars="0"/>
              <w:rPr>
                <w:rFonts w:hint="eastAsia"/>
                <w:b/>
                <w:bCs/>
                <w:color w:val="auto"/>
                <w:highlight w:val="none"/>
                <w:lang w:val="en-US" w:eastAsia="zh-CN"/>
              </w:rPr>
            </w:pPr>
            <w:r>
              <w:rPr>
                <w:rFonts w:hint="eastAsia"/>
                <w:b/>
                <w:bCs/>
                <w:color w:val="auto"/>
                <w:highlight w:val="none"/>
                <w:lang w:val="en-US" w:eastAsia="zh-CN"/>
              </w:rPr>
              <w:t>6.1运营期生态环境影响</w:t>
            </w:r>
          </w:p>
          <w:p w14:paraId="0AF468BA">
            <w:pPr>
              <w:bidi w:val="0"/>
              <w:rPr>
                <w:rFonts w:hint="default"/>
                <w:color w:val="auto"/>
                <w:highlight w:val="none"/>
                <w:lang w:val="en-US" w:eastAsia="zh-CN"/>
              </w:rPr>
            </w:pPr>
            <w:r>
              <w:rPr>
                <w:rFonts w:hint="eastAsia"/>
                <w:color w:val="auto"/>
                <w:highlight w:val="none"/>
                <w:lang w:val="en-US" w:eastAsia="zh-CN"/>
              </w:rPr>
              <w:t>本项目运营期对生态环境的影响主要包括</w:t>
            </w:r>
            <w:r>
              <w:rPr>
                <w:rFonts w:hint="eastAsia"/>
                <w:color w:val="auto"/>
                <w:highlight w:val="none"/>
                <w:lang w:eastAsia="zh-CN"/>
              </w:rPr>
              <w:t>土地利用结构与功能的变化</w:t>
            </w:r>
            <w:r>
              <w:rPr>
                <w:rFonts w:hint="eastAsia"/>
                <w:color w:val="auto"/>
                <w:highlight w:val="none"/>
                <w:lang w:val="en-US" w:eastAsia="zh-CN"/>
              </w:rPr>
              <w:t>影响，</w:t>
            </w:r>
            <w:r>
              <w:rPr>
                <w:rFonts w:hint="eastAsia"/>
                <w:color w:val="auto"/>
                <w:highlight w:val="none"/>
                <w:lang w:eastAsia="zh-CN"/>
              </w:rPr>
              <w:t>对区域地形、地貌的影响，对植物资源的影响，对动物资源的影响，对景观的影响。</w:t>
            </w:r>
          </w:p>
          <w:p w14:paraId="447BF6BD">
            <w:pPr>
              <w:bidi w:val="0"/>
              <w:rPr>
                <w:rFonts w:hint="eastAsia"/>
                <w:color w:val="auto"/>
                <w:highlight w:val="none"/>
                <w:lang w:eastAsia="zh-CN"/>
              </w:rPr>
            </w:pPr>
            <w:r>
              <w:rPr>
                <w:rFonts w:hint="eastAsia"/>
                <w:color w:val="auto"/>
                <w:highlight w:val="none"/>
                <w:lang w:eastAsia="zh-CN"/>
              </w:rPr>
              <w:t>（1）土地利用结构与功能的变化</w:t>
            </w:r>
          </w:p>
          <w:p w14:paraId="30A8F9A3">
            <w:pPr>
              <w:bidi w:val="0"/>
              <w:rPr>
                <w:rFonts w:hint="eastAsia"/>
                <w:color w:val="auto"/>
                <w:highlight w:val="none"/>
                <w:lang w:eastAsia="zh-CN"/>
              </w:rPr>
            </w:pPr>
            <w:r>
              <w:rPr>
                <w:rFonts w:hint="eastAsia"/>
                <w:color w:val="auto"/>
                <w:highlight w:val="none"/>
                <w:lang w:eastAsia="zh-CN"/>
              </w:rPr>
              <w:t>本项目堆填（砌）场现有土地性质为</w:t>
            </w:r>
            <w:r>
              <w:rPr>
                <w:rFonts w:hint="eastAsia"/>
                <w:color w:val="auto"/>
                <w:sz w:val="24"/>
                <w:szCs w:val="24"/>
                <w:highlight w:val="none"/>
                <w:lang w:val="en-US" w:eastAsia="zh-CN"/>
              </w:rPr>
              <w:t>废弃低洼坑塘</w:t>
            </w:r>
            <w:r>
              <w:rPr>
                <w:rFonts w:hint="eastAsia"/>
                <w:color w:val="auto"/>
                <w:highlight w:val="none"/>
                <w:lang w:eastAsia="zh-CN"/>
              </w:rPr>
              <w:t>，</w:t>
            </w:r>
            <w:r>
              <w:rPr>
                <w:rFonts w:hint="eastAsia"/>
                <w:color w:val="auto"/>
                <w:highlight w:val="none"/>
                <w:lang w:val="en-US" w:eastAsia="zh-CN"/>
              </w:rPr>
              <w:t>土地利用类型为农用地，本项目服务期满后，</w:t>
            </w:r>
            <w:r>
              <w:rPr>
                <w:rFonts w:hint="eastAsia"/>
                <w:color w:val="auto"/>
                <w:highlight w:val="none"/>
                <w:lang w:eastAsia="zh-CN"/>
              </w:rPr>
              <w:t>全部覆土，</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val="en-US" w:eastAsia="zh-CN"/>
              </w:rPr>
              <w:t>可</w:t>
            </w:r>
            <w:r>
              <w:rPr>
                <w:rFonts w:hint="eastAsia"/>
                <w:color w:val="auto"/>
                <w:highlight w:val="none"/>
                <w:lang w:eastAsia="zh-CN"/>
              </w:rPr>
              <w:t>改善当地现有土地利用类型。</w:t>
            </w:r>
          </w:p>
          <w:p w14:paraId="7E100FBE">
            <w:pPr>
              <w:bidi w:val="0"/>
              <w:rPr>
                <w:rFonts w:hint="eastAsia"/>
                <w:color w:val="auto"/>
                <w:highlight w:val="none"/>
                <w:lang w:eastAsia="zh-CN"/>
              </w:rPr>
            </w:pPr>
            <w:r>
              <w:rPr>
                <w:rFonts w:hint="eastAsia"/>
                <w:color w:val="auto"/>
                <w:highlight w:val="none"/>
                <w:lang w:eastAsia="zh-CN"/>
              </w:rPr>
              <w:t>（2）对区域地形、地貌的影响</w:t>
            </w:r>
          </w:p>
          <w:p w14:paraId="073D3828">
            <w:pPr>
              <w:bidi w:val="0"/>
              <w:rPr>
                <w:rFonts w:hint="eastAsia"/>
                <w:color w:val="auto"/>
                <w:highlight w:val="none"/>
                <w:lang w:eastAsia="zh-CN"/>
              </w:rPr>
            </w:pPr>
            <w:r>
              <w:rPr>
                <w:rFonts w:hint="eastAsia"/>
                <w:color w:val="auto"/>
                <w:highlight w:val="none"/>
                <w:lang w:eastAsia="zh-CN"/>
              </w:rPr>
              <w:t>项目建设后，使区域内的地形、地貌发生一定变化。这种形态上的变化，对区域性环境将产生一定的影响。一方面，堆填场堆积松散，在无植被覆盖时，极易遭受风蚀和水蚀，威胁周围的耕地，促进附近土壤的盐渍化进程。另一方面，项目区域进行土地复垦，进行风景绿化，可取得一定的经济效益，又能起到防治水土流失、美化环境的社会效益。</w:t>
            </w:r>
          </w:p>
          <w:p w14:paraId="1AD383DE">
            <w:pPr>
              <w:bidi w:val="0"/>
              <w:rPr>
                <w:rFonts w:hint="eastAsia"/>
                <w:color w:val="auto"/>
                <w:highlight w:val="none"/>
                <w:lang w:eastAsia="zh-CN"/>
              </w:rPr>
            </w:pPr>
            <w:r>
              <w:rPr>
                <w:rFonts w:hint="eastAsia"/>
                <w:color w:val="auto"/>
                <w:highlight w:val="none"/>
                <w:lang w:eastAsia="zh-CN"/>
              </w:rPr>
              <w:t>（3）对植物资源的影响</w:t>
            </w:r>
          </w:p>
          <w:p w14:paraId="23AD1B38">
            <w:pPr>
              <w:bidi w:val="0"/>
              <w:rPr>
                <w:rFonts w:hint="eastAsia"/>
                <w:color w:val="auto"/>
                <w:highlight w:val="none"/>
                <w:lang w:eastAsia="zh-CN"/>
              </w:rPr>
            </w:pPr>
            <w:r>
              <w:rPr>
                <w:rFonts w:hint="eastAsia"/>
                <w:color w:val="auto"/>
                <w:highlight w:val="none"/>
                <w:lang w:eastAsia="zh-CN"/>
              </w:rPr>
              <w:t>运营期间建筑垃圾外部运输道路产生的悬浮微粒自然沉降在周围植物的叶片上，阻塞气孔，影响植物呼吸和光合作用，有碍植物生长。但随着项目区域土地复垦规划的落实，水土保持工作中工程措施与生物措施的逐步实施，项目区人工生态系统的建设将取代原有的自然生态系统，逐渐恢复区域的植被覆盖率和生物产量，有利于物种竞争，也将有利于植被的保护与恢复。</w:t>
            </w:r>
          </w:p>
          <w:p w14:paraId="064B971C">
            <w:pPr>
              <w:bidi w:val="0"/>
              <w:rPr>
                <w:rFonts w:hint="eastAsia"/>
                <w:color w:val="auto"/>
                <w:highlight w:val="none"/>
                <w:lang w:eastAsia="zh-CN"/>
              </w:rPr>
            </w:pPr>
            <w:r>
              <w:rPr>
                <w:rFonts w:hint="eastAsia"/>
                <w:color w:val="auto"/>
                <w:highlight w:val="none"/>
                <w:lang w:eastAsia="zh-CN"/>
              </w:rPr>
              <w:t>加强运营期的管理，对工作人员进行环保培训，尽量不要随意碾压和践踏植物；对于运营过程中产生的各种扬尘，及时进行沉降处理，以防止落在植物叶片上，影响植物呼吸和光合作用；在有条件的情况下定期对植物进行淋洗，清除粉尘；另外，因地制宜地选取同类植物物种，种植在可能生长的区域，从而补给被破坏的植物资源。因此在项目运营期及服务期满后，可使负面影响逐渐减小，恢复到原有生态功能。</w:t>
            </w:r>
          </w:p>
          <w:p w14:paraId="7E56F44F">
            <w:pPr>
              <w:bidi w:val="0"/>
              <w:rPr>
                <w:rFonts w:hint="eastAsia"/>
                <w:color w:val="auto"/>
                <w:highlight w:val="none"/>
                <w:lang w:eastAsia="zh-CN"/>
              </w:rPr>
            </w:pPr>
            <w:r>
              <w:rPr>
                <w:rFonts w:hint="eastAsia"/>
                <w:color w:val="auto"/>
                <w:highlight w:val="none"/>
                <w:lang w:eastAsia="zh-CN"/>
              </w:rPr>
              <w:t>（4）对动物资源的影响</w:t>
            </w:r>
          </w:p>
          <w:p w14:paraId="38EB3599">
            <w:pPr>
              <w:bidi w:val="0"/>
              <w:rPr>
                <w:rFonts w:hint="eastAsia"/>
                <w:color w:val="auto"/>
                <w:highlight w:val="none"/>
                <w:lang w:eastAsia="zh-CN"/>
              </w:rPr>
            </w:pPr>
            <w:r>
              <w:rPr>
                <w:rFonts w:hint="eastAsia"/>
                <w:color w:val="auto"/>
                <w:highlight w:val="none"/>
                <w:lang w:eastAsia="zh-CN"/>
              </w:rPr>
              <w:t>项目建筑垃圾外部运输将对道路两侧及栖息在附近的小型野生动物产生影响，本项目的建设将扰乱野生动物赖以生存的自然环境，使其周围的野生动物逃离栖息地。同时，运营过程造成某些污染物质的释放和迁移，也将构成影响野生动物生存的潜在危险。</w:t>
            </w:r>
          </w:p>
          <w:p w14:paraId="777D57A6">
            <w:pPr>
              <w:bidi w:val="0"/>
              <w:rPr>
                <w:rFonts w:hint="eastAsia"/>
                <w:color w:val="auto"/>
                <w:highlight w:val="none"/>
                <w:lang w:eastAsia="zh-CN"/>
              </w:rPr>
            </w:pPr>
            <w:r>
              <w:rPr>
                <w:rFonts w:hint="eastAsia"/>
                <w:color w:val="auto"/>
                <w:highlight w:val="none"/>
                <w:lang w:eastAsia="zh-CN"/>
              </w:rPr>
              <w:t>在项目运营期和服役期满后，随着种植</w:t>
            </w:r>
            <w:r>
              <w:rPr>
                <w:rFonts w:hint="eastAsia"/>
                <w:color w:val="auto"/>
                <w:highlight w:val="none"/>
                <w:lang w:val="en-US" w:eastAsia="zh-CN"/>
              </w:rPr>
              <w:t>树木、</w:t>
            </w:r>
            <w:r>
              <w:rPr>
                <w:rFonts w:hint="eastAsia"/>
                <w:color w:val="auto"/>
                <w:highlight w:val="none"/>
                <w:lang w:eastAsia="zh-CN"/>
              </w:rPr>
              <w:t>牧草等人工生态系统的建设，区域的植被覆盖率将有所增加，会给野生动物栖息与生存提供有利条件。因此，在运营期间，要加强人工生态系统的建设，通过绿化增加区域的植物覆盖率，给野生动物的栖息与生存提供条件，将不利影响降到最低。</w:t>
            </w:r>
          </w:p>
          <w:p w14:paraId="492317A3">
            <w:pPr>
              <w:bidi w:val="0"/>
              <w:rPr>
                <w:rFonts w:hint="eastAsia"/>
                <w:color w:val="auto"/>
                <w:highlight w:val="none"/>
                <w:lang w:eastAsia="zh-CN"/>
              </w:rPr>
            </w:pPr>
            <w:r>
              <w:rPr>
                <w:rFonts w:hint="eastAsia"/>
                <w:color w:val="auto"/>
                <w:highlight w:val="none"/>
                <w:lang w:eastAsia="zh-CN"/>
              </w:rPr>
              <w:t>（5）对景观的影响</w:t>
            </w:r>
          </w:p>
          <w:p w14:paraId="0C5E5CCC">
            <w:pPr>
              <w:bidi w:val="0"/>
              <w:rPr>
                <w:rFonts w:hint="eastAsia"/>
                <w:color w:val="auto"/>
                <w:highlight w:val="none"/>
                <w:lang w:eastAsia="zh-CN"/>
              </w:rPr>
            </w:pPr>
            <w:r>
              <w:rPr>
                <w:rFonts w:hint="eastAsia"/>
                <w:color w:val="auto"/>
                <w:highlight w:val="none"/>
                <w:lang w:eastAsia="zh-CN"/>
              </w:rPr>
              <w:t>工程建成投产后，人工建立的景观扩大，造成景观在空间上的不连续，增加景观的异质性，引起了局部景观格局的破碎化与“岛屿化扩大”的现象。但由于影响面积有限，对整个评价区域来说影响不大，通过生态补偿、恢复等措施，可以进行弥补。</w:t>
            </w:r>
          </w:p>
          <w:p w14:paraId="1D732641">
            <w:pPr>
              <w:bidi w:val="0"/>
              <w:rPr>
                <w:rFonts w:hint="eastAsia"/>
                <w:color w:val="auto"/>
                <w:highlight w:val="none"/>
                <w:lang w:eastAsia="zh-CN"/>
              </w:rPr>
            </w:pPr>
            <w:r>
              <w:rPr>
                <w:rFonts w:hint="eastAsia"/>
                <w:color w:val="auto"/>
                <w:highlight w:val="none"/>
                <w:lang w:eastAsia="zh-CN"/>
              </w:rPr>
              <w:t>在项目运营期间，建设单位需要按照水保、土地复垦和环评的要求，对各工程区域采取了工程措施及植物措施，对施工期所造成的生态破坏进行部分恢复，使水土流失得到了有效控制。</w:t>
            </w:r>
          </w:p>
          <w:p w14:paraId="697FF04A">
            <w:pPr>
              <w:bidi w:val="0"/>
              <w:ind w:left="0" w:leftChars="0" w:firstLine="0" w:firstLineChars="0"/>
              <w:rPr>
                <w:rFonts w:hint="eastAsia"/>
                <w:b/>
                <w:bCs/>
                <w:color w:val="auto"/>
                <w:highlight w:val="none"/>
                <w:lang w:val="en-US" w:eastAsia="zh-CN"/>
              </w:rPr>
            </w:pPr>
            <w:r>
              <w:rPr>
                <w:rFonts w:hint="eastAsia"/>
                <w:b/>
                <w:bCs/>
                <w:color w:val="auto"/>
                <w:highlight w:val="none"/>
                <w:lang w:val="en-US" w:eastAsia="zh-CN"/>
              </w:rPr>
              <w:t>6.2服务期满后生态环境影响</w:t>
            </w:r>
          </w:p>
          <w:p w14:paraId="1B94509A">
            <w:pPr>
              <w:bidi w:val="0"/>
              <w:rPr>
                <w:rFonts w:hint="default"/>
                <w:color w:val="auto"/>
                <w:highlight w:val="none"/>
                <w:lang w:val="en-US" w:eastAsia="zh-CN"/>
              </w:rPr>
            </w:pPr>
            <w:r>
              <w:rPr>
                <w:rFonts w:hint="eastAsia"/>
                <w:color w:val="auto"/>
                <w:highlight w:val="none"/>
                <w:lang w:val="en-US" w:eastAsia="zh-CN"/>
              </w:rPr>
              <w:t>（1）封场后生态环境影响</w:t>
            </w:r>
          </w:p>
          <w:p w14:paraId="619A6B8E">
            <w:pPr>
              <w:bidi w:val="0"/>
              <w:rPr>
                <w:rFonts w:hint="eastAsia"/>
                <w:color w:val="auto"/>
                <w:highlight w:val="none"/>
                <w:lang w:eastAsia="zh-CN"/>
              </w:rPr>
            </w:pPr>
            <w:r>
              <w:rPr>
                <w:rFonts w:hint="eastAsia"/>
                <w:color w:val="auto"/>
                <w:highlight w:val="none"/>
                <w:lang w:val="en-US" w:eastAsia="zh-CN"/>
              </w:rPr>
              <w:t>项目</w:t>
            </w:r>
            <w:r>
              <w:rPr>
                <w:rFonts w:hint="eastAsia"/>
                <w:color w:val="auto"/>
                <w:highlight w:val="none"/>
                <w:lang w:eastAsia="zh-CN"/>
              </w:rPr>
              <w:t>服务期满后堆填场需要进行封场处理，按照有关要求进行闭场设计和施工，基本不存在安全隐患。进行覆土恢复植被，一是恢复植被时需要土壤，取土会带来新的生态问题，可能引发新的水土流失，形成新的扬尘污染源。因此在恢复植被时，必须严格按照有关部门的设计要求进行取土，减少生态破坏；二是项目各场地的破坏面积，服役期满后由于地表裸露面的植被尚未完全恢复，会产生一定的水土流失。</w:t>
            </w:r>
          </w:p>
          <w:p w14:paraId="6717B17B">
            <w:pPr>
              <w:bidi w:val="0"/>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）堆填（砌）后生态环境保护措施</w:t>
            </w:r>
          </w:p>
          <w:p w14:paraId="36BE5D8B">
            <w:pPr>
              <w:bidi w:val="0"/>
              <w:rPr>
                <w:rFonts w:hint="eastAsia"/>
                <w:color w:val="auto"/>
                <w:highlight w:val="none"/>
                <w:lang w:eastAsia="zh-CN"/>
              </w:rPr>
            </w:pPr>
            <w:r>
              <w:rPr>
                <w:rFonts w:hint="eastAsia"/>
                <w:color w:val="auto"/>
                <w:highlight w:val="none"/>
                <w:lang w:eastAsia="zh-CN"/>
              </w:rPr>
              <w:t>堆填（砌）场达到堆填高度后进行阶段性封场，封场时从下到上依次为：建筑垃圾层、防渗层、排水层、植被层。</w:t>
            </w:r>
          </w:p>
          <w:p w14:paraId="1C4F0064">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both"/>
              <w:textAlignment w:val="auto"/>
              <w:rPr>
                <w:rFonts w:hint="eastAsia" w:ascii="Times New Roman" w:hAnsi="Times New Roman"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防渗层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采用黏土层，采用黏土层的渗透系数不大于1</w:t>
            </w:r>
            <w:r>
              <w:rPr>
                <w:rFonts w:hint="eastAsia" w:cs="Times New Roman"/>
                <w:color w:val="auto"/>
                <w:kern w:val="1"/>
                <w:sz w:val="24"/>
                <w:szCs w:val="24"/>
                <w:highlight w:val="none"/>
                <w:lang w:val="en-US" w:eastAsia="zh-CN" w:bidi="ar-SA"/>
              </w:rPr>
              <w:t>.0</w:t>
            </w:r>
            <w:r>
              <w:rPr>
                <w:rFonts w:hint="default" w:ascii="Times New Roman" w:hAnsi="Times New Roman" w:eastAsia="宋体" w:cs="Times New Roman"/>
                <w:color w:val="auto"/>
                <w:kern w:val="1"/>
                <w:sz w:val="24"/>
                <w:szCs w:val="24"/>
                <w:highlight w:val="none"/>
                <w:lang w:val="en-US" w:eastAsia="zh-CN" w:bidi="ar-SA"/>
              </w:rPr>
              <w:t>×10</w:t>
            </w:r>
            <w:r>
              <w:rPr>
                <w:rFonts w:hint="default" w:ascii="Times New Roman" w:hAnsi="Times New Roman" w:eastAsia="宋体" w:cs="Times New Roman"/>
                <w:color w:val="auto"/>
                <w:kern w:val="1"/>
                <w:sz w:val="24"/>
                <w:szCs w:val="24"/>
                <w:highlight w:val="none"/>
                <w:vertAlign w:val="superscript"/>
                <w:lang w:val="en-US" w:eastAsia="zh-CN" w:bidi="ar-SA"/>
              </w:rPr>
              <w:t>-7</w:t>
            </w:r>
            <w:r>
              <w:rPr>
                <w:rFonts w:hint="default" w:ascii="Times New Roman" w:hAnsi="Times New Roman" w:eastAsia="宋体" w:cs="Times New Roman"/>
                <w:color w:val="auto"/>
                <w:kern w:val="1"/>
                <w:sz w:val="24"/>
                <w:szCs w:val="24"/>
                <w:highlight w:val="none"/>
                <w:lang w:val="en-US" w:eastAsia="zh-CN" w:bidi="ar-SA"/>
              </w:rPr>
              <w:t>cm/s，厚度为30cm</w:t>
            </w:r>
            <w:r>
              <w:rPr>
                <w:rFonts w:hint="eastAsia" w:ascii="Times New Roman" w:hAnsi="Times New Roman" w:cs="Times New Roman"/>
                <w:color w:val="auto"/>
                <w:kern w:val="1"/>
                <w:sz w:val="24"/>
                <w:szCs w:val="24"/>
                <w:highlight w:val="none"/>
                <w:lang w:val="en-US" w:eastAsia="zh-CN" w:bidi="ar-SA"/>
              </w:rPr>
              <w:t>；</w:t>
            </w:r>
          </w:p>
          <w:p w14:paraId="4332D5FF">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left"/>
              <w:textAlignment w:val="auto"/>
              <w:rPr>
                <w:rFonts w:hint="default" w:ascii="Times New Roman" w:hAnsi="Times New Roman" w:eastAsia="宋体"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排水层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采用卵石，厚度为30cm</w:t>
            </w:r>
            <w:r>
              <w:rPr>
                <w:rFonts w:hint="eastAsia" w:ascii="Times New Roman" w:hAnsi="Times New Roman" w:cs="Times New Roman"/>
                <w:color w:val="auto"/>
                <w:kern w:val="1"/>
                <w:sz w:val="24"/>
                <w:szCs w:val="24"/>
                <w:highlight w:val="none"/>
                <w:lang w:val="en-US" w:eastAsia="zh-CN" w:bidi="ar-SA"/>
              </w:rPr>
              <w:t>；边坡宜采用土工复合排水网，厚度不应小于5mm</w:t>
            </w:r>
            <w:r>
              <w:rPr>
                <w:rFonts w:hint="eastAsia" w:cs="Times New Roman"/>
                <w:color w:val="auto"/>
                <w:kern w:val="1"/>
                <w:sz w:val="24"/>
                <w:szCs w:val="24"/>
                <w:highlight w:val="none"/>
                <w:lang w:val="en-US" w:eastAsia="zh-CN" w:bidi="ar-SA"/>
              </w:rPr>
              <w:t>；</w:t>
            </w:r>
          </w:p>
          <w:p w14:paraId="3B781CE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b w:val="0"/>
                <w:bCs w:val="0"/>
                <w:color w:val="auto"/>
                <w:sz w:val="24"/>
                <w:szCs w:val="24"/>
                <w:highlight w:val="none"/>
                <w:lang w:val="en-US" w:eastAsia="zh-CN"/>
              </w:rPr>
            </w:pPr>
            <w:r>
              <w:rPr>
                <w:rFonts w:hint="default" w:ascii="Times New Roman" w:hAnsi="Times New Roman" w:eastAsia="宋体" w:cs="Times New Roman"/>
                <w:color w:val="auto"/>
                <w:kern w:val="1"/>
                <w:sz w:val="24"/>
                <w:szCs w:val="24"/>
                <w:highlight w:val="none"/>
                <w:lang w:val="en-US" w:eastAsia="zh-CN" w:bidi="ar-SA"/>
              </w:rPr>
              <w:t>植被层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采用自然土加表层营养土回填，自然土厚度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35cm，营养土厚度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15cm，植被层压实度</w:t>
            </w:r>
            <w:r>
              <w:rPr>
                <w:rFonts w:hint="eastAsia" w:cs="Times New Roman"/>
                <w:color w:val="auto"/>
                <w:kern w:val="1"/>
                <w:sz w:val="24"/>
                <w:szCs w:val="24"/>
                <w:highlight w:val="none"/>
                <w:lang w:val="en-US" w:eastAsia="zh-CN" w:bidi="ar-SA"/>
              </w:rPr>
              <w:t>大于</w:t>
            </w:r>
            <w:r>
              <w:rPr>
                <w:rFonts w:hint="default" w:ascii="Times New Roman" w:hAnsi="Times New Roman" w:eastAsia="宋体" w:cs="Times New Roman"/>
                <w:color w:val="auto"/>
                <w:kern w:val="1"/>
                <w:sz w:val="24"/>
                <w:szCs w:val="24"/>
                <w:highlight w:val="none"/>
                <w:lang w:val="en-US" w:eastAsia="zh-CN" w:bidi="ar-SA"/>
              </w:rPr>
              <w:t>80%</w:t>
            </w:r>
            <w:r>
              <w:rPr>
                <w:rFonts w:hint="eastAsia"/>
                <w:b w:val="0"/>
                <w:bCs w:val="0"/>
                <w:color w:val="auto"/>
                <w:sz w:val="24"/>
                <w:szCs w:val="24"/>
                <w:highlight w:val="none"/>
                <w:lang w:val="en-US" w:eastAsia="zh-CN"/>
              </w:rPr>
              <w:t>。</w:t>
            </w:r>
          </w:p>
          <w:p w14:paraId="342E8BEC">
            <w:pPr>
              <w:bidi w:val="0"/>
              <w:rPr>
                <w:rFonts w:hint="eastAsia"/>
                <w:color w:val="auto"/>
                <w:highlight w:val="none"/>
                <w:lang w:eastAsia="zh-CN"/>
              </w:rPr>
            </w:pPr>
            <w:r>
              <w:rPr>
                <w:rFonts w:hint="eastAsia"/>
                <w:color w:val="auto"/>
                <w:highlight w:val="none"/>
                <w:lang w:eastAsia="zh-CN"/>
              </w:rPr>
              <w:t>堆填（砌）区封场覆土绿化后，可有效减少扬尘，改善堆填场大气和生态环境。</w:t>
            </w:r>
          </w:p>
          <w:p w14:paraId="2D71B4D9">
            <w:pPr>
              <w:bidi w:val="0"/>
              <w:rPr>
                <w:rFonts w:hint="eastAsia"/>
                <w:color w:val="auto"/>
                <w:highlight w:val="none"/>
                <w:lang w:eastAsia="zh-CN"/>
              </w:rPr>
            </w:pPr>
            <w:r>
              <w:rPr>
                <w:rFonts w:hint="eastAsia"/>
                <w:color w:val="auto"/>
                <w:highlight w:val="none"/>
                <w:lang w:eastAsia="zh-CN"/>
              </w:rPr>
              <w:t>从以上分析可以看到，为保证植物正常生长，植被层应铺以适量营养土，以利作物生长和绿化，封场后场区绿化，改善环境、美化环境，措施可行。同时还应加强对堆体沉降的巡查，及时修复因堆场沉降而发生坡度变化的植被层。</w:t>
            </w:r>
          </w:p>
          <w:p w14:paraId="5D08C46B">
            <w:pPr>
              <w:bidi w:val="0"/>
              <w:rPr>
                <w:rFonts w:hint="eastAsia"/>
                <w:color w:val="auto"/>
                <w:highlight w:val="none"/>
                <w:lang w:eastAsia="zh-CN"/>
              </w:rPr>
            </w:pPr>
            <w:r>
              <w:rPr>
                <w:rFonts w:hint="eastAsia"/>
                <w:color w:val="auto"/>
                <w:highlight w:val="none"/>
                <w:lang w:eastAsia="zh-CN"/>
              </w:rPr>
              <w:t>堆填（砌）场建设期表土堆存于堆填（砌）场一侧，且播撒草籽，降低表土堆放过程粉尘产生，待垃圾堆填（砌）场封场后表土用于堆填（砌）场封场覆土；不足部分</w:t>
            </w:r>
            <w:r>
              <w:rPr>
                <w:rFonts w:hint="eastAsia"/>
                <w:color w:val="auto"/>
                <w:highlight w:val="none"/>
                <w:lang w:val="en-US" w:eastAsia="zh-CN"/>
              </w:rPr>
              <w:t>外购绿化土或外借其他项目表土剥离的余土</w:t>
            </w:r>
            <w:r>
              <w:rPr>
                <w:rFonts w:hint="eastAsia"/>
                <w:color w:val="auto"/>
                <w:highlight w:val="none"/>
                <w:lang w:eastAsia="zh-CN"/>
              </w:rPr>
              <w:t>；防渗层粘土外购。</w:t>
            </w:r>
          </w:p>
          <w:p w14:paraId="07D61413">
            <w:pPr>
              <w:bidi w:val="0"/>
              <w:rPr>
                <w:rFonts w:hint="eastAsia"/>
                <w:color w:val="auto"/>
                <w:highlight w:val="none"/>
                <w:lang w:eastAsia="zh-CN"/>
              </w:rPr>
            </w:pPr>
            <w:r>
              <w:rPr>
                <w:rFonts w:hint="eastAsia"/>
                <w:color w:val="auto"/>
                <w:highlight w:val="none"/>
                <w:lang w:eastAsia="zh-CN"/>
              </w:rPr>
              <w:t>根据《建筑垃圾处理技术标准》（CJJ/T134-2019）中要求堆填（砌）场完成后，土地重新利用，本项目堆填（砌）后的土地</w:t>
            </w:r>
            <w:r>
              <w:rPr>
                <w:rFonts w:hint="eastAsia"/>
                <w:color w:val="auto"/>
                <w:highlight w:val="none"/>
                <w:lang w:val="en-US" w:eastAsia="zh-CN"/>
              </w:rPr>
              <w:t>经有关部门鉴定</w:t>
            </w:r>
            <w:r>
              <w:rPr>
                <w:rFonts w:hint="eastAsia" w:cs="Times New Roman"/>
                <w:color w:val="auto"/>
                <w:sz w:val="24"/>
                <w:szCs w:val="24"/>
                <w:highlight w:val="none"/>
                <w:lang w:val="en-US" w:eastAsia="zh-CN" w:bidi="ar"/>
              </w:rPr>
              <w:t>满足相关要求后</w:t>
            </w:r>
            <w:r>
              <w:rPr>
                <w:rFonts w:hint="eastAsia"/>
                <w:color w:val="auto"/>
                <w:highlight w:val="none"/>
                <w:lang w:val="en-US" w:eastAsia="zh-CN"/>
              </w:rPr>
              <w:t>用于</w:t>
            </w:r>
            <w:r>
              <w:rPr>
                <w:rFonts w:hint="eastAsia" w:ascii="宋体" w:hAnsi="宋体" w:cs="宋体"/>
                <w:color w:val="auto"/>
                <w:sz w:val="24"/>
                <w:szCs w:val="24"/>
                <w:highlight w:val="none"/>
                <w:lang w:val="en-US" w:eastAsia="zh-CN"/>
              </w:rPr>
              <w:t>农业开发（养殖、种植、苗圃、园艺等）</w:t>
            </w:r>
            <w:r>
              <w:rPr>
                <w:rFonts w:hint="eastAsia"/>
                <w:color w:val="auto"/>
                <w:highlight w:val="none"/>
                <w:lang w:eastAsia="zh-CN"/>
              </w:rPr>
              <w:t>。</w:t>
            </w:r>
          </w:p>
          <w:p w14:paraId="3940715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textAlignment w:val="auto"/>
              <w:rPr>
                <w:rFonts w:hint="default"/>
                <w:b/>
                <w:bCs/>
                <w:color w:val="auto"/>
                <w:highlight w:val="none"/>
                <w:lang w:val="en-US" w:eastAsia="zh-CN"/>
              </w:rPr>
            </w:pPr>
            <w:r>
              <w:rPr>
                <w:rFonts w:hint="eastAsia"/>
                <w:b/>
                <w:bCs/>
                <w:color w:val="auto"/>
                <w:highlight w:val="none"/>
                <w:lang w:val="en-US" w:eastAsia="zh-CN"/>
              </w:rPr>
              <w:t>7.环境风险</w:t>
            </w:r>
          </w:p>
          <w:p w14:paraId="11D3ECC1">
            <w:pPr>
              <w:bidi w:val="0"/>
              <w:ind w:left="0" w:leftChars="0" w:firstLine="0" w:firstLineChars="0"/>
              <w:rPr>
                <w:rFonts w:hint="eastAsia"/>
                <w:b/>
                <w:bCs/>
                <w:color w:val="auto"/>
                <w:highlight w:val="none"/>
                <w:lang w:val="en-US" w:eastAsia="zh-CN"/>
              </w:rPr>
            </w:pPr>
            <w:r>
              <w:rPr>
                <w:rFonts w:hint="eastAsia"/>
                <w:b/>
                <w:bCs/>
                <w:color w:val="auto"/>
                <w:highlight w:val="none"/>
                <w:lang w:val="en-US" w:eastAsia="zh-CN"/>
              </w:rPr>
              <w:t>7.1环境风险的识别</w:t>
            </w:r>
          </w:p>
          <w:p w14:paraId="1CE4F76C">
            <w:pPr>
              <w:bidi w:val="0"/>
              <w:rPr>
                <w:rFonts w:hint="eastAsia"/>
                <w:color w:val="auto"/>
                <w:highlight w:val="none"/>
                <w:lang w:val="en-US" w:eastAsia="zh-CN"/>
              </w:rPr>
            </w:pPr>
            <w:r>
              <w:rPr>
                <w:rFonts w:hint="eastAsia" w:ascii="Times New Roman" w:hAnsi="Times New Roman" w:eastAsia="宋体" w:cs="Times New Roman"/>
                <w:caps w:val="0"/>
                <w:color w:val="auto"/>
                <w:spacing w:val="0"/>
                <w:kern w:val="2"/>
                <w:position w:val="0"/>
                <w:sz w:val="24"/>
                <w:szCs w:val="24"/>
                <w:highlight w:val="none"/>
                <w:lang w:val="en-US" w:eastAsia="zh-CN" w:bidi="ar"/>
              </w:rPr>
              <w:t>对照《危险化学品分类信息表》、</w:t>
            </w:r>
            <w:r>
              <w:rPr>
                <w:rFonts w:hint="default" w:ascii="Times New Roman" w:hAnsi="Times New Roman" w:eastAsia="宋体" w:cs="Times New Roman"/>
                <w:caps w:val="0"/>
                <w:color w:val="auto"/>
                <w:spacing w:val="0"/>
                <w:kern w:val="2"/>
                <w:position w:val="0"/>
                <w:sz w:val="24"/>
                <w:szCs w:val="24"/>
                <w:highlight w:val="none"/>
                <w:lang w:val="en-US" w:eastAsia="zh-CN" w:bidi="ar"/>
              </w:rPr>
              <w:t>《建设项目环境风险评价技术导则》（HJ169-2018）附录B.1、《化学品分类和标签规范第18部分：急性毒性》（GB30000.18-2013）和《化学品分类和标签规范第28部分：对水生环境的危害》（GB30000.28-2013），</w:t>
            </w:r>
            <w:r>
              <w:rPr>
                <w:rFonts w:hint="eastAsia" w:cs="Times New Roman"/>
                <w:caps w:val="0"/>
                <w:color w:val="auto"/>
                <w:spacing w:val="0"/>
                <w:kern w:val="2"/>
                <w:position w:val="0"/>
                <w:sz w:val="24"/>
                <w:szCs w:val="24"/>
                <w:highlight w:val="none"/>
                <w:lang w:val="en-US" w:eastAsia="zh-CN" w:bidi="ar"/>
              </w:rPr>
              <w:t>同时结合项目主要原辅材料、产品、污染物、主要生产设备设施等特点，</w:t>
            </w:r>
            <w:r>
              <w:rPr>
                <w:rFonts w:hint="default" w:ascii="Times New Roman" w:hAnsi="Times New Roman" w:eastAsia="宋体" w:cs="Times New Roman"/>
                <w:caps w:val="0"/>
                <w:color w:val="auto"/>
                <w:spacing w:val="0"/>
                <w:kern w:val="0"/>
                <w:position w:val="0"/>
                <w:sz w:val="24"/>
                <w:szCs w:val="24"/>
                <w:highlight w:val="none"/>
                <w:shd w:val="clear" w:color="auto" w:fill="FFFFFF"/>
                <w:lang w:val="en-US" w:eastAsia="zh-CN" w:bidi="ar"/>
              </w:rPr>
              <w:t>确定</w:t>
            </w:r>
            <w:r>
              <w:rPr>
                <w:rFonts w:hint="default"/>
                <w:color w:val="auto"/>
                <w:highlight w:val="none"/>
                <w:lang w:val="en-US" w:eastAsia="zh-CN"/>
              </w:rPr>
              <w:t>本项目风险物质主要为</w:t>
            </w:r>
            <w:r>
              <w:rPr>
                <w:rFonts w:hint="eastAsia"/>
                <w:color w:val="auto"/>
                <w:highlight w:val="none"/>
                <w:lang w:val="en-US" w:eastAsia="zh-CN"/>
              </w:rPr>
              <w:t>润滑油、液压油</w:t>
            </w:r>
            <w:r>
              <w:rPr>
                <w:rFonts w:hint="default"/>
                <w:color w:val="auto"/>
                <w:highlight w:val="none"/>
                <w:lang w:val="en-US" w:eastAsia="zh-CN"/>
              </w:rPr>
              <w:t>，上述物质在储存、使用过程中可能发生泄漏事故。</w:t>
            </w:r>
            <w:r>
              <w:rPr>
                <w:rFonts w:hint="eastAsia"/>
                <w:color w:val="auto"/>
                <w:highlight w:val="none"/>
                <w:lang w:val="en-US" w:eastAsia="zh-CN"/>
              </w:rPr>
              <w:t>本项目机械设备运至专门维修厂维修，不在场区内进行维修，润滑油、液压油仅存在于机械设备中。本项目无自有运输车辆，依托社会车辆运输，运输车辆在场区内停留时间较短，本评价不考虑运输车辆存在的风险物质。</w:t>
            </w:r>
          </w:p>
          <w:p w14:paraId="412B9643">
            <w:pPr>
              <w:bidi w:val="0"/>
              <w:rPr>
                <w:rFonts w:hint="eastAsia"/>
                <w:color w:val="auto"/>
                <w:highlight w:val="none"/>
                <w:lang w:val="en-US" w:eastAsia="zh-CN"/>
              </w:rPr>
            </w:pPr>
          </w:p>
          <w:p w14:paraId="12E88DC5">
            <w:pPr>
              <w:bidi w:val="0"/>
              <w:rPr>
                <w:rFonts w:hint="eastAsia"/>
                <w:color w:val="auto"/>
                <w:highlight w:val="none"/>
                <w:lang w:val="en-US" w:eastAsia="zh-CN"/>
              </w:rPr>
            </w:pPr>
          </w:p>
          <w:p w14:paraId="517125AE">
            <w:pPr>
              <w:bidi w:val="0"/>
              <w:rPr>
                <w:rFonts w:hint="eastAsia"/>
                <w:color w:val="auto"/>
                <w:highlight w:val="none"/>
                <w:lang w:val="en-US" w:eastAsia="zh-CN"/>
              </w:rPr>
            </w:pPr>
          </w:p>
          <w:p w14:paraId="24E4C692">
            <w:pPr>
              <w:bidi w:val="0"/>
              <w:rPr>
                <w:rFonts w:hint="eastAsia"/>
                <w:color w:val="auto"/>
                <w:highlight w:val="none"/>
                <w:lang w:val="en-US" w:eastAsia="zh-CN"/>
              </w:rPr>
            </w:pPr>
          </w:p>
          <w:p w14:paraId="0B1CBCF8">
            <w:pPr>
              <w:bidi w:val="0"/>
              <w:rPr>
                <w:rFonts w:hint="eastAsia"/>
                <w:color w:val="auto"/>
                <w:highlight w:val="none"/>
                <w:lang w:val="en-US" w:eastAsia="zh-CN"/>
              </w:rPr>
            </w:pPr>
          </w:p>
          <w:p w14:paraId="09AAABCC">
            <w:pPr>
              <w:bidi w:val="0"/>
              <w:rPr>
                <w:rFonts w:hint="eastAsia"/>
                <w:color w:val="auto"/>
                <w:highlight w:val="none"/>
                <w:lang w:val="en-US" w:eastAsia="zh-CN"/>
              </w:rPr>
            </w:pPr>
          </w:p>
          <w:p w14:paraId="43010C65">
            <w:pPr>
              <w:pStyle w:val="36"/>
              <w:numPr>
                <w:ilvl w:val="0"/>
                <w:numId w:val="27"/>
              </w:numPr>
              <w:bidi w:val="0"/>
              <w:rPr>
                <w:rFonts w:hint="default" w:ascii="Times New Roman" w:hAnsi="Times New Roman" w:eastAsia="宋体" w:cs="Times New Roman"/>
                <w:b/>
                <w:bCs/>
                <w:color w:val="auto"/>
                <w:szCs w:val="21"/>
                <w:highlight w:val="none"/>
                <w:shd w:val="clear" w:color="auto" w:fill="auto"/>
                <w:lang w:val="en-US" w:eastAsia="zh-CN"/>
              </w:rPr>
            </w:pPr>
            <w:r>
              <w:rPr>
                <w:rFonts w:hint="eastAsia"/>
                <w:color w:val="auto"/>
                <w:highlight w:val="none"/>
                <w:lang w:val="en-US" w:eastAsia="zh-CN"/>
              </w:rPr>
              <w:t>本项目风险物质识别及影响途径</w:t>
            </w:r>
            <w:r>
              <w:rPr>
                <w:rFonts w:hint="eastAsia"/>
                <w:color w:val="auto"/>
                <w:highlight w:val="none"/>
                <w:lang w:val="zh-CN" w:eastAsia="zh-CN"/>
              </w:rPr>
              <w:t>一览</w:t>
            </w:r>
            <w:r>
              <w:rPr>
                <w:rFonts w:hint="default"/>
                <w:color w:val="auto"/>
                <w:highlight w:val="none"/>
                <w:lang w:val="zh-CN" w:eastAsia="zh-CN"/>
              </w:rPr>
              <w:t>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039"/>
              <w:gridCol w:w="981"/>
              <w:gridCol w:w="980"/>
              <w:gridCol w:w="789"/>
              <w:gridCol w:w="1750"/>
              <w:gridCol w:w="1019"/>
              <w:gridCol w:w="1549"/>
            </w:tblGrid>
            <w:tr w14:paraId="24CBF0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73" w:hRule="atLeast"/>
                <w:jc w:val="center"/>
              </w:trPr>
              <w:tc>
                <w:tcPr>
                  <w:tcW w:w="1039" w:type="dxa"/>
                  <w:tcBorders>
                    <w:tl2br w:val="nil"/>
                    <w:tr2bl w:val="nil"/>
                  </w:tcBorders>
                  <w:noWrap w:val="0"/>
                  <w:tcMar>
                    <w:top w:w="15" w:type="dxa"/>
                    <w:left w:w="15" w:type="dxa"/>
                    <w:right w:w="15" w:type="dxa"/>
                  </w:tcMar>
                  <w:vAlign w:val="center"/>
                </w:tcPr>
                <w:p w14:paraId="6AA940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eastAsia="宋体" w:cs="Times New Roman"/>
                      <w:color w:val="auto"/>
                      <w:sz w:val="21"/>
                      <w:szCs w:val="21"/>
                      <w:highlight w:val="none"/>
                      <w:shd w:val="clear" w:color="auto" w:fill="auto"/>
                      <w:lang w:eastAsia="zh-CN"/>
                    </w:rPr>
                    <w:t>风险物质名称</w:t>
                  </w:r>
                </w:p>
              </w:tc>
              <w:tc>
                <w:tcPr>
                  <w:tcW w:w="981" w:type="dxa"/>
                  <w:tcBorders>
                    <w:tl2br w:val="nil"/>
                    <w:tr2bl w:val="nil"/>
                  </w:tcBorders>
                  <w:noWrap w:val="0"/>
                  <w:tcMar>
                    <w:top w:w="15" w:type="dxa"/>
                    <w:left w:w="15" w:type="dxa"/>
                    <w:right w:w="15" w:type="dxa"/>
                  </w:tcMar>
                  <w:vAlign w:val="center"/>
                </w:tcPr>
                <w:p w14:paraId="311C8D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eastAsia="zh-CN"/>
                    </w:rPr>
                  </w:pPr>
                  <w:r>
                    <w:rPr>
                      <w:rFonts w:hint="eastAsia" w:ascii="Times New Roman" w:hAnsi="Times New Roman" w:cs="Times New Roman"/>
                      <w:color w:val="auto"/>
                      <w:sz w:val="21"/>
                      <w:szCs w:val="21"/>
                      <w:highlight w:val="none"/>
                      <w:shd w:val="clear" w:color="auto" w:fill="auto"/>
                      <w:lang w:val="en-US" w:eastAsia="zh-CN"/>
                    </w:rPr>
                    <w:t>贮存</w:t>
                  </w:r>
                  <w:r>
                    <w:rPr>
                      <w:rFonts w:hint="eastAsia" w:cs="Times New Roman"/>
                      <w:color w:val="auto"/>
                      <w:sz w:val="21"/>
                      <w:szCs w:val="21"/>
                      <w:highlight w:val="none"/>
                      <w:shd w:val="clear" w:color="auto" w:fill="auto"/>
                      <w:lang w:val="en-US" w:eastAsia="zh-CN"/>
                    </w:rPr>
                    <w:t>/存在</w:t>
                  </w:r>
                  <w:r>
                    <w:rPr>
                      <w:rFonts w:hint="eastAsia" w:ascii="Times New Roman" w:hAnsi="Times New Roman" w:eastAsia="宋体" w:cs="Times New Roman"/>
                      <w:color w:val="auto"/>
                      <w:sz w:val="21"/>
                      <w:szCs w:val="21"/>
                      <w:highlight w:val="none"/>
                      <w:shd w:val="clear" w:color="auto" w:fill="auto"/>
                      <w:lang w:eastAsia="zh-CN"/>
                    </w:rPr>
                    <w:t>场所</w:t>
                  </w:r>
                </w:p>
              </w:tc>
              <w:tc>
                <w:tcPr>
                  <w:tcW w:w="980" w:type="dxa"/>
                  <w:tcBorders>
                    <w:tl2br w:val="nil"/>
                    <w:tr2bl w:val="nil"/>
                  </w:tcBorders>
                  <w:noWrap w:val="0"/>
                  <w:tcMar>
                    <w:top w:w="15" w:type="dxa"/>
                    <w:left w:w="15" w:type="dxa"/>
                    <w:right w:w="15" w:type="dxa"/>
                  </w:tcMar>
                  <w:vAlign w:val="center"/>
                </w:tcPr>
                <w:p w14:paraId="6A9E2E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auto"/>
                      <w:sz w:val="21"/>
                      <w:szCs w:val="21"/>
                      <w:highlight w:val="none"/>
                      <w:shd w:val="clear" w:color="auto" w:fill="auto"/>
                      <w:lang w:val="en-US"/>
                    </w:rPr>
                  </w:pPr>
                  <w:r>
                    <w:rPr>
                      <w:rFonts w:hint="eastAsia" w:ascii="Times New Roman" w:hAnsi="Times New Roman" w:eastAsia="宋体" w:cs="Times New Roman"/>
                      <w:color w:val="auto"/>
                      <w:sz w:val="21"/>
                      <w:szCs w:val="21"/>
                      <w:highlight w:val="none"/>
                      <w:shd w:val="clear" w:color="auto" w:fill="auto"/>
                      <w:lang w:val="en-US" w:eastAsia="zh-CN"/>
                    </w:rPr>
                    <w:t>最大</w:t>
                  </w:r>
                  <w:r>
                    <w:rPr>
                      <w:rFonts w:hint="eastAsia" w:cs="Times New Roman"/>
                      <w:color w:val="auto"/>
                      <w:sz w:val="21"/>
                      <w:szCs w:val="21"/>
                      <w:highlight w:val="none"/>
                      <w:shd w:val="clear" w:color="auto" w:fill="auto"/>
                      <w:lang w:val="en-US" w:eastAsia="zh-CN"/>
                    </w:rPr>
                    <w:t>存在</w:t>
                  </w:r>
                  <w:r>
                    <w:rPr>
                      <w:rFonts w:hint="eastAsia" w:ascii="Times New Roman" w:hAnsi="Times New Roman" w:eastAsia="宋体" w:cs="Times New Roman"/>
                      <w:color w:val="auto"/>
                      <w:sz w:val="21"/>
                      <w:szCs w:val="21"/>
                      <w:highlight w:val="none"/>
                      <w:shd w:val="clear" w:color="auto" w:fill="auto"/>
                      <w:lang w:val="en-US" w:eastAsia="zh-CN"/>
                    </w:rPr>
                    <w:t>量</w:t>
                  </w:r>
                  <w:r>
                    <w:rPr>
                      <w:rFonts w:hint="eastAsia" w:eastAsia="宋体" w:cs="Times New Roman"/>
                      <w:color w:val="auto"/>
                      <w:sz w:val="21"/>
                      <w:szCs w:val="21"/>
                      <w:highlight w:val="none"/>
                      <w:shd w:val="clear" w:color="auto" w:fill="auto"/>
                      <w:lang w:val="en-US" w:eastAsia="zh-CN"/>
                    </w:rPr>
                    <w:t>（t）</w:t>
                  </w:r>
                </w:p>
              </w:tc>
              <w:tc>
                <w:tcPr>
                  <w:tcW w:w="789" w:type="dxa"/>
                  <w:tcBorders>
                    <w:tl2br w:val="nil"/>
                    <w:tr2bl w:val="nil"/>
                  </w:tcBorders>
                  <w:noWrap w:val="0"/>
                  <w:tcMar>
                    <w:top w:w="15" w:type="dxa"/>
                    <w:left w:w="15" w:type="dxa"/>
                    <w:right w:w="15" w:type="dxa"/>
                  </w:tcMar>
                  <w:vAlign w:val="center"/>
                </w:tcPr>
                <w:p w14:paraId="2BB2EC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临界量（t）</w:t>
                  </w:r>
                </w:p>
              </w:tc>
              <w:tc>
                <w:tcPr>
                  <w:tcW w:w="1750" w:type="dxa"/>
                  <w:tcBorders>
                    <w:tl2br w:val="nil"/>
                    <w:tr2bl w:val="nil"/>
                  </w:tcBorders>
                  <w:noWrap w:val="0"/>
                  <w:tcMar>
                    <w:top w:w="15" w:type="dxa"/>
                    <w:left w:w="15" w:type="dxa"/>
                    <w:right w:w="15" w:type="dxa"/>
                  </w:tcMar>
                  <w:vAlign w:val="center"/>
                </w:tcPr>
                <w:p w14:paraId="3DA6C6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临界量值来源</w:t>
                  </w:r>
                </w:p>
              </w:tc>
              <w:tc>
                <w:tcPr>
                  <w:tcW w:w="1019" w:type="dxa"/>
                  <w:tcBorders>
                    <w:tl2br w:val="nil"/>
                    <w:tr2bl w:val="nil"/>
                  </w:tcBorders>
                  <w:noWrap w:val="0"/>
                  <w:tcMar>
                    <w:top w:w="15" w:type="dxa"/>
                    <w:left w:w="15" w:type="dxa"/>
                    <w:right w:w="15" w:type="dxa"/>
                  </w:tcMar>
                  <w:vAlign w:val="center"/>
                </w:tcPr>
                <w:p w14:paraId="065583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Q值</w:t>
                  </w:r>
                </w:p>
              </w:tc>
              <w:tc>
                <w:tcPr>
                  <w:tcW w:w="1549" w:type="dxa"/>
                  <w:tcBorders>
                    <w:tl2br w:val="nil"/>
                    <w:tr2bl w:val="nil"/>
                  </w:tcBorders>
                  <w:noWrap w:val="0"/>
                  <w:tcMar>
                    <w:top w:w="15" w:type="dxa"/>
                    <w:left w:w="15" w:type="dxa"/>
                    <w:right w:w="15" w:type="dxa"/>
                  </w:tcMar>
                  <w:vAlign w:val="center"/>
                </w:tcPr>
                <w:p w14:paraId="1C99A3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rPr>
                  </w:pPr>
                  <w:r>
                    <w:rPr>
                      <w:rFonts w:hint="eastAsia" w:ascii="Times New Roman" w:hAnsi="Times New Roman" w:eastAsia="宋体" w:cs="Times New Roman"/>
                      <w:color w:val="auto"/>
                      <w:sz w:val="21"/>
                      <w:szCs w:val="21"/>
                      <w:highlight w:val="none"/>
                      <w:shd w:val="clear" w:color="auto" w:fill="auto"/>
                      <w:lang w:val="en-US" w:eastAsia="zh-CN"/>
                    </w:rPr>
                    <w:t>影响途径</w:t>
                  </w:r>
                </w:p>
              </w:tc>
            </w:tr>
            <w:tr w14:paraId="2C4717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45" w:hRule="atLeast"/>
                <w:jc w:val="center"/>
              </w:trPr>
              <w:tc>
                <w:tcPr>
                  <w:tcW w:w="1039" w:type="dxa"/>
                  <w:tcBorders>
                    <w:tl2br w:val="nil"/>
                    <w:tr2bl w:val="nil"/>
                  </w:tcBorders>
                  <w:noWrap w:val="0"/>
                  <w:tcMar>
                    <w:top w:w="15" w:type="dxa"/>
                    <w:left w:w="15" w:type="dxa"/>
                    <w:right w:w="15" w:type="dxa"/>
                  </w:tcMar>
                  <w:vAlign w:val="center"/>
                </w:tcPr>
                <w:p w14:paraId="3CC3A7B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润滑油</w:t>
                  </w:r>
                </w:p>
              </w:tc>
              <w:tc>
                <w:tcPr>
                  <w:tcW w:w="981" w:type="dxa"/>
                  <w:vMerge w:val="restart"/>
                  <w:tcBorders>
                    <w:tl2br w:val="nil"/>
                    <w:tr2bl w:val="nil"/>
                  </w:tcBorders>
                  <w:noWrap w:val="0"/>
                  <w:tcMar>
                    <w:top w:w="15" w:type="dxa"/>
                    <w:left w:w="15" w:type="dxa"/>
                    <w:right w:w="15" w:type="dxa"/>
                  </w:tcMar>
                  <w:vAlign w:val="center"/>
                </w:tcPr>
                <w:p w14:paraId="53C5364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color w:val="auto"/>
                      <w:sz w:val="21"/>
                      <w:szCs w:val="21"/>
                      <w:highlight w:val="none"/>
                      <w:shd w:val="clear" w:color="auto" w:fill="auto"/>
                      <w:lang w:val="en-US" w:eastAsia="zh-CN"/>
                    </w:rPr>
                  </w:pPr>
                  <w:r>
                    <w:rPr>
                      <w:rFonts w:hint="eastAsia"/>
                      <w:color w:val="auto"/>
                      <w:sz w:val="21"/>
                      <w:szCs w:val="21"/>
                      <w:highlight w:val="none"/>
                      <w:lang w:val="en-US" w:eastAsia="zh-CN"/>
                    </w:rPr>
                    <w:t>机械设备中</w:t>
                  </w:r>
                </w:p>
              </w:tc>
              <w:tc>
                <w:tcPr>
                  <w:tcW w:w="980" w:type="dxa"/>
                  <w:tcBorders>
                    <w:tl2br w:val="nil"/>
                    <w:tr2bl w:val="nil"/>
                  </w:tcBorders>
                  <w:noWrap w:val="0"/>
                  <w:tcMar>
                    <w:top w:w="15" w:type="dxa"/>
                    <w:left w:w="15" w:type="dxa"/>
                    <w:right w:w="15" w:type="dxa"/>
                  </w:tcMar>
                  <w:vAlign w:val="center"/>
                </w:tcPr>
                <w:p w14:paraId="5C6AF4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0.16</w:t>
                  </w:r>
                </w:p>
              </w:tc>
              <w:tc>
                <w:tcPr>
                  <w:tcW w:w="789" w:type="dxa"/>
                  <w:tcBorders>
                    <w:tl2br w:val="nil"/>
                    <w:tr2bl w:val="nil"/>
                  </w:tcBorders>
                  <w:noWrap w:val="0"/>
                  <w:tcMar>
                    <w:top w:w="15" w:type="dxa"/>
                    <w:left w:w="15" w:type="dxa"/>
                    <w:right w:w="15" w:type="dxa"/>
                  </w:tcMar>
                  <w:vAlign w:val="center"/>
                </w:tcPr>
                <w:p w14:paraId="22AD16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2500</w:t>
                  </w:r>
                </w:p>
              </w:tc>
              <w:tc>
                <w:tcPr>
                  <w:tcW w:w="1750" w:type="dxa"/>
                  <w:vMerge w:val="restart"/>
                  <w:tcBorders>
                    <w:tl2br w:val="nil"/>
                    <w:tr2bl w:val="nil"/>
                  </w:tcBorders>
                  <w:noWrap w:val="0"/>
                  <w:tcMar>
                    <w:top w:w="15" w:type="dxa"/>
                    <w:left w:w="15" w:type="dxa"/>
                    <w:right w:w="15" w:type="dxa"/>
                  </w:tcMar>
                  <w:vAlign w:val="center"/>
                </w:tcPr>
                <w:p w14:paraId="267931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HJ169-2018中附录B表B.1-381油类物质（矿物油类，如石油、汽油、柴油等；生物柴油等）</w:t>
                  </w:r>
                </w:p>
              </w:tc>
              <w:tc>
                <w:tcPr>
                  <w:tcW w:w="1019" w:type="dxa"/>
                  <w:tcBorders>
                    <w:tl2br w:val="nil"/>
                    <w:tr2bl w:val="nil"/>
                  </w:tcBorders>
                  <w:noWrap w:val="0"/>
                  <w:tcMar>
                    <w:top w:w="15" w:type="dxa"/>
                    <w:left w:w="15" w:type="dxa"/>
                    <w:right w:w="15" w:type="dxa"/>
                  </w:tcMar>
                  <w:vAlign w:val="center"/>
                </w:tcPr>
                <w:p w14:paraId="12BB8D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0.0000</w:t>
                  </w:r>
                  <w:r>
                    <w:rPr>
                      <w:rFonts w:hint="eastAsia" w:cs="Times New Roman"/>
                      <w:color w:val="auto"/>
                      <w:sz w:val="21"/>
                      <w:szCs w:val="21"/>
                      <w:highlight w:val="none"/>
                      <w:shd w:val="clear" w:color="auto" w:fill="auto"/>
                      <w:lang w:val="en-US" w:eastAsia="zh-CN"/>
                    </w:rPr>
                    <w:t>6</w:t>
                  </w:r>
                  <w:r>
                    <w:rPr>
                      <w:rFonts w:hint="eastAsia" w:ascii="Times New Roman" w:hAnsi="Times New Roman" w:eastAsia="宋体" w:cs="Times New Roman"/>
                      <w:color w:val="auto"/>
                      <w:sz w:val="21"/>
                      <w:szCs w:val="21"/>
                      <w:highlight w:val="none"/>
                      <w:shd w:val="clear" w:color="auto" w:fill="auto"/>
                      <w:lang w:val="en-US" w:eastAsia="zh-CN"/>
                    </w:rPr>
                    <w:t>4</w:t>
                  </w:r>
                </w:p>
              </w:tc>
              <w:tc>
                <w:tcPr>
                  <w:tcW w:w="1549" w:type="dxa"/>
                  <w:vMerge w:val="restart"/>
                  <w:tcBorders>
                    <w:tl2br w:val="nil"/>
                    <w:tr2bl w:val="nil"/>
                  </w:tcBorders>
                  <w:noWrap w:val="0"/>
                  <w:tcMar>
                    <w:top w:w="15" w:type="dxa"/>
                    <w:left w:w="15" w:type="dxa"/>
                    <w:right w:w="15" w:type="dxa"/>
                  </w:tcMar>
                  <w:vAlign w:val="center"/>
                </w:tcPr>
                <w:p w14:paraId="6E54DB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泄漏漫流至地面下渗影响土壤及地下水环境</w:t>
                  </w:r>
                  <w:r>
                    <w:rPr>
                      <w:rFonts w:hint="eastAsia"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引起火灾产生废气、消防废水等</w:t>
                  </w:r>
                </w:p>
              </w:tc>
            </w:tr>
            <w:tr w14:paraId="2E989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53" w:hRule="atLeast"/>
                <w:jc w:val="center"/>
              </w:trPr>
              <w:tc>
                <w:tcPr>
                  <w:tcW w:w="1039" w:type="dxa"/>
                  <w:tcBorders>
                    <w:tl2br w:val="nil"/>
                    <w:tr2bl w:val="nil"/>
                  </w:tcBorders>
                  <w:noWrap w:val="0"/>
                  <w:tcMar>
                    <w:top w:w="15" w:type="dxa"/>
                    <w:left w:w="15" w:type="dxa"/>
                    <w:right w:w="15" w:type="dxa"/>
                  </w:tcMar>
                  <w:vAlign w:val="center"/>
                </w:tcPr>
                <w:p w14:paraId="385F7F1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液压油</w:t>
                  </w:r>
                </w:p>
              </w:tc>
              <w:tc>
                <w:tcPr>
                  <w:tcW w:w="981" w:type="dxa"/>
                  <w:vMerge w:val="continue"/>
                  <w:tcBorders>
                    <w:tl2br w:val="nil"/>
                    <w:tr2bl w:val="nil"/>
                  </w:tcBorders>
                  <w:noWrap w:val="0"/>
                  <w:tcMar>
                    <w:top w:w="15" w:type="dxa"/>
                    <w:left w:w="15" w:type="dxa"/>
                    <w:right w:w="15" w:type="dxa"/>
                  </w:tcMar>
                  <w:vAlign w:val="center"/>
                </w:tcPr>
                <w:p w14:paraId="4721E5B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cs="Times New Roman"/>
                      <w:color w:val="auto"/>
                      <w:sz w:val="21"/>
                      <w:szCs w:val="21"/>
                      <w:highlight w:val="none"/>
                      <w:shd w:val="clear" w:color="auto" w:fill="auto"/>
                      <w:lang w:val="en-US" w:eastAsia="zh-CN"/>
                    </w:rPr>
                  </w:pPr>
                </w:p>
              </w:tc>
              <w:tc>
                <w:tcPr>
                  <w:tcW w:w="980" w:type="dxa"/>
                  <w:tcBorders>
                    <w:tl2br w:val="nil"/>
                    <w:tr2bl w:val="nil"/>
                  </w:tcBorders>
                  <w:noWrap w:val="0"/>
                  <w:tcMar>
                    <w:top w:w="15" w:type="dxa"/>
                    <w:left w:w="15" w:type="dxa"/>
                    <w:right w:w="15" w:type="dxa"/>
                  </w:tcMar>
                  <w:vAlign w:val="center"/>
                </w:tcPr>
                <w:p w14:paraId="14A835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0.9</w:t>
                  </w:r>
                </w:p>
              </w:tc>
              <w:tc>
                <w:tcPr>
                  <w:tcW w:w="789" w:type="dxa"/>
                  <w:tcBorders>
                    <w:tl2br w:val="nil"/>
                    <w:tr2bl w:val="nil"/>
                  </w:tcBorders>
                  <w:noWrap w:val="0"/>
                  <w:tcMar>
                    <w:top w:w="15" w:type="dxa"/>
                    <w:left w:w="15" w:type="dxa"/>
                    <w:right w:w="15" w:type="dxa"/>
                  </w:tcMar>
                  <w:vAlign w:val="center"/>
                </w:tcPr>
                <w:p w14:paraId="13EA88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2500</w:t>
                  </w:r>
                </w:p>
              </w:tc>
              <w:tc>
                <w:tcPr>
                  <w:tcW w:w="1750" w:type="dxa"/>
                  <w:vMerge w:val="continue"/>
                  <w:tcBorders>
                    <w:tl2br w:val="nil"/>
                    <w:tr2bl w:val="nil"/>
                  </w:tcBorders>
                  <w:noWrap w:val="0"/>
                  <w:tcMar>
                    <w:top w:w="15" w:type="dxa"/>
                    <w:left w:w="15" w:type="dxa"/>
                    <w:right w:w="15" w:type="dxa"/>
                  </w:tcMar>
                  <w:vAlign w:val="center"/>
                </w:tcPr>
                <w:p w14:paraId="164E22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cs="Times New Roman"/>
                      <w:color w:val="auto"/>
                      <w:sz w:val="21"/>
                      <w:szCs w:val="21"/>
                      <w:highlight w:val="none"/>
                      <w:shd w:val="clear" w:color="auto" w:fill="auto"/>
                      <w:lang w:val="en-US" w:eastAsia="zh-CN"/>
                    </w:rPr>
                  </w:pPr>
                </w:p>
              </w:tc>
              <w:tc>
                <w:tcPr>
                  <w:tcW w:w="1019" w:type="dxa"/>
                  <w:tcBorders>
                    <w:tl2br w:val="nil"/>
                    <w:tr2bl w:val="nil"/>
                  </w:tcBorders>
                  <w:noWrap w:val="0"/>
                  <w:tcMar>
                    <w:top w:w="15" w:type="dxa"/>
                    <w:left w:w="15" w:type="dxa"/>
                    <w:right w:w="15" w:type="dxa"/>
                  </w:tcMar>
                  <w:vAlign w:val="center"/>
                </w:tcPr>
                <w:p w14:paraId="33336C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0.00036</w:t>
                  </w:r>
                </w:p>
              </w:tc>
              <w:tc>
                <w:tcPr>
                  <w:tcW w:w="1549" w:type="dxa"/>
                  <w:vMerge w:val="continue"/>
                  <w:tcBorders>
                    <w:tl2br w:val="nil"/>
                    <w:tr2bl w:val="nil"/>
                  </w:tcBorders>
                  <w:noWrap w:val="0"/>
                  <w:tcMar>
                    <w:top w:w="15" w:type="dxa"/>
                    <w:left w:w="15" w:type="dxa"/>
                    <w:right w:w="15" w:type="dxa"/>
                  </w:tcMar>
                  <w:vAlign w:val="center"/>
                </w:tcPr>
                <w:p w14:paraId="4F9037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color w:val="auto"/>
                      <w:sz w:val="21"/>
                      <w:szCs w:val="21"/>
                      <w:highlight w:val="none"/>
                      <w:shd w:val="clear" w:color="auto" w:fill="auto"/>
                      <w:lang w:val="en-US" w:eastAsia="zh-CN"/>
                    </w:rPr>
                  </w:pPr>
                </w:p>
              </w:tc>
            </w:tr>
            <w:tr w14:paraId="5EAFA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1039" w:type="dxa"/>
                  <w:tcBorders>
                    <w:tl2br w:val="nil"/>
                    <w:tr2bl w:val="nil"/>
                  </w:tcBorders>
                  <w:noWrap w:val="0"/>
                  <w:tcMar>
                    <w:top w:w="15" w:type="dxa"/>
                    <w:left w:w="15" w:type="dxa"/>
                    <w:right w:w="15" w:type="dxa"/>
                  </w:tcMar>
                  <w:vAlign w:val="center"/>
                </w:tcPr>
                <w:p w14:paraId="4E90EAD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cs="Times New Roman"/>
                      <w:color w:val="auto"/>
                      <w:sz w:val="21"/>
                      <w:szCs w:val="21"/>
                      <w:highlight w:val="none"/>
                      <w:shd w:val="clear" w:color="auto" w:fill="auto"/>
                      <w:lang w:val="en-US" w:eastAsia="zh-CN"/>
                    </w:rPr>
                  </w:pPr>
                  <w:r>
                    <w:rPr>
                      <w:rFonts w:hint="eastAsia" w:cs="Times New Roman"/>
                      <w:color w:val="auto"/>
                      <w:sz w:val="21"/>
                      <w:szCs w:val="21"/>
                      <w:highlight w:val="none"/>
                      <w:shd w:val="clear" w:color="auto" w:fill="auto"/>
                      <w:lang w:val="en-US" w:eastAsia="zh-CN"/>
                    </w:rPr>
                    <w:t>合计</w:t>
                  </w:r>
                  <w:r>
                    <w:rPr>
                      <w:rFonts w:hint="default" w:ascii="Times New Roman" w:hAnsi="Times New Roman" w:cs="Times New Roman"/>
                      <w:color w:val="auto"/>
                      <w:sz w:val="21"/>
                      <w:szCs w:val="21"/>
                      <w:highlight w:val="none"/>
                      <w:shd w:val="clear" w:color="auto" w:fill="auto"/>
                      <w:lang w:val="en-US" w:eastAsia="zh-CN"/>
                    </w:rPr>
                    <w:t>∑</w:t>
                  </w:r>
                </w:p>
              </w:tc>
              <w:tc>
                <w:tcPr>
                  <w:tcW w:w="981" w:type="dxa"/>
                  <w:tcBorders>
                    <w:tl2br w:val="nil"/>
                    <w:tr2bl w:val="nil"/>
                  </w:tcBorders>
                  <w:noWrap w:val="0"/>
                  <w:tcMar>
                    <w:top w:w="15" w:type="dxa"/>
                    <w:left w:w="15" w:type="dxa"/>
                    <w:right w:w="15" w:type="dxa"/>
                  </w:tcMar>
                  <w:vAlign w:val="center"/>
                </w:tcPr>
                <w:p w14:paraId="5FF5F3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c>
                <w:tcPr>
                  <w:tcW w:w="980" w:type="dxa"/>
                  <w:tcBorders>
                    <w:tl2br w:val="nil"/>
                    <w:tr2bl w:val="nil"/>
                  </w:tcBorders>
                  <w:noWrap w:val="0"/>
                  <w:tcMar>
                    <w:top w:w="15" w:type="dxa"/>
                    <w:left w:w="15" w:type="dxa"/>
                    <w:right w:w="15" w:type="dxa"/>
                  </w:tcMar>
                  <w:vAlign w:val="center"/>
                </w:tcPr>
                <w:p w14:paraId="7A9220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c>
                <w:tcPr>
                  <w:tcW w:w="789" w:type="dxa"/>
                  <w:tcBorders>
                    <w:tl2br w:val="nil"/>
                    <w:tr2bl w:val="nil"/>
                  </w:tcBorders>
                  <w:noWrap w:val="0"/>
                  <w:tcMar>
                    <w:top w:w="15" w:type="dxa"/>
                    <w:left w:w="15" w:type="dxa"/>
                    <w:right w:w="15" w:type="dxa"/>
                  </w:tcMar>
                  <w:vAlign w:val="center"/>
                </w:tcPr>
                <w:p w14:paraId="48D8C1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c>
                <w:tcPr>
                  <w:tcW w:w="1750" w:type="dxa"/>
                  <w:tcBorders>
                    <w:tl2br w:val="nil"/>
                    <w:tr2bl w:val="nil"/>
                  </w:tcBorders>
                  <w:noWrap w:val="0"/>
                  <w:tcMar>
                    <w:top w:w="15" w:type="dxa"/>
                    <w:left w:w="15" w:type="dxa"/>
                    <w:right w:w="15" w:type="dxa"/>
                  </w:tcMar>
                  <w:vAlign w:val="center"/>
                </w:tcPr>
                <w:p w14:paraId="1A4D39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c>
                <w:tcPr>
                  <w:tcW w:w="1019" w:type="dxa"/>
                  <w:tcBorders>
                    <w:tl2br w:val="nil"/>
                    <w:tr2bl w:val="nil"/>
                  </w:tcBorders>
                  <w:noWrap w:val="0"/>
                  <w:tcMar>
                    <w:top w:w="15" w:type="dxa"/>
                    <w:left w:w="15" w:type="dxa"/>
                    <w:right w:w="15" w:type="dxa"/>
                  </w:tcMar>
                  <w:vAlign w:val="center"/>
                </w:tcPr>
                <w:p w14:paraId="13183F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0.000424</w:t>
                  </w:r>
                </w:p>
              </w:tc>
              <w:tc>
                <w:tcPr>
                  <w:tcW w:w="1549" w:type="dxa"/>
                  <w:tcBorders>
                    <w:tl2br w:val="nil"/>
                    <w:tr2bl w:val="nil"/>
                  </w:tcBorders>
                  <w:noWrap w:val="0"/>
                  <w:tcMar>
                    <w:top w:w="15" w:type="dxa"/>
                    <w:left w:w="15" w:type="dxa"/>
                    <w:right w:w="15" w:type="dxa"/>
                  </w:tcMar>
                  <w:vAlign w:val="center"/>
                </w:tcPr>
                <w:p w14:paraId="36B77E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highlight w:val="none"/>
                      <w:shd w:val="clear" w:color="auto" w:fill="auto"/>
                      <w:lang w:val="en-US" w:eastAsia="zh-CN"/>
                    </w:rPr>
                  </w:pPr>
                  <w:r>
                    <w:rPr>
                      <w:rFonts w:hint="default" w:ascii="Times New Roman" w:hAnsi="Times New Roman" w:cs="Times New Roman"/>
                      <w:color w:val="auto"/>
                      <w:sz w:val="21"/>
                      <w:szCs w:val="21"/>
                      <w:highlight w:val="none"/>
                      <w:shd w:val="clear" w:color="auto" w:fill="auto"/>
                      <w:lang w:val="en-US" w:eastAsia="zh-CN"/>
                    </w:rPr>
                    <w:t>/</w:t>
                  </w:r>
                </w:p>
              </w:tc>
            </w:tr>
          </w:tbl>
          <w:p w14:paraId="5B89D18E">
            <w:pPr>
              <w:bidi w:val="0"/>
              <w:rPr>
                <w:rFonts w:hint="default"/>
                <w:color w:val="auto"/>
                <w:highlight w:val="none"/>
                <w:lang w:val="en-US" w:eastAsia="zh-CN"/>
              </w:rPr>
            </w:pPr>
            <w:r>
              <w:rPr>
                <w:rFonts w:hint="eastAsia"/>
                <w:color w:val="auto"/>
                <w:highlight w:val="none"/>
                <w:lang w:val="en-US" w:eastAsia="zh-CN"/>
              </w:rPr>
              <w:t>本项目</w:t>
            </w:r>
            <w:r>
              <w:rPr>
                <w:rFonts w:hint="default"/>
                <w:color w:val="auto"/>
                <w:highlight w:val="none"/>
              </w:rPr>
              <w:t>风险物质</w:t>
            </w:r>
            <w:r>
              <w:rPr>
                <w:rFonts w:hint="eastAsia"/>
                <w:color w:val="auto"/>
                <w:highlight w:val="none"/>
                <w:lang w:val="en-US" w:eastAsia="zh-CN"/>
              </w:rPr>
              <w:t>最大存在量</w:t>
            </w:r>
            <w:r>
              <w:rPr>
                <w:rFonts w:hint="default"/>
                <w:color w:val="auto"/>
                <w:highlight w:val="none"/>
              </w:rPr>
              <w:t>与临界量比值Q值</w:t>
            </w:r>
            <w:r>
              <w:rPr>
                <w:rFonts w:hint="eastAsia"/>
                <w:color w:val="auto"/>
                <w:highlight w:val="none"/>
                <w:lang w:val="en-US" w:eastAsia="zh-CN"/>
              </w:rPr>
              <w:t>及</w:t>
            </w:r>
            <w:r>
              <w:rPr>
                <w:rFonts w:hint="default" w:ascii="Times New Roman" w:hAnsi="Times New Roman" w:cs="Times New Roman"/>
                <w:color w:val="auto"/>
                <w:sz w:val="24"/>
                <w:szCs w:val="24"/>
                <w:highlight w:val="none"/>
                <w:shd w:val="clear" w:color="auto" w:fill="auto"/>
                <w:lang w:val="en-US" w:eastAsia="zh-CN"/>
              </w:rPr>
              <w:t>∑</w:t>
            </w:r>
            <w:r>
              <w:rPr>
                <w:rFonts w:hint="default"/>
                <w:color w:val="auto"/>
                <w:highlight w:val="none"/>
              </w:rPr>
              <w:t>Q</w:t>
            </w:r>
            <w:r>
              <w:rPr>
                <w:rFonts w:hint="eastAsia"/>
                <w:color w:val="auto"/>
                <w:highlight w:val="none"/>
                <w:lang w:val="en-US" w:eastAsia="zh-CN"/>
              </w:rPr>
              <w:t>均&lt;1。</w:t>
            </w:r>
          </w:p>
          <w:p w14:paraId="386DC02C">
            <w:pPr>
              <w:bidi w:val="0"/>
              <w:rPr>
                <w:rFonts w:hint="eastAsia"/>
                <w:color w:val="auto"/>
                <w:highlight w:val="none"/>
                <w:lang w:eastAsia="zh-CN"/>
              </w:rPr>
            </w:pPr>
            <w:r>
              <w:rPr>
                <w:rFonts w:hint="eastAsia"/>
                <w:color w:val="auto"/>
                <w:highlight w:val="none"/>
                <w:lang w:val="en-US" w:eastAsia="zh-CN"/>
              </w:rPr>
              <w:t>风险物质</w:t>
            </w:r>
            <w:r>
              <w:rPr>
                <w:rFonts w:hint="eastAsia"/>
                <w:color w:val="auto"/>
                <w:highlight w:val="none"/>
                <w:lang w:eastAsia="zh-CN"/>
              </w:rPr>
              <w:t>理化性质见下表。</w:t>
            </w:r>
          </w:p>
          <w:p w14:paraId="3D2062EF">
            <w:pPr>
              <w:pStyle w:val="36"/>
              <w:numPr>
                <w:ilvl w:val="0"/>
                <w:numId w:val="27"/>
              </w:numPr>
              <w:bidi w:val="0"/>
              <w:rPr>
                <w:rFonts w:hint="default"/>
                <w:color w:val="auto"/>
                <w:highlight w:val="none"/>
                <w:lang w:val="en-US" w:eastAsia="zh-CN"/>
              </w:rPr>
            </w:pPr>
            <w:r>
              <w:rPr>
                <w:rFonts w:hint="eastAsia"/>
                <w:color w:val="auto"/>
                <w:highlight w:val="none"/>
                <w:lang w:val="en-US" w:eastAsia="zh-CN"/>
              </w:rPr>
              <w:t>润滑油的理化性质及危险性识别一览表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1443"/>
              <w:gridCol w:w="2038"/>
              <w:gridCol w:w="1453"/>
              <w:gridCol w:w="1694"/>
              <w:gridCol w:w="1479"/>
            </w:tblGrid>
            <w:tr w14:paraId="5D7FF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5C117E0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物质名称</w:t>
                  </w:r>
                </w:p>
              </w:tc>
              <w:tc>
                <w:tcPr>
                  <w:tcW w:w="2038" w:type="dxa"/>
                  <w:tcBorders>
                    <w:tl2br w:val="nil"/>
                    <w:tr2bl w:val="nil"/>
                  </w:tcBorders>
                  <w:noWrap w:val="0"/>
                  <w:vAlign w:val="center"/>
                </w:tcPr>
                <w:p w14:paraId="48CA8A3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分子式</w:t>
                  </w:r>
                </w:p>
              </w:tc>
              <w:tc>
                <w:tcPr>
                  <w:tcW w:w="1453" w:type="dxa"/>
                  <w:tcBorders>
                    <w:tl2br w:val="nil"/>
                    <w:tr2bl w:val="nil"/>
                  </w:tcBorders>
                  <w:noWrap w:val="0"/>
                  <w:vAlign w:val="center"/>
                </w:tcPr>
                <w:p w14:paraId="6DE2FC6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分子量</w:t>
                  </w:r>
                </w:p>
              </w:tc>
              <w:tc>
                <w:tcPr>
                  <w:tcW w:w="1694" w:type="dxa"/>
                  <w:tcBorders>
                    <w:tl2br w:val="nil"/>
                    <w:tr2bl w:val="nil"/>
                  </w:tcBorders>
                  <w:noWrap w:val="0"/>
                  <w:vAlign w:val="center"/>
                </w:tcPr>
                <w:p w14:paraId="2577263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沸点</w:t>
                  </w:r>
                </w:p>
              </w:tc>
              <w:tc>
                <w:tcPr>
                  <w:tcW w:w="1479" w:type="dxa"/>
                  <w:tcBorders>
                    <w:tl2br w:val="nil"/>
                    <w:tr2bl w:val="nil"/>
                  </w:tcBorders>
                  <w:noWrap w:val="0"/>
                  <w:vAlign w:val="center"/>
                </w:tcPr>
                <w:p w14:paraId="044D4BB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自燃点</w:t>
                  </w:r>
                </w:p>
              </w:tc>
            </w:tr>
            <w:tr w14:paraId="7E550F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658A508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润滑油</w:t>
                  </w:r>
                </w:p>
              </w:tc>
              <w:tc>
                <w:tcPr>
                  <w:tcW w:w="2038" w:type="dxa"/>
                  <w:tcBorders>
                    <w:tl2br w:val="nil"/>
                    <w:tr2bl w:val="nil"/>
                  </w:tcBorders>
                  <w:noWrap w:val="0"/>
                  <w:vAlign w:val="center"/>
                </w:tcPr>
                <w:p w14:paraId="28D4C9E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cs="Times New Roman"/>
                      <w:color w:val="auto"/>
                      <w:sz w:val="21"/>
                      <w:szCs w:val="21"/>
                      <w:highlight w:val="none"/>
                      <w:shd w:val="clear" w:color="auto" w:fill="auto"/>
                      <w:lang w:val="en-US" w:eastAsia="zh-CN"/>
                    </w:rPr>
                    <w:t>/</w:t>
                  </w:r>
                </w:p>
              </w:tc>
              <w:tc>
                <w:tcPr>
                  <w:tcW w:w="1453" w:type="dxa"/>
                  <w:tcBorders>
                    <w:tl2br w:val="nil"/>
                    <w:tr2bl w:val="nil"/>
                  </w:tcBorders>
                  <w:noWrap w:val="0"/>
                  <w:vAlign w:val="center"/>
                </w:tcPr>
                <w:p w14:paraId="701E8B1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cs="Times New Roman"/>
                      <w:color w:val="auto"/>
                      <w:sz w:val="21"/>
                      <w:szCs w:val="21"/>
                      <w:highlight w:val="none"/>
                      <w:shd w:val="clear" w:color="auto" w:fill="auto"/>
                      <w:lang w:val="en-US" w:eastAsia="zh-CN"/>
                    </w:rPr>
                    <w:t>/</w:t>
                  </w:r>
                </w:p>
              </w:tc>
              <w:tc>
                <w:tcPr>
                  <w:tcW w:w="1694" w:type="dxa"/>
                  <w:tcBorders>
                    <w:tl2br w:val="nil"/>
                    <w:tr2bl w:val="nil"/>
                  </w:tcBorders>
                  <w:noWrap w:val="0"/>
                  <w:vAlign w:val="center"/>
                </w:tcPr>
                <w:p w14:paraId="56B3CB5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150</w:t>
                  </w:r>
                  <w:r>
                    <w:rPr>
                      <w:rFonts w:hint="default" w:ascii="Times New Roman" w:hAnsi="Times New Roman" w:eastAsia="宋体" w:cs="Times New Roman"/>
                      <w:color w:val="auto"/>
                      <w:sz w:val="21"/>
                      <w:szCs w:val="21"/>
                      <w:highlight w:val="none"/>
                      <w:shd w:val="clear" w:color="auto" w:fill="auto"/>
                      <w:lang w:val="en-US" w:eastAsia="zh-CN"/>
                    </w:rPr>
                    <w:t>℃</w:t>
                  </w:r>
                </w:p>
              </w:tc>
              <w:tc>
                <w:tcPr>
                  <w:tcW w:w="1479" w:type="dxa"/>
                  <w:tcBorders>
                    <w:tl2br w:val="nil"/>
                    <w:tr2bl w:val="nil"/>
                  </w:tcBorders>
                  <w:noWrap w:val="0"/>
                  <w:vAlign w:val="center"/>
                </w:tcPr>
                <w:p w14:paraId="31B799B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300-350</w:t>
                  </w:r>
                  <w:r>
                    <w:rPr>
                      <w:rFonts w:hint="default" w:ascii="Times New Roman" w:hAnsi="Times New Roman" w:eastAsia="宋体" w:cs="Times New Roman"/>
                      <w:color w:val="auto"/>
                      <w:sz w:val="21"/>
                      <w:szCs w:val="21"/>
                      <w:highlight w:val="none"/>
                      <w:shd w:val="clear" w:color="auto" w:fill="auto"/>
                      <w:lang w:val="en-US" w:eastAsia="zh-CN"/>
                    </w:rPr>
                    <w:t>℃</w:t>
                  </w:r>
                </w:p>
              </w:tc>
            </w:tr>
            <w:tr w14:paraId="25EEF4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2CDFB88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闪点（开口）</w:t>
                  </w:r>
                </w:p>
              </w:tc>
              <w:tc>
                <w:tcPr>
                  <w:tcW w:w="2038" w:type="dxa"/>
                  <w:tcBorders>
                    <w:tl2br w:val="nil"/>
                    <w:tr2bl w:val="nil"/>
                  </w:tcBorders>
                  <w:noWrap w:val="0"/>
                  <w:vAlign w:val="center"/>
                </w:tcPr>
                <w:p w14:paraId="2AA81B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蒸汽压（145.8</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w:t>
                  </w:r>
                </w:p>
              </w:tc>
              <w:tc>
                <w:tcPr>
                  <w:tcW w:w="1453" w:type="dxa"/>
                  <w:tcBorders>
                    <w:tl2br w:val="nil"/>
                    <w:tr2bl w:val="nil"/>
                  </w:tcBorders>
                  <w:noWrap w:val="0"/>
                  <w:vAlign w:val="center"/>
                </w:tcPr>
                <w:p w14:paraId="71A63AF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引燃温度</w:t>
                  </w:r>
                </w:p>
              </w:tc>
              <w:tc>
                <w:tcPr>
                  <w:tcW w:w="1694" w:type="dxa"/>
                  <w:tcBorders>
                    <w:tl2br w:val="nil"/>
                    <w:tr2bl w:val="nil"/>
                  </w:tcBorders>
                  <w:noWrap w:val="0"/>
                  <w:vAlign w:val="center"/>
                </w:tcPr>
                <w:p w14:paraId="09394B7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密度（水=1）</w:t>
                  </w:r>
                </w:p>
              </w:tc>
              <w:tc>
                <w:tcPr>
                  <w:tcW w:w="1479" w:type="dxa"/>
                  <w:tcBorders>
                    <w:tl2br w:val="nil"/>
                    <w:tr2bl w:val="nil"/>
                  </w:tcBorders>
                  <w:noWrap w:val="0"/>
                  <w:vAlign w:val="center"/>
                </w:tcPr>
                <w:p w14:paraId="27F6677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爆炸下限</w:t>
                  </w:r>
                </w:p>
              </w:tc>
            </w:tr>
            <w:tr w14:paraId="33010A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6A53150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22</w:t>
                  </w:r>
                  <w:r>
                    <w:rPr>
                      <w:rFonts w:hint="default" w:ascii="Times New Roman" w:hAnsi="Times New Roman" w:eastAsia="宋体" w:cs="Times New Roman"/>
                      <w:color w:val="auto"/>
                      <w:sz w:val="21"/>
                      <w:szCs w:val="21"/>
                      <w:highlight w:val="none"/>
                      <w:shd w:val="clear" w:color="auto" w:fill="auto"/>
                      <w:lang w:val="en-US" w:eastAsia="zh-CN"/>
                    </w:rPr>
                    <w:t>0℃</w:t>
                  </w:r>
                </w:p>
              </w:tc>
              <w:tc>
                <w:tcPr>
                  <w:tcW w:w="2038" w:type="dxa"/>
                  <w:tcBorders>
                    <w:tl2br w:val="nil"/>
                    <w:tr2bl w:val="nil"/>
                  </w:tcBorders>
                  <w:noWrap w:val="0"/>
                  <w:vAlign w:val="center"/>
                </w:tcPr>
                <w:p w14:paraId="6F361E5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0.13Pa</w:t>
                  </w:r>
                </w:p>
              </w:tc>
              <w:tc>
                <w:tcPr>
                  <w:tcW w:w="1453" w:type="dxa"/>
                  <w:tcBorders>
                    <w:tl2br w:val="nil"/>
                    <w:tr2bl w:val="nil"/>
                  </w:tcBorders>
                  <w:noWrap w:val="0"/>
                  <w:vAlign w:val="center"/>
                </w:tcPr>
                <w:p w14:paraId="01F6B2C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lang w:val="en-US" w:eastAsia="zh-CN"/>
                    </w:rPr>
                  </w:pPr>
                  <w:r>
                    <w:rPr>
                      <w:rFonts w:hint="eastAsia" w:cs="Times New Roman"/>
                      <w:color w:val="auto"/>
                      <w:sz w:val="21"/>
                      <w:szCs w:val="21"/>
                      <w:highlight w:val="none"/>
                      <w:shd w:val="clear" w:color="auto" w:fill="auto"/>
                      <w:lang w:val="en-US" w:eastAsia="zh-CN"/>
                    </w:rPr>
                    <w:t>/</w:t>
                  </w:r>
                </w:p>
              </w:tc>
              <w:tc>
                <w:tcPr>
                  <w:tcW w:w="1694" w:type="dxa"/>
                  <w:tcBorders>
                    <w:tl2br w:val="nil"/>
                    <w:tr2bl w:val="nil"/>
                  </w:tcBorders>
                  <w:noWrap w:val="0"/>
                  <w:vAlign w:val="center"/>
                </w:tcPr>
                <w:p w14:paraId="18C55CC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0.91</w:t>
                  </w:r>
                </w:p>
              </w:tc>
              <w:tc>
                <w:tcPr>
                  <w:tcW w:w="1479" w:type="dxa"/>
                  <w:tcBorders>
                    <w:tl2br w:val="nil"/>
                    <w:tr2bl w:val="nil"/>
                  </w:tcBorders>
                  <w:noWrap w:val="0"/>
                  <w:vAlign w:val="center"/>
                </w:tcPr>
                <w:p w14:paraId="6E927CE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cs="Times New Roman"/>
                      <w:color w:val="auto"/>
                      <w:sz w:val="21"/>
                      <w:szCs w:val="21"/>
                      <w:highlight w:val="none"/>
                      <w:shd w:val="clear" w:color="auto" w:fill="auto"/>
                      <w:lang w:val="en-US" w:eastAsia="zh-CN"/>
                    </w:rPr>
                    <w:t>/</w:t>
                  </w:r>
                </w:p>
              </w:tc>
            </w:tr>
            <w:tr w14:paraId="0BBF1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443" w:type="dxa"/>
                  <w:tcBorders>
                    <w:tl2br w:val="nil"/>
                    <w:tr2bl w:val="nil"/>
                  </w:tcBorders>
                  <w:noWrap w:val="0"/>
                  <w:vAlign w:val="center"/>
                </w:tcPr>
                <w:p w14:paraId="1171F72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形状和溶解性</w:t>
                  </w:r>
                </w:p>
              </w:tc>
              <w:tc>
                <w:tcPr>
                  <w:tcW w:w="6664" w:type="dxa"/>
                  <w:gridSpan w:val="4"/>
                  <w:tcBorders>
                    <w:tl2br w:val="nil"/>
                    <w:tr2bl w:val="nil"/>
                  </w:tcBorders>
                  <w:noWrap w:val="0"/>
                  <w:vAlign w:val="center"/>
                </w:tcPr>
                <w:p w14:paraId="216C77A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淡黄色粘稠液体，溶于苯、乙醇、乙醚、氯仿、丙酮等多数有机溶剂。</w:t>
                  </w:r>
                </w:p>
              </w:tc>
            </w:tr>
            <w:tr w14:paraId="036AD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94" w:hRule="atLeast"/>
                <w:jc w:val="center"/>
              </w:trPr>
              <w:tc>
                <w:tcPr>
                  <w:tcW w:w="1443" w:type="dxa"/>
                  <w:tcBorders>
                    <w:tl2br w:val="nil"/>
                    <w:tr2bl w:val="nil"/>
                  </w:tcBorders>
                  <w:noWrap w:val="0"/>
                  <w:vAlign w:val="center"/>
                </w:tcPr>
                <w:p w14:paraId="7F499D7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储存注意</w:t>
                  </w:r>
                </w:p>
              </w:tc>
              <w:tc>
                <w:tcPr>
                  <w:tcW w:w="6664" w:type="dxa"/>
                  <w:gridSpan w:val="4"/>
                  <w:tcBorders>
                    <w:tl2br w:val="nil"/>
                    <w:tr2bl w:val="nil"/>
                  </w:tcBorders>
                  <w:noWrap w:val="0"/>
                  <w:vAlign w:val="center"/>
                </w:tcPr>
                <w:p w14:paraId="3144805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储存于阴凉、通风的</w:t>
                  </w:r>
                  <w:r>
                    <w:rPr>
                      <w:rFonts w:hint="eastAsia" w:cs="Times New Roman"/>
                      <w:color w:val="auto"/>
                      <w:sz w:val="21"/>
                      <w:szCs w:val="21"/>
                      <w:highlight w:val="none"/>
                      <w:shd w:val="clear" w:color="auto" w:fill="auto"/>
                      <w:lang w:val="en-US" w:eastAsia="zh-CN"/>
                    </w:rPr>
                    <w:t>仓库</w:t>
                  </w:r>
                  <w:r>
                    <w:rPr>
                      <w:rFonts w:hint="eastAsia" w:ascii="Times New Roman" w:hAnsi="Times New Roman" w:eastAsia="宋体" w:cs="Times New Roman"/>
                      <w:color w:val="auto"/>
                      <w:sz w:val="21"/>
                      <w:szCs w:val="21"/>
                      <w:highlight w:val="none"/>
                      <w:shd w:val="clear" w:color="auto" w:fill="auto"/>
                      <w:lang w:val="en-US" w:eastAsia="zh-CN"/>
                    </w:rPr>
                    <w:t>。远离火种、热源。应与氧化剂分开存放，切忌混储。</w:t>
                  </w:r>
                </w:p>
              </w:tc>
            </w:tr>
            <w:tr w14:paraId="53459B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993" w:hRule="atLeast"/>
                <w:jc w:val="center"/>
              </w:trPr>
              <w:tc>
                <w:tcPr>
                  <w:tcW w:w="1443" w:type="dxa"/>
                  <w:tcBorders>
                    <w:tl2br w:val="nil"/>
                    <w:tr2bl w:val="nil"/>
                  </w:tcBorders>
                  <w:noWrap w:val="0"/>
                  <w:vAlign w:val="center"/>
                </w:tcPr>
                <w:p w14:paraId="2FD1C6E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健康危害</w:t>
                  </w:r>
                </w:p>
              </w:tc>
              <w:tc>
                <w:tcPr>
                  <w:tcW w:w="6664" w:type="dxa"/>
                  <w:gridSpan w:val="4"/>
                  <w:tcBorders>
                    <w:tl2br w:val="nil"/>
                    <w:tr2bl w:val="nil"/>
                  </w:tcBorders>
                  <w:noWrap w:val="0"/>
                  <w:vAlign w:val="center"/>
                </w:tcPr>
                <w:p w14:paraId="2F289E6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aps w:val="0"/>
                      <w:color w:val="auto"/>
                      <w:spacing w:val="0"/>
                      <w:position w:val="0"/>
                      <w:sz w:val="21"/>
                      <w:highlight w:val="none"/>
                    </w:rPr>
                  </w:pPr>
                  <w:r>
                    <w:rPr>
                      <w:rFonts w:hint="eastAsia" w:ascii="Times New Roman" w:hAnsi="Times New Roman" w:eastAsia="宋体" w:cs="Times New Roman"/>
                      <w:color w:val="auto"/>
                      <w:sz w:val="21"/>
                      <w:szCs w:val="21"/>
                      <w:highlight w:val="none"/>
                      <w:shd w:val="clear" w:color="auto" w:fill="auto"/>
                      <w:lang w:val="en-US" w:eastAsia="zh-CN"/>
                    </w:rPr>
                    <w:t>急性吸入可出现乏力、头痛、头晕、恶心，严重者可引起油脂性肺炎。慢接触者，暴露部位可发生油性痤疮和接触性皮炎，可引发神经衰弱综合征，呼吸道和眼刺激症状及慢性油脂性肺炎。</w:t>
                  </w:r>
                </w:p>
              </w:tc>
            </w:tr>
            <w:tr w14:paraId="0AFA05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564" w:hRule="atLeast"/>
                <w:jc w:val="center"/>
              </w:trPr>
              <w:tc>
                <w:tcPr>
                  <w:tcW w:w="1443" w:type="dxa"/>
                  <w:tcBorders>
                    <w:tl2br w:val="nil"/>
                    <w:tr2bl w:val="nil"/>
                  </w:tcBorders>
                  <w:noWrap w:val="0"/>
                  <w:vAlign w:val="center"/>
                </w:tcPr>
                <w:p w14:paraId="03D7E24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急救措施</w:t>
                  </w:r>
                </w:p>
              </w:tc>
              <w:tc>
                <w:tcPr>
                  <w:tcW w:w="6664" w:type="dxa"/>
                  <w:gridSpan w:val="4"/>
                  <w:tcBorders>
                    <w:tl2br w:val="nil"/>
                    <w:tr2bl w:val="nil"/>
                  </w:tcBorders>
                  <w:noWrap w:val="0"/>
                  <w:vAlign w:val="center"/>
                </w:tcPr>
                <w:p w14:paraId="45B901B7">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皮肤接触：脱去污染的衣着，用大量流动清水清洗，就医。</w:t>
                  </w:r>
                </w:p>
                <w:p w14:paraId="1CBAA34A">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眼接触：提起眼睑，用流动清水或生理盐水冲洗。就医。</w:t>
                  </w:r>
                </w:p>
                <w:p w14:paraId="18FE666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吸入：迅速脱离现场至空气新鲜处，保持呼吸畅通。如呼吸困难，给输氧。如呼吸停止，立即进行人工呼吸。就医。</w:t>
                  </w:r>
                </w:p>
                <w:p w14:paraId="253FA86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食用：饮适量温水，催吐，就医。</w:t>
                  </w:r>
                </w:p>
              </w:tc>
            </w:tr>
            <w:tr w14:paraId="4EA351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627" w:hRule="atLeast"/>
                <w:jc w:val="center"/>
              </w:trPr>
              <w:tc>
                <w:tcPr>
                  <w:tcW w:w="1443" w:type="dxa"/>
                  <w:tcBorders>
                    <w:tl2br w:val="nil"/>
                    <w:tr2bl w:val="nil"/>
                  </w:tcBorders>
                  <w:noWrap w:val="0"/>
                  <w:vAlign w:val="center"/>
                </w:tcPr>
                <w:p w14:paraId="51F0B58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泄漏处理</w:t>
                  </w:r>
                </w:p>
              </w:tc>
              <w:tc>
                <w:tcPr>
                  <w:tcW w:w="6664" w:type="dxa"/>
                  <w:gridSpan w:val="4"/>
                  <w:tcBorders>
                    <w:tl2br w:val="nil"/>
                    <w:tr2bl w:val="nil"/>
                  </w:tcBorders>
                  <w:noWrap w:val="0"/>
                  <w:vAlign w:val="center"/>
                </w:tcPr>
                <w:p w14:paraId="315EE9F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迅速撤离泄漏污染区人员至安全区，并进行隔离，严格限制出入。切断火源。建议应急处理人员戴自给正压式呼吸器，穿防毒服，尽可能切断泄漏源，防止流入下水道、洪沟等限制性空间。小量泄漏：用砂土或其他不燃材料吸附或吸收，减少挥发。大量泄漏：构筑围堤或挖坑收容。用泵转移至槽车或专用收集器内，回收或运至废物处理场所处置。</w:t>
                  </w:r>
                </w:p>
              </w:tc>
            </w:tr>
            <w:tr w14:paraId="123ED0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0" w:hRule="atLeast"/>
                <w:jc w:val="center"/>
              </w:trPr>
              <w:tc>
                <w:tcPr>
                  <w:tcW w:w="1443" w:type="dxa"/>
                  <w:tcBorders>
                    <w:tl2br w:val="nil"/>
                    <w:tr2bl w:val="nil"/>
                  </w:tcBorders>
                  <w:noWrap w:val="0"/>
                  <w:vAlign w:val="center"/>
                </w:tcPr>
                <w:p w14:paraId="6A8A777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防护处理</w:t>
                  </w:r>
                </w:p>
              </w:tc>
              <w:tc>
                <w:tcPr>
                  <w:tcW w:w="6664" w:type="dxa"/>
                  <w:gridSpan w:val="4"/>
                  <w:tcBorders>
                    <w:tl2br w:val="nil"/>
                    <w:tr2bl w:val="nil"/>
                  </w:tcBorders>
                  <w:noWrap w:val="0"/>
                  <w:vAlign w:val="center"/>
                </w:tcPr>
                <w:p w14:paraId="322FCB2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呼吸系统防护：空气中浓度超标时，必须佩戴自吸过滤式防毒面具（半面罩）；紧急事态抢救或撤离时，应佩戴空气呼吸器。</w:t>
                  </w:r>
                </w:p>
                <w:p w14:paraId="168CEEA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眼睛防护：戴化学安全防护眼镜。</w:t>
                  </w:r>
                </w:p>
                <w:p w14:paraId="07E1566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default"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身体防护：穿防毒渗透工作服。</w:t>
                  </w:r>
                </w:p>
                <w:p w14:paraId="69B3261D">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手防护：戴橡胶耐油手套。</w:t>
                  </w:r>
                </w:p>
                <w:p w14:paraId="10875107">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其他：工作现场严禁吸烟，避免长期反复接触。</w:t>
                  </w:r>
                </w:p>
              </w:tc>
            </w:tr>
          </w:tbl>
          <w:p w14:paraId="1CF9B752">
            <w:pPr>
              <w:pStyle w:val="36"/>
              <w:numPr>
                <w:ilvl w:val="0"/>
                <w:numId w:val="27"/>
              </w:numPr>
              <w:bidi w:val="0"/>
              <w:rPr>
                <w:rFonts w:hint="default"/>
                <w:color w:val="auto"/>
                <w:highlight w:val="none"/>
                <w:lang w:val="en-US" w:eastAsia="zh-CN"/>
              </w:rPr>
            </w:pPr>
            <w:r>
              <w:rPr>
                <w:rFonts w:hint="eastAsia"/>
                <w:color w:val="auto"/>
                <w:highlight w:val="none"/>
                <w:lang w:val="en-US" w:eastAsia="zh-CN"/>
              </w:rPr>
              <w:t>液压油的理化性质及危险性识别一览表</w:t>
            </w:r>
          </w:p>
          <w:tbl>
            <w:tblPr>
              <w:tblStyle w:val="29"/>
              <w:tblW w:w="81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3128"/>
              <w:gridCol w:w="63"/>
              <w:gridCol w:w="1818"/>
              <w:gridCol w:w="1877"/>
            </w:tblGrid>
            <w:tr w14:paraId="74F39D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restart"/>
                  <w:tcBorders>
                    <w:tl2br w:val="nil"/>
                    <w:tr2bl w:val="nil"/>
                  </w:tcBorders>
                  <w:noWrap w:val="0"/>
                  <w:vAlign w:val="center"/>
                </w:tcPr>
                <w:p w14:paraId="0C1486B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标识</w:t>
                  </w:r>
                </w:p>
              </w:tc>
              <w:tc>
                <w:tcPr>
                  <w:tcW w:w="1968" w:type="pct"/>
                  <w:gridSpan w:val="2"/>
                  <w:tcBorders>
                    <w:tl2br w:val="nil"/>
                    <w:tr2bl w:val="nil"/>
                  </w:tcBorders>
                  <w:noWrap w:val="0"/>
                  <w:vAlign w:val="center"/>
                </w:tcPr>
                <w:p w14:paraId="629E586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中文名：液压油</w:t>
                  </w:r>
                </w:p>
              </w:tc>
              <w:tc>
                <w:tcPr>
                  <w:tcW w:w="2277" w:type="pct"/>
                  <w:gridSpan w:val="2"/>
                  <w:tcBorders>
                    <w:tl2br w:val="nil"/>
                    <w:tr2bl w:val="nil"/>
                  </w:tcBorders>
                  <w:noWrap w:val="0"/>
                  <w:vAlign w:val="center"/>
                </w:tcPr>
                <w:p w14:paraId="65778DC3">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分子式：</w:t>
                  </w:r>
                  <w:r>
                    <w:rPr>
                      <w:rFonts w:hint="eastAsia" w:cs="Times New Roman"/>
                      <w:color w:val="auto"/>
                      <w:sz w:val="21"/>
                      <w:szCs w:val="21"/>
                      <w:highlight w:val="none"/>
                      <w:shd w:val="clear" w:color="auto" w:fill="auto"/>
                      <w:lang w:val="en-US" w:eastAsia="zh-CN"/>
                    </w:rPr>
                    <w:t>/</w:t>
                  </w:r>
                </w:p>
              </w:tc>
            </w:tr>
            <w:tr w14:paraId="70C340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7CC81A3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68" w:type="pct"/>
                  <w:gridSpan w:val="2"/>
                  <w:tcBorders>
                    <w:tl2br w:val="nil"/>
                    <w:tr2bl w:val="nil"/>
                  </w:tcBorders>
                  <w:noWrap w:val="0"/>
                  <w:vAlign w:val="center"/>
                </w:tcPr>
                <w:p w14:paraId="7E1CBA40">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分子量：</w:t>
                  </w:r>
                  <w:r>
                    <w:rPr>
                      <w:rFonts w:hint="eastAsia" w:cs="Times New Roman"/>
                      <w:color w:val="auto"/>
                      <w:sz w:val="21"/>
                      <w:szCs w:val="21"/>
                      <w:highlight w:val="none"/>
                      <w:shd w:val="clear" w:color="auto" w:fill="auto"/>
                      <w:lang w:val="en-US" w:eastAsia="zh-CN"/>
                    </w:rPr>
                    <w:t>/</w:t>
                  </w:r>
                </w:p>
              </w:tc>
              <w:tc>
                <w:tcPr>
                  <w:tcW w:w="2277" w:type="pct"/>
                  <w:gridSpan w:val="2"/>
                  <w:tcBorders>
                    <w:tl2br w:val="nil"/>
                    <w:tr2bl w:val="nil"/>
                  </w:tcBorders>
                  <w:noWrap w:val="0"/>
                  <w:vAlign w:val="center"/>
                </w:tcPr>
                <w:p w14:paraId="66BF16D6">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CAS号：</w:t>
                  </w:r>
                  <w:r>
                    <w:rPr>
                      <w:rFonts w:hint="eastAsia" w:cs="Times New Roman"/>
                      <w:color w:val="auto"/>
                      <w:sz w:val="21"/>
                      <w:szCs w:val="21"/>
                      <w:highlight w:val="none"/>
                      <w:shd w:val="clear" w:color="auto" w:fill="auto"/>
                      <w:lang w:val="en-US" w:eastAsia="zh-CN"/>
                    </w:rPr>
                    <w:t>/</w:t>
                  </w:r>
                </w:p>
              </w:tc>
            </w:tr>
            <w:tr w14:paraId="6634E6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restart"/>
                  <w:tcBorders>
                    <w:tl2br w:val="nil"/>
                    <w:tr2bl w:val="nil"/>
                  </w:tcBorders>
                  <w:noWrap w:val="0"/>
                  <w:vAlign w:val="center"/>
                </w:tcPr>
                <w:p w14:paraId="1B343D0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理化性质</w:t>
                  </w:r>
                </w:p>
              </w:tc>
              <w:tc>
                <w:tcPr>
                  <w:tcW w:w="4246" w:type="pct"/>
                  <w:gridSpan w:val="4"/>
                  <w:tcBorders>
                    <w:tl2br w:val="nil"/>
                    <w:tr2bl w:val="nil"/>
                  </w:tcBorders>
                  <w:noWrap w:val="0"/>
                  <w:vAlign w:val="center"/>
                </w:tcPr>
                <w:p w14:paraId="71BD1775">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性状：琥珀色室温下液体</w:t>
                  </w:r>
                </w:p>
              </w:tc>
            </w:tr>
            <w:tr w14:paraId="7263C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2B55664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462E8DE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熔点</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：无资料</w:t>
                  </w:r>
                </w:p>
              </w:tc>
              <w:tc>
                <w:tcPr>
                  <w:tcW w:w="2316" w:type="pct"/>
                  <w:gridSpan w:val="3"/>
                  <w:tcBorders>
                    <w:tl2br w:val="nil"/>
                    <w:tr2bl w:val="nil"/>
                  </w:tcBorders>
                  <w:noWrap w:val="0"/>
                  <w:vAlign w:val="center"/>
                </w:tcPr>
                <w:p w14:paraId="5BA9585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溶解性：不溶于水</w:t>
                  </w:r>
                </w:p>
              </w:tc>
            </w:tr>
            <w:tr w14:paraId="424A8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1A36556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4EC9C0B2">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沸点</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：&gt;290</w:t>
                  </w:r>
                </w:p>
              </w:tc>
              <w:tc>
                <w:tcPr>
                  <w:tcW w:w="2316" w:type="pct"/>
                  <w:gridSpan w:val="3"/>
                  <w:tcBorders>
                    <w:tl2br w:val="nil"/>
                    <w:tr2bl w:val="nil"/>
                  </w:tcBorders>
                  <w:noWrap w:val="0"/>
                  <w:vAlign w:val="center"/>
                </w:tcPr>
                <w:p w14:paraId="227396A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相对密度（水=1）：0.896kg/m</w:t>
                  </w:r>
                  <w:r>
                    <w:rPr>
                      <w:rFonts w:hint="eastAsia" w:ascii="Times New Roman" w:hAnsi="Times New Roman" w:eastAsia="宋体" w:cs="Times New Roman"/>
                      <w:color w:val="auto"/>
                      <w:sz w:val="21"/>
                      <w:szCs w:val="21"/>
                      <w:highlight w:val="none"/>
                      <w:shd w:val="clear" w:color="auto" w:fill="auto"/>
                      <w:vertAlign w:val="superscript"/>
                      <w:lang w:val="en-US" w:eastAsia="zh-CN"/>
                    </w:rPr>
                    <w:t>3</w:t>
                  </w:r>
                  <w:r>
                    <w:rPr>
                      <w:rFonts w:hint="eastAsia" w:ascii="Times New Roman" w:hAnsi="Times New Roman" w:eastAsia="宋体" w:cs="Times New Roman"/>
                      <w:color w:val="auto"/>
                      <w:sz w:val="21"/>
                      <w:szCs w:val="21"/>
                      <w:highlight w:val="none"/>
                      <w:shd w:val="clear" w:color="auto" w:fill="auto"/>
                      <w:lang w:val="en-US" w:eastAsia="zh-CN"/>
                    </w:rPr>
                    <w:t>（15</w:t>
                  </w:r>
                  <w:r>
                    <w:rPr>
                      <w:rFonts w:hint="default" w:ascii="Times New Roman" w:hAnsi="Times New Roman" w:eastAsia="宋体" w:cs="Times New Roman"/>
                      <w:color w:val="auto"/>
                      <w:sz w:val="21"/>
                      <w:szCs w:val="21"/>
                      <w:highlight w:val="none"/>
                      <w:shd w:val="clear" w:color="auto" w:fill="auto"/>
                      <w:lang w:val="en-US" w:eastAsia="zh-CN"/>
                    </w:rPr>
                    <w:t>°C</w:t>
                  </w:r>
                  <w:r>
                    <w:rPr>
                      <w:rFonts w:hint="eastAsia" w:ascii="Times New Roman" w:hAnsi="Times New Roman" w:eastAsia="宋体" w:cs="Times New Roman"/>
                      <w:color w:val="auto"/>
                      <w:sz w:val="21"/>
                      <w:szCs w:val="21"/>
                      <w:highlight w:val="none"/>
                      <w:shd w:val="clear" w:color="auto" w:fill="auto"/>
                      <w:lang w:val="en-US" w:eastAsia="zh-CN"/>
                    </w:rPr>
                    <w:t>）</w:t>
                  </w:r>
                </w:p>
              </w:tc>
            </w:tr>
            <w:tr w14:paraId="2BCEA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0239A42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190F29A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饱和蒸汽压：估计值</w:t>
                  </w:r>
                  <w:r>
                    <w:rPr>
                      <w:rFonts w:hint="eastAsia" w:ascii="Times New Roman" w:hAnsi="Times New Roman" w:eastAsia="宋体" w:cs="Times New Roman"/>
                      <w:color w:val="auto"/>
                      <w:sz w:val="21"/>
                      <w:szCs w:val="21"/>
                      <w:highlight w:val="none"/>
                      <w:shd w:val="clear" w:color="auto" w:fill="auto"/>
                      <w:lang w:val="fr-FR" w:eastAsia="zh-CN"/>
                    </w:rPr>
                    <w:t>&lt;0.5Pa</w:t>
                  </w:r>
                  <w:r>
                    <w:rPr>
                      <w:rFonts w:hint="eastAsia" w:ascii="Times New Roman" w:hAnsi="Times New Roman" w:eastAsia="宋体" w:cs="Times New Roman"/>
                      <w:color w:val="auto"/>
                      <w:sz w:val="21"/>
                      <w:szCs w:val="21"/>
                      <w:highlight w:val="none"/>
                      <w:shd w:val="clear" w:color="auto" w:fill="auto"/>
                      <w:lang w:val="en-US" w:eastAsia="zh-CN"/>
                    </w:rPr>
                    <w:t>（20</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w:t>
                  </w:r>
                </w:p>
              </w:tc>
              <w:tc>
                <w:tcPr>
                  <w:tcW w:w="2316" w:type="pct"/>
                  <w:gridSpan w:val="3"/>
                  <w:tcBorders>
                    <w:tl2br w:val="nil"/>
                    <w:tr2bl w:val="nil"/>
                  </w:tcBorders>
                  <w:noWrap w:val="0"/>
                  <w:vAlign w:val="center"/>
                </w:tcPr>
                <w:p w14:paraId="2B3212F5">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相对密度（空气=1）：&gt;1</w:t>
                  </w:r>
                </w:p>
              </w:tc>
            </w:tr>
            <w:tr w14:paraId="46EB62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3B51807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295931D2">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临界温度</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：无资料</w:t>
                  </w:r>
                </w:p>
              </w:tc>
              <w:tc>
                <w:tcPr>
                  <w:tcW w:w="2316" w:type="pct"/>
                  <w:gridSpan w:val="3"/>
                  <w:tcBorders>
                    <w:tl2br w:val="nil"/>
                    <w:tr2bl w:val="nil"/>
                  </w:tcBorders>
                  <w:noWrap w:val="0"/>
                  <w:vAlign w:val="center"/>
                </w:tcPr>
                <w:p w14:paraId="5D7B43E9">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燃烧热（kJ/mol）：无资料</w:t>
                  </w:r>
                </w:p>
              </w:tc>
            </w:tr>
            <w:tr w14:paraId="48F793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27795EA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4246" w:type="pct"/>
                  <w:gridSpan w:val="4"/>
                  <w:tcBorders>
                    <w:tl2br w:val="nil"/>
                    <w:tr2bl w:val="nil"/>
                  </w:tcBorders>
                  <w:noWrap w:val="0"/>
                  <w:vAlign w:val="center"/>
                </w:tcPr>
                <w:p w14:paraId="734BFAE0">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临界压力MPa：无资料</w:t>
                  </w:r>
                </w:p>
              </w:tc>
            </w:tr>
            <w:tr w14:paraId="2F62DC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195EADE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3A54ACAD">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闪点</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：222</w:t>
                  </w:r>
                </w:p>
              </w:tc>
              <w:tc>
                <w:tcPr>
                  <w:tcW w:w="2316" w:type="pct"/>
                  <w:gridSpan w:val="3"/>
                  <w:tcBorders>
                    <w:tl2br w:val="nil"/>
                    <w:tr2bl w:val="nil"/>
                  </w:tcBorders>
                  <w:noWrap w:val="0"/>
                  <w:vAlign w:val="center"/>
                </w:tcPr>
                <w:p w14:paraId="48E395F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自燃温度</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：&gt;320</w:t>
                  </w:r>
                </w:p>
              </w:tc>
            </w:tr>
            <w:tr w14:paraId="29BF2C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2890FDA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774A8488">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稳定性：稳定</w:t>
                  </w:r>
                </w:p>
              </w:tc>
              <w:tc>
                <w:tcPr>
                  <w:tcW w:w="2316" w:type="pct"/>
                  <w:gridSpan w:val="3"/>
                  <w:tcBorders>
                    <w:tl2br w:val="nil"/>
                    <w:tr2bl w:val="nil"/>
                  </w:tcBorders>
                  <w:noWrap w:val="0"/>
                  <w:vAlign w:val="center"/>
                </w:tcPr>
                <w:p w14:paraId="0AF09A2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聚合危害：不聚合</w:t>
                  </w:r>
                </w:p>
              </w:tc>
            </w:tr>
            <w:tr w14:paraId="4B5030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continue"/>
                  <w:tcBorders>
                    <w:tl2br w:val="nil"/>
                    <w:tr2bl w:val="nil"/>
                  </w:tcBorders>
                  <w:noWrap w:val="0"/>
                  <w:vAlign w:val="center"/>
                </w:tcPr>
                <w:p w14:paraId="3AD5A3C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4246" w:type="pct"/>
                  <w:gridSpan w:val="4"/>
                  <w:tcBorders>
                    <w:tl2br w:val="nil"/>
                    <w:tr2bl w:val="nil"/>
                  </w:tcBorders>
                  <w:noWrap w:val="0"/>
                  <w:vAlign w:val="center"/>
                </w:tcPr>
                <w:p w14:paraId="5C2779B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禁忌物：强氧化剂</w:t>
                  </w:r>
                </w:p>
              </w:tc>
            </w:tr>
            <w:tr w14:paraId="095A48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3" w:type="pct"/>
                  <w:vMerge w:val="restart"/>
                  <w:tcBorders>
                    <w:tl2br w:val="nil"/>
                    <w:tr2bl w:val="nil"/>
                  </w:tcBorders>
                  <w:noWrap w:val="0"/>
                  <w:vAlign w:val="center"/>
                </w:tcPr>
                <w:p w14:paraId="2F00CF8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燃烧爆炸危险性</w:t>
                  </w:r>
                </w:p>
              </w:tc>
              <w:tc>
                <w:tcPr>
                  <w:tcW w:w="1929" w:type="pct"/>
                  <w:tcBorders>
                    <w:tl2br w:val="nil"/>
                    <w:tr2bl w:val="nil"/>
                  </w:tcBorders>
                  <w:noWrap w:val="0"/>
                  <w:vAlign w:val="center"/>
                </w:tcPr>
                <w:p w14:paraId="76F73CB0">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燃烧性：可燃</w:t>
                  </w:r>
                </w:p>
              </w:tc>
              <w:tc>
                <w:tcPr>
                  <w:tcW w:w="2316" w:type="pct"/>
                  <w:gridSpan w:val="3"/>
                  <w:tcBorders>
                    <w:tl2br w:val="nil"/>
                    <w:tr2bl w:val="nil"/>
                  </w:tcBorders>
                  <w:noWrap w:val="0"/>
                  <w:vAlign w:val="center"/>
                </w:tcPr>
                <w:p w14:paraId="599E3ABB">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燃烧产物：一氧化碳，氧化硫等</w:t>
                  </w:r>
                </w:p>
              </w:tc>
            </w:tr>
            <w:tr w14:paraId="57F40B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753" w:type="pct"/>
                  <w:vMerge w:val="continue"/>
                  <w:tcBorders>
                    <w:tl2br w:val="nil"/>
                    <w:tr2bl w:val="nil"/>
                  </w:tcBorders>
                  <w:noWrap w:val="0"/>
                  <w:vAlign w:val="center"/>
                </w:tcPr>
                <w:p w14:paraId="6A7876D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1929" w:type="pct"/>
                  <w:tcBorders>
                    <w:tl2br w:val="nil"/>
                    <w:tr2bl w:val="nil"/>
                  </w:tcBorders>
                  <w:noWrap w:val="0"/>
                  <w:vAlign w:val="center"/>
                </w:tcPr>
                <w:p w14:paraId="45C598B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爆炸极限（V/V%）：无资料</w:t>
                  </w:r>
                </w:p>
              </w:tc>
              <w:tc>
                <w:tcPr>
                  <w:tcW w:w="1160" w:type="pct"/>
                  <w:gridSpan w:val="2"/>
                  <w:tcBorders>
                    <w:tl2br w:val="nil"/>
                    <w:tr2bl w:val="nil"/>
                  </w:tcBorders>
                  <w:noWrap w:val="0"/>
                  <w:vAlign w:val="center"/>
                </w:tcPr>
                <w:p w14:paraId="3F970B9B">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火灾危险性：丙类</w:t>
                  </w:r>
                </w:p>
              </w:tc>
              <w:tc>
                <w:tcPr>
                  <w:tcW w:w="1156" w:type="pct"/>
                  <w:tcBorders>
                    <w:tl2br w:val="nil"/>
                    <w:tr2bl w:val="nil"/>
                  </w:tcBorders>
                  <w:noWrap w:val="0"/>
                  <w:vAlign w:val="center"/>
                </w:tcPr>
                <w:p w14:paraId="1CD1A89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爆炸性气体分级分组：</w:t>
                  </w:r>
                  <w:r>
                    <w:rPr>
                      <w:rFonts w:hint="eastAsia" w:cs="Times New Roman"/>
                      <w:color w:val="auto"/>
                      <w:sz w:val="21"/>
                      <w:szCs w:val="21"/>
                      <w:highlight w:val="none"/>
                      <w:shd w:val="clear" w:color="auto" w:fill="auto"/>
                      <w:lang w:val="en-US" w:eastAsia="zh-CN"/>
                    </w:rPr>
                    <w:t>/</w:t>
                  </w:r>
                </w:p>
              </w:tc>
            </w:tr>
            <w:tr w14:paraId="4686BE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53" w:type="pct"/>
                  <w:vMerge w:val="continue"/>
                  <w:tcBorders>
                    <w:tl2br w:val="nil"/>
                    <w:tr2bl w:val="nil"/>
                  </w:tcBorders>
                  <w:noWrap w:val="0"/>
                  <w:vAlign w:val="center"/>
                </w:tcPr>
                <w:p w14:paraId="25CB73F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4246" w:type="pct"/>
                  <w:gridSpan w:val="4"/>
                  <w:tcBorders>
                    <w:tl2br w:val="nil"/>
                    <w:tr2bl w:val="nil"/>
                  </w:tcBorders>
                  <w:noWrap w:val="0"/>
                  <w:vAlign w:val="center"/>
                </w:tcPr>
                <w:p w14:paraId="7BF41F6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危险特性：可燃，燃烧可能形成在空气中的固体和液体微粒及气体的复杂的混合物，包括一氧化碳，氧化硫及未能识别的有机及无机的化合物。</w:t>
                  </w:r>
                </w:p>
              </w:tc>
            </w:tr>
            <w:tr w14:paraId="428C71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27" w:hRule="atLeast"/>
                <w:jc w:val="center"/>
              </w:trPr>
              <w:tc>
                <w:tcPr>
                  <w:tcW w:w="753" w:type="pct"/>
                  <w:vMerge w:val="continue"/>
                  <w:tcBorders>
                    <w:tl2br w:val="nil"/>
                    <w:tr2bl w:val="nil"/>
                  </w:tcBorders>
                  <w:noWrap w:val="0"/>
                  <w:vAlign w:val="center"/>
                </w:tcPr>
                <w:p w14:paraId="495F03E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p>
              </w:tc>
              <w:tc>
                <w:tcPr>
                  <w:tcW w:w="4246" w:type="pct"/>
                  <w:gridSpan w:val="4"/>
                  <w:tcBorders>
                    <w:tl2br w:val="nil"/>
                    <w:tr2bl w:val="nil"/>
                  </w:tcBorders>
                  <w:noWrap w:val="0"/>
                  <w:vAlign w:val="center"/>
                </w:tcPr>
                <w:p w14:paraId="7CB8905F">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灭火方法：消防人员必须佩戴空气呼吸器、穿全身防火防毒服，在上风向灭火。尽可能将容器从火场移至空旷处。喷水保持火场容器冷却，直至灭火结束。</w:t>
                  </w:r>
                </w:p>
                <w:p w14:paraId="4465C72B">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灭火剂：泡沫、二氧化碳、干粉。</w:t>
                  </w:r>
                </w:p>
              </w:tc>
            </w:tr>
            <w:tr w14:paraId="7DAC4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53" w:type="pct"/>
                  <w:tcBorders>
                    <w:tl2br w:val="nil"/>
                    <w:tr2bl w:val="nil"/>
                  </w:tcBorders>
                  <w:noWrap w:val="0"/>
                  <w:vAlign w:val="center"/>
                </w:tcPr>
                <w:p w14:paraId="7A1C7F2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接触限值</w:t>
                  </w:r>
                </w:p>
              </w:tc>
              <w:tc>
                <w:tcPr>
                  <w:tcW w:w="4246" w:type="pct"/>
                  <w:gridSpan w:val="4"/>
                  <w:tcBorders>
                    <w:tl2br w:val="nil"/>
                    <w:tr2bl w:val="nil"/>
                  </w:tcBorders>
                  <w:noWrap w:val="0"/>
                  <w:vAlign w:val="center"/>
                </w:tcPr>
                <w:p w14:paraId="1BB9C98D">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中国未制定标准</w:t>
                  </w:r>
                </w:p>
                <w:p w14:paraId="1677ADA6">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美国（ACGIH）5mg/m</w:t>
                  </w:r>
                  <w:r>
                    <w:rPr>
                      <w:rFonts w:hint="eastAsia" w:ascii="Times New Roman" w:hAnsi="Times New Roman" w:eastAsia="宋体" w:cs="Times New Roman"/>
                      <w:color w:val="auto"/>
                      <w:sz w:val="21"/>
                      <w:szCs w:val="21"/>
                      <w:highlight w:val="none"/>
                      <w:shd w:val="clear" w:color="auto" w:fill="auto"/>
                      <w:vertAlign w:val="superscript"/>
                      <w:lang w:val="en-US" w:eastAsia="zh-CN"/>
                    </w:rPr>
                    <w:t>3</w:t>
                  </w:r>
                </w:p>
              </w:tc>
            </w:tr>
            <w:tr w14:paraId="6D08B3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753" w:type="pct"/>
                  <w:tcBorders>
                    <w:tl2br w:val="nil"/>
                    <w:tr2bl w:val="nil"/>
                  </w:tcBorders>
                  <w:noWrap w:val="0"/>
                  <w:vAlign w:val="center"/>
                </w:tcPr>
                <w:p w14:paraId="3C46DEB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健康危害</w:t>
                  </w:r>
                </w:p>
              </w:tc>
              <w:tc>
                <w:tcPr>
                  <w:tcW w:w="4246" w:type="pct"/>
                  <w:gridSpan w:val="4"/>
                  <w:tcBorders>
                    <w:tl2br w:val="nil"/>
                    <w:tr2bl w:val="nil"/>
                  </w:tcBorders>
                  <w:noWrap w:val="0"/>
                  <w:vAlign w:val="center"/>
                </w:tcPr>
                <w:p w14:paraId="2E0D9664">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侵入途径：</w:t>
                  </w:r>
                  <w:r>
                    <w:rPr>
                      <w:rFonts w:hint="eastAsia" w:ascii="Times New Roman" w:hAnsi="Times New Roman" w:eastAsia="宋体" w:cs="Times New Roman"/>
                      <w:color w:val="auto"/>
                      <w:sz w:val="21"/>
                      <w:szCs w:val="21"/>
                      <w:highlight w:val="none"/>
                      <w:shd w:val="clear" w:color="auto" w:fill="auto"/>
                      <w:lang w:val="zh-CN" w:eastAsia="zh-CN"/>
                    </w:rPr>
                    <w:t>吸入</w:t>
                  </w:r>
                </w:p>
                <w:p w14:paraId="62C5DD91">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健康危害：在正常条件下使用不应会成为健康危险源。长时间接触可造成晕眩或反胃，如果发生了，将患者移到有新鲜空气的地方，若症状持续则要求求助医生。</w:t>
                  </w:r>
                </w:p>
              </w:tc>
            </w:tr>
            <w:tr w14:paraId="08654D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753" w:type="pct"/>
                  <w:tcBorders>
                    <w:tl2br w:val="nil"/>
                    <w:tr2bl w:val="nil"/>
                  </w:tcBorders>
                  <w:noWrap w:val="0"/>
                  <w:vAlign w:val="center"/>
                </w:tcPr>
                <w:p w14:paraId="5E2CA0E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急救措施</w:t>
                  </w:r>
                </w:p>
              </w:tc>
              <w:tc>
                <w:tcPr>
                  <w:tcW w:w="4246" w:type="pct"/>
                  <w:gridSpan w:val="4"/>
                  <w:tcBorders>
                    <w:tl2br w:val="nil"/>
                    <w:tr2bl w:val="nil"/>
                  </w:tcBorders>
                  <w:noWrap w:val="0"/>
                  <w:vAlign w:val="center"/>
                </w:tcPr>
                <w:p w14:paraId="6B7A302C">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皮肤接触：脱去污染衣物。用水冲洗暴露的部位，并用肥皂进行清洗。如刺激持续，就医。在使用高压设备时，有可能造成本品注入皮下，如发生此种情况，请立即送往医院治疗，不要等待，以免症状恶化。</w:t>
                  </w:r>
                </w:p>
                <w:p w14:paraId="282B3E9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眼睛接触：用大量的水冲洗眼睛。如刺激持续，就医。</w:t>
                  </w:r>
                </w:p>
                <w:p w14:paraId="35478CCE">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吸入：迅速脱离现场至空气新鲜处。保持呼吸道通畅。</w:t>
                  </w:r>
                </w:p>
                <w:p w14:paraId="5EB59FEB">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食入：不要催吐，用水漱口并就医。</w:t>
                  </w:r>
                </w:p>
              </w:tc>
            </w:tr>
            <w:tr w14:paraId="2B3B1F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53" w:type="pct"/>
                  <w:tcBorders>
                    <w:tl2br w:val="nil"/>
                    <w:tr2bl w:val="nil"/>
                  </w:tcBorders>
                  <w:noWrap w:val="0"/>
                  <w:vAlign w:val="center"/>
                </w:tcPr>
                <w:p w14:paraId="660089D0">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防护</w:t>
                  </w:r>
                </w:p>
              </w:tc>
              <w:tc>
                <w:tcPr>
                  <w:tcW w:w="4246" w:type="pct"/>
                  <w:gridSpan w:val="4"/>
                  <w:tcBorders>
                    <w:tl2br w:val="nil"/>
                    <w:tr2bl w:val="nil"/>
                  </w:tcBorders>
                  <w:noWrap w:val="0"/>
                  <w:vAlign w:val="center"/>
                </w:tcPr>
                <w:p w14:paraId="27DC081D">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工程控制：生产过程密闭，全面通风。</w:t>
                  </w:r>
                </w:p>
                <w:p w14:paraId="00444C60">
                  <w:pPr>
                    <w:keepNext w:val="0"/>
                    <w:keepLines w:val="0"/>
                    <w:pageBreakBefore w:val="0"/>
                    <w:widowControl/>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呼吸系统防护：在正常使用条件下，一般不需戴呼吸保护用具。如果工程控制设施未把空气浓度保持在足以保护人员健康的水平，选择适合使用条件及符合有关法律要求的呼吸保护设备。如需戴安全过滤面罩时，请选择合适的面罩与过滤器组合。选择一种适用于颗粒/有机气体及蒸气[沸点&gt;65</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（149</w:t>
                  </w:r>
                  <w:r>
                    <w:rPr>
                      <w:rFonts w:hint="default" w:ascii="Times New Roman" w:hAnsi="Times New Roman" w:eastAsia="宋体" w:cs="Times New Roman"/>
                      <w:color w:val="auto"/>
                      <w:sz w:val="21"/>
                      <w:szCs w:val="21"/>
                      <w:highlight w:val="none"/>
                      <w:shd w:val="clear" w:color="auto" w:fill="auto"/>
                      <w:lang w:val="en-US" w:eastAsia="zh-CN"/>
                    </w:rPr>
                    <w:t>°F</w:t>
                  </w:r>
                  <w:r>
                    <w:rPr>
                      <w:rFonts w:hint="eastAsia" w:ascii="Times New Roman" w:hAnsi="Times New Roman" w:eastAsia="宋体" w:cs="Times New Roman"/>
                      <w:color w:val="auto"/>
                      <w:sz w:val="21"/>
                      <w:szCs w:val="21"/>
                      <w:highlight w:val="none"/>
                      <w:shd w:val="clear" w:color="auto" w:fill="auto"/>
                      <w:lang w:val="en-US" w:eastAsia="zh-CN"/>
                    </w:rPr>
                    <w:t>）]的混合物的过滤器。</w:t>
                  </w:r>
                </w:p>
                <w:p w14:paraId="7597C5BC">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眼睛防护：如可能发生溅泼，请戴安全护镜或全脸面罩。</w:t>
                  </w:r>
                </w:p>
                <w:p w14:paraId="7E2618B5">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身体防护：除了普通的工作服之外不需特殊的皮肤保护措施。</w:t>
                  </w:r>
                </w:p>
                <w:p w14:paraId="7AF7E638">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手防护：戴聚氯乙烯、氯丁或丁腈橡胶手套.</w:t>
                  </w:r>
                </w:p>
                <w:p w14:paraId="4B428DA7">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其他防护：工作现场严禁吸烟。避免长期反复接触。进入限制性空间或其它高浓度区作业，须有人监护。</w:t>
                  </w:r>
                </w:p>
              </w:tc>
            </w:tr>
            <w:tr w14:paraId="1C2348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753" w:type="pct"/>
                  <w:tcBorders>
                    <w:tl2br w:val="nil"/>
                    <w:tr2bl w:val="nil"/>
                  </w:tcBorders>
                  <w:noWrap w:val="0"/>
                  <w:vAlign w:val="center"/>
                </w:tcPr>
                <w:p w14:paraId="13AEA2F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应急泄漏处理</w:t>
                  </w:r>
                </w:p>
              </w:tc>
              <w:tc>
                <w:tcPr>
                  <w:tcW w:w="4246" w:type="pct"/>
                  <w:gridSpan w:val="4"/>
                  <w:tcBorders>
                    <w:tl2br w:val="nil"/>
                    <w:tr2bl w:val="nil"/>
                  </w:tcBorders>
                  <w:noWrap w:val="0"/>
                  <w:vAlign w:val="center"/>
                </w:tcPr>
                <w:p w14:paraId="2397BC86">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溢出后，地面非常光滑。为避免事故，应立即清洁。</w:t>
                  </w:r>
                </w:p>
                <w:p w14:paraId="0A827267">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用沙、泥土或其它可用来拦堵的材料设置障碍，以防止扩散。直接回收液体或存放于吸收剂中。用粘土、沙或其它适当的吸附材料来吸收残余物，然后予以适当的弃置。</w:t>
                  </w:r>
                </w:p>
              </w:tc>
            </w:tr>
            <w:tr w14:paraId="7A8A99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753" w:type="pct"/>
                  <w:tcBorders>
                    <w:tl2br w:val="nil"/>
                    <w:tr2bl w:val="nil"/>
                  </w:tcBorders>
                  <w:noWrap w:val="0"/>
                  <w:vAlign w:val="center"/>
                </w:tcPr>
                <w:p w14:paraId="7232C89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操作注意事项</w:t>
                  </w:r>
                </w:p>
              </w:tc>
              <w:tc>
                <w:tcPr>
                  <w:tcW w:w="4246" w:type="pct"/>
                  <w:gridSpan w:val="4"/>
                  <w:tcBorders>
                    <w:tl2br w:val="nil"/>
                    <w:tr2bl w:val="nil"/>
                  </w:tcBorders>
                  <w:noWrap w:val="0"/>
                  <w:vAlign w:val="center"/>
                </w:tcPr>
                <w:p w14:paraId="49CF506A">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密闭操作，全面通风。操作人员必须经过专门培训，严格遵守操作规程。远离火种、热源，工作场所严禁吸烟。避免与氧化剂接触。在传送过程中容器必须接地，防止产生静电。配备相应品种和数量的消防器材及泄漏应急处理设备。</w:t>
                  </w:r>
                </w:p>
              </w:tc>
            </w:tr>
            <w:tr w14:paraId="00257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53" w:type="pct"/>
                  <w:tcBorders>
                    <w:tl2br w:val="nil"/>
                    <w:tr2bl w:val="nil"/>
                  </w:tcBorders>
                  <w:noWrap w:val="0"/>
                  <w:vAlign w:val="center"/>
                </w:tcPr>
                <w:p w14:paraId="2C5B5F8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储存注意事项</w:t>
                  </w:r>
                </w:p>
              </w:tc>
              <w:tc>
                <w:tcPr>
                  <w:tcW w:w="4246" w:type="pct"/>
                  <w:gridSpan w:val="4"/>
                  <w:tcBorders>
                    <w:tl2br w:val="nil"/>
                    <w:tr2bl w:val="nil"/>
                  </w:tcBorders>
                  <w:noWrap w:val="0"/>
                  <w:vAlign w:val="center"/>
                </w:tcPr>
                <w:p w14:paraId="11B63CA3">
                  <w:pPr>
                    <w:keepNext w:val="0"/>
                    <w:keepLines w:val="0"/>
                    <w:pageBreakBefore w:val="0"/>
                    <w:kinsoku/>
                    <w:wordWrap/>
                    <w:overflowPunct/>
                    <w:topLinePunct w:val="0"/>
                    <w:autoSpaceDE/>
                    <w:autoSpaceDN/>
                    <w:bidi w:val="0"/>
                    <w:adjustRightInd/>
                    <w:snapToGrid/>
                    <w:spacing w:line="240" w:lineRule="auto"/>
                    <w:ind w:firstLine="0" w:firstLineChars="0"/>
                    <w:jc w:val="left"/>
                    <w:rPr>
                      <w:rFonts w:hint="eastAsia" w:ascii="Times New Roman" w:hAnsi="Times New Roman" w:eastAsia="宋体" w:cs="Times New Roman"/>
                      <w:color w:val="auto"/>
                      <w:sz w:val="21"/>
                      <w:szCs w:val="21"/>
                      <w:highlight w:val="none"/>
                      <w:shd w:val="clear" w:color="auto" w:fill="auto"/>
                      <w:lang w:val="en-US" w:eastAsia="zh-CN"/>
                    </w:rPr>
                  </w:pPr>
                  <w:r>
                    <w:rPr>
                      <w:rFonts w:hint="eastAsia" w:ascii="Times New Roman" w:hAnsi="Times New Roman" w:eastAsia="宋体" w:cs="Times New Roman"/>
                      <w:color w:val="auto"/>
                      <w:sz w:val="21"/>
                      <w:szCs w:val="21"/>
                      <w:highlight w:val="none"/>
                      <w:shd w:val="clear" w:color="auto" w:fill="auto"/>
                      <w:lang w:val="en-US" w:eastAsia="zh-CN"/>
                    </w:rPr>
                    <w:t>密闭容器，放在凉爽、通风良好的地方，使用适当加注标签及可封闭的容器。储存温度：长期储存（3个月以上）-15～50</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；短期储存-20～60</w:t>
                  </w:r>
                  <w:r>
                    <w:rPr>
                      <w:rFonts w:hint="default" w:ascii="Times New Roman" w:hAnsi="Times New Roman" w:eastAsia="宋体"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highlight w:val="none"/>
                      <w:shd w:val="clear" w:color="auto" w:fill="auto"/>
                      <w:lang w:val="en-US" w:eastAsia="zh-CN"/>
                    </w:rPr>
                    <w:t>。</w:t>
                  </w:r>
                </w:p>
              </w:tc>
            </w:tr>
          </w:tbl>
          <w:p w14:paraId="5A97F58A">
            <w:pPr>
              <w:numPr>
                <w:ilvl w:val="0"/>
                <w:numId w:val="0"/>
              </w:numPr>
              <w:rPr>
                <w:rFonts w:hint="default"/>
                <w:b/>
                <w:bCs/>
                <w:color w:val="auto"/>
                <w:highlight w:val="none"/>
                <w:lang w:val="en-US" w:eastAsia="zh-CN"/>
              </w:rPr>
            </w:pPr>
            <w:r>
              <w:rPr>
                <w:rFonts w:hint="eastAsia"/>
                <w:b/>
                <w:bCs/>
                <w:color w:val="auto"/>
                <w:highlight w:val="none"/>
                <w:lang w:val="en-US" w:eastAsia="zh-CN"/>
              </w:rPr>
              <w:t>7.2环境影响途径</w:t>
            </w:r>
          </w:p>
          <w:p w14:paraId="1866298C">
            <w:pPr>
              <w:spacing w:line="480" w:lineRule="exact"/>
              <w:ind w:firstLine="480" w:firstLineChars="200"/>
              <w:rPr>
                <w:rFonts w:hint="default" w:ascii="Times New Roman" w:hAnsi="Times New Roman" w:eastAsia="宋体" w:cs="Times New Roman"/>
                <w:b w:val="0"/>
                <w:bCs w:val="0"/>
                <w:smallCaps w:val="0"/>
                <w:color w:val="auto"/>
                <w:spacing w:val="0"/>
                <w:position w:val="0"/>
                <w:sz w:val="24"/>
                <w:szCs w:val="24"/>
                <w:highlight w:val="none"/>
              </w:rPr>
            </w:pPr>
            <w:r>
              <w:rPr>
                <w:rFonts w:hint="default" w:ascii="Times New Roman" w:hAnsi="Times New Roman" w:eastAsia="宋体" w:cs="Times New Roman"/>
                <w:b w:val="0"/>
                <w:bCs w:val="0"/>
                <w:smallCaps w:val="0"/>
                <w:color w:val="auto"/>
                <w:spacing w:val="0"/>
                <w:position w:val="0"/>
                <w:sz w:val="24"/>
                <w:szCs w:val="24"/>
                <w:highlight w:val="none"/>
              </w:rPr>
              <w:t>本项目可能影响环境的途径分别为：</w:t>
            </w:r>
          </w:p>
          <w:p w14:paraId="095F436A">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泄漏事故：</w:t>
            </w:r>
            <w:r>
              <w:rPr>
                <w:rFonts w:hint="eastAsia"/>
                <w:color w:val="auto"/>
                <w:highlight w:val="none"/>
                <w:lang w:val="en-US" w:eastAsia="zh-CN"/>
              </w:rPr>
              <w:t>润滑油、液压油</w:t>
            </w:r>
            <w:r>
              <w:rPr>
                <w:rFonts w:hint="eastAsia" w:eastAsia="宋体"/>
                <w:color w:val="auto"/>
                <w:kern w:val="2"/>
                <w:sz w:val="24"/>
                <w:szCs w:val="24"/>
                <w:highlight w:val="none"/>
                <w:lang w:val="en-US" w:eastAsia="zh-CN" w:bidi="ar-SA"/>
              </w:rPr>
              <w:t>泄漏，</w:t>
            </w:r>
            <w:r>
              <w:rPr>
                <w:rFonts w:hint="default" w:ascii="Times New Roman" w:hAnsi="Times New Roman" w:eastAsia="宋体"/>
                <w:color w:val="auto"/>
                <w:kern w:val="2"/>
                <w:sz w:val="24"/>
                <w:szCs w:val="24"/>
                <w:highlight w:val="none"/>
                <w:lang w:val="en-US" w:eastAsia="zh-CN" w:bidi="ar-SA"/>
              </w:rPr>
              <w:t>主要为因</w:t>
            </w:r>
            <w:r>
              <w:rPr>
                <w:rFonts w:hint="eastAsia" w:eastAsia="宋体"/>
                <w:color w:val="auto"/>
                <w:kern w:val="2"/>
                <w:sz w:val="24"/>
                <w:szCs w:val="24"/>
                <w:highlight w:val="none"/>
                <w:lang w:val="en-US" w:eastAsia="zh-CN" w:bidi="ar-SA"/>
              </w:rPr>
              <w:t>机械设备故障</w:t>
            </w:r>
            <w:r>
              <w:rPr>
                <w:rFonts w:hint="default" w:ascii="Times New Roman" w:hAnsi="Times New Roman" w:eastAsia="宋体"/>
                <w:color w:val="auto"/>
                <w:kern w:val="2"/>
                <w:sz w:val="24"/>
                <w:szCs w:val="24"/>
                <w:highlight w:val="none"/>
                <w:lang w:val="en-US" w:eastAsia="zh-CN" w:bidi="ar-SA"/>
              </w:rPr>
              <w:t>等原因导致泄漏，并且未及时收集处理，导致风险物质在</w:t>
            </w:r>
            <w:r>
              <w:rPr>
                <w:rFonts w:hint="eastAsia"/>
                <w:color w:val="auto"/>
                <w:kern w:val="2"/>
                <w:sz w:val="24"/>
                <w:szCs w:val="24"/>
                <w:highlight w:val="none"/>
                <w:lang w:val="en-US" w:eastAsia="zh-CN" w:bidi="ar-SA"/>
              </w:rPr>
              <w:t>堆填（砌）</w:t>
            </w:r>
            <w:r>
              <w:rPr>
                <w:rFonts w:hint="eastAsia" w:eastAsia="宋体"/>
                <w:color w:val="auto"/>
                <w:kern w:val="2"/>
                <w:sz w:val="24"/>
                <w:szCs w:val="24"/>
                <w:highlight w:val="none"/>
                <w:lang w:val="en-US" w:eastAsia="zh-CN" w:bidi="ar-SA"/>
              </w:rPr>
              <w:t>区</w:t>
            </w:r>
            <w:r>
              <w:rPr>
                <w:rFonts w:hint="default" w:ascii="Times New Roman" w:hAnsi="Times New Roman" w:eastAsia="宋体"/>
                <w:color w:val="auto"/>
                <w:kern w:val="2"/>
                <w:sz w:val="24"/>
                <w:szCs w:val="24"/>
                <w:highlight w:val="none"/>
                <w:lang w:val="en-US" w:eastAsia="zh-CN" w:bidi="ar-SA"/>
              </w:rPr>
              <w:t>地面溢流，污染地下水</w:t>
            </w:r>
            <w:r>
              <w:rPr>
                <w:rFonts w:hint="eastAsia" w:eastAsia="宋体"/>
                <w:color w:val="auto"/>
                <w:kern w:val="2"/>
                <w:sz w:val="24"/>
                <w:szCs w:val="24"/>
                <w:highlight w:val="none"/>
                <w:lang w:val="en-US" w:eastAsia="zh-CN" w:bidi="ar-SA"/>
              </w:rPr>
              <w:t>；</w:t>
            </w:r>
            <w:r>
              <w:rPr>
                <w:rFonts w:hint="default" w:ascii="Times New Roman" w:hAnsi="Times New Roman" w:eastAsia="宋体"/>
                <w:color w:val="auto"/>
                <w:kern w:val="2"/>
                <w:sz w:val="24"/>
                <w:szCs w:val="24"/>
                <w:highlight w:val="none"/>
                <w:lang w:val="en-US" w:eastAsia="zh-CN" w:bidi="ar-SA"/>
              </w:rPr>
              <w:t>或于雨天发生泄漏，随雨水散排流</w:t>
            </w:r>
            <w:r>
              <w:rPr>
                <w:rFonts w:hint="eastAsia"/>
                <w:color w:val="auto"/>
                <w:kern w:val="2"/>
                <w:sz w:val="24"/>
                <w:szCs w:val="24"/>
                <w:highlight w:val="none"/>
                <w:lang w:val="en-US" w:eastAsia="zh-CN" w:bidi="ar-SA"/>
              </w:rPr>
              <w:t>至外环境</w:t>
            </w:r>
            <w:r>
              <w:rPr>
                <w:rFonts w:hint="default" w:ascii="Times New Roman" w:hAnsi="Times New Roman" w:eastAsia="宋体"/>
                <w:color w:val="auto"/>
                <w:kern w:val="2"/>
                <w:sz w:val="24"/>
                <w:szCs w:val="24"/>
                <w:highlight w:val="none"/>
                <w:lang w:val="en-US" w:eastAsia="zh-CN" w:bidi="ar-SA"/>
              </w:rPr>
              <w:t>，对外界环境造成影响。</w:t>
            </w:r>
          </w:p>
          <w:p w14:paraId="7A3448F3">
            <w:pPr>
              <w:bidi w:val="0"/>
              <w:rPr>
                <w:rFonts w:hint="default" w:ascii="Times New Roman" w:hAnsi="Times New Roman" w:eastAsia="宋体"/>
                <w:color w:val="auto"/>
                <w:kern w:val="2"/>
                <w:sz w:val="24"/>
                <w:szCs w:val="24"/>
                <w:highlight w:val="none"/>
                <w:lang w:val="en-US" w:eastAsia="zh-CN" w:bidi="ar-SA"/>
              </w:rPr>
            </w:pPr>
            <w:r>
              <w:rPr>
                <w:rFonts w:hint="default" w:ascii="Times New Roman" w:hAnsi="Times New Roman" w:eastAsia="宋体"/>
                <w:color w:val="auto"/>
                <w:kern w:val="2"/>
                <w:sz w:val="24"/>
                <w:szCs w:val="24"/>
                <w:highlight w:val="none"/>
                <w:lang w:val="en-US" w:eastAsia="zh-CN" w:bidi="ar-SA"/>
              </w:rPr>
              <w:t>火灾事故次生环境风险事故：火灾事故对环境的危害主要为有毒烟雾和灭火过程中产生的消防废水散流造成的次生环境污染问题，同时消防水中携带了一定量的风险物质，若不能及时收集可能排出</w:t>
            </w:r>
            <w:r>
              <w:rPr>
                <w:rFonts w:hint="eastAsia"/>
                <w:color w:val="auto"/>
                <w:highlight w:val="none"/>
                <w:lang w:val="en-US" w:eastAsia="zh-CN"/>
              </w:rPr>
              <w:t>场</w:t>
            </w:r>
            <w:r>
              <w:rPr>
                <w:rFonts w:hint="default" w:ascii="Times New Roman" w:hAnsi="Times New Roman" w:eastAsia="宋体"/>
                <w:color w:val="auto"/>
                <w:kern w:val="2"/>
                <w:sz w:val="24"/>
                <w:szCs w:val="24"/>
                <w:highlight w:val="none"/>
                <w:lang w:val="en-US" w:eastAsia="zh-CN" w:bidi="ar-SA"/>
              </w:rPr>
              <w:t>界，对外界水环境造成影响。</w:t>
            </w:r>
          </w:p>
          <w:p w14:paraId="70B3ECA8">
            <w:pPr>
              <w:numPr>
                <w:ilvl w:val="0"/>
                <w:numId w:val="0"/>
              </w:numPr>
              <w:rPr>
                <w:rFonts w:hint="eastAsia"/>
                <w:b/>
                <w:bCs/>
                <w:color w:val="auto"/>
                <w:sz w:val="24"/>
                <w:szCs w:val="24"/>
                <w:highlight w:val="none"/>
                <w:lang w:val="en-US" w:eastAsia="zh-CN"/>
              </w:rPr>
            </w:pPr>
            <w:r>
              <w:rPr>
                <w:rFonts w:hint="eastAsia"/>
                <w:b/>
                <w:bCs/>
                <w:color w:val="auto"/>
                <w:sz w:val="24"/>
                <w:szCs w:val="24"/>
                <w:highlight w:val="none"/>
                <w:lang w:val="en-US" w:eastAsia="zh-CN"/>
              </w:rPr>
              <w:t>7.3环境风险分析</w:t>
            </w:r>
          </w:p>
          <w:p w14:paraId="509EC9EA">
            <w:pPr>
              <w:bidi w:val="0"/>
              <w:rPr>
                <w:rFonts w:hint="eastAsia"/>
                <w:color w:val="auto"/>
                <w:highlight w:val="none"/>
                <w:lang w:val="en-US" w:eastAsia="zh-CN"/>
              </w:rPr>
            </w:pPr>
            <w:r>
              <w:rPr>
                <w:rFonts w:hint="default" w:ascii="Times New Roman" w:hAnsi="Times New Roman" w:eastAsia="宋体"/>
                <w:color w:val="auto"/>
                <w:kern w:val="2"/>
                <w:sz w:val="24"/>
                <w:szCs w:val="24"/>
                <w:highlight w:val="none"/>
                <w:lang w:val="en-US" w:eastAsia="zh-CN" w:bidi="ar-SA"/>
              </w:rPr>
              <w:t>泄漏事故：</w:t>
            </w:r>
            <w:r>
              <w:rPr>
                <w:rFonts w:hint="eastAsia"/>
                <w:color w:val="auto"/>
                <w:kern w:val="2"/>
                <w:sz w:val="24"/>
                <w:szCs w:val="24"/>
                <w:highlight w:val="none"/>
                <w:lang w:val="en-US" w:eastAsia="zh-CN" w:bidi="ar-SA"/>
              </w:rPr>
              <w:t>润滑油、液压油仅存在于机械设备中，发生泄漏，</w:t>
            </w:r>
            <w:r>
              <w:rPr>
                <w:rFonts w:hint="default" w:ascii="Times New Roman" w:hAnsi="Times New Roman" w:eastAsia="宋体"/>
                <w:color w:val="auto"/>
                <w:kern w:val="2"/>
                <w:sz w:val="24"/>
                <w:szCs w:val="24"/>
                <w:highlight w:val="none"/>
                <w:lang w:val="en-US" w:eastAsia="zh-CN" w:bidi="ar-SA"/>
              </w:rPr>
              <w:t>泄漏量较小，基本能够将泄漏物围堵在</w:t>
            </w:r>
            <w:r>
              <w:rPr>
                <w:rFonts w:hint="eastAsia" w:ascii="Times New Roman" w:hAnsi="Times New Roman"/>
                <w:color w:val="auto"/>
                <w:kern w:val="2"/>
                <w:sz w:val="24"/>
                <w:szCs w:val="24"/>
                <w:highlight w:val="none"/>
                <w:lang w:val="en-US" w:eastAsia="zh-CN" w:bidi="ar-SA"/>
              </w:rPr>
              <w:t>场</w:t>
            </w:r>
            <w:r>
              <w:rPr>
                <w:rFonts w:hint="default" w:ascii="Times New Roman" w:hAnsi="Times New Roman" w:eastAsia="宋体"/>
                <w:color w:val="auto"/>
                <w:kern w:val="2"/>
                <w:sz w:val="24"/>
                <w:szCs w:val="24"/>
                <w:highlight w:val="none"/>
                <w:lang w:val="en-US" w:eastAsia="zh-CN" w:bidi="ar-SA"/>
              </w:rPr>
              <w:t>区范围内，基本不会对外部水环境产生影响</w:t>
            </w:r>
            <w:r>
              <w:rPr>
                <w:rFonts w:hint="eastAsia"/>
                <w:color w:val="auto"/>
                <w:highlight w:val="none"/>
                <w:lang w:val="en-US" w:eastAsia="zh-CN"/>
              </w:rPr>
              <w:t>。</w:t>
            </w:r>
          </w:p>
          <w:p w14:paraId="61B99726">
            <w:pPr>
              <w:bidi w:val="0"/>
              <w:rPr>
                <w:rFonts w:hint="default"/>
                <w:color w:val="auto"/>
                <w:highlight w:val="none"/>
                <w:lang w:val="en-US" w:eastAsia="zh-CN"/>
              </w:rPr>
            </w:pPr>
            <w:r>
              <w:rPr>
                <w:rFonts w:hint="eastAsia"/>
                <w:color w:val="auto"/>
                <w:kern w:val="2"/>
                <w:sz w:val="24"/>
                <w:szCs w:val="24"/>
                <w:highlight w:val="none"/>
                <w:lang w:val="en-US" w:eastAsia="zh-CN" w:bidi="ar-SA"/>
              </w:rPr>
              <w:t>火灾事故：</w:t>
            </w:r>
            <w:r>
              <w:rPr>
                <w:rFonts w:hint="default" w:ascii="Times New Roman" w:hAnsi="Times New Roman" w:eastAsia="宋体"/>
                <w:color w:val="auto"/>
                <w:kern w:val="2"/>
                <w:sz w:val="24"/>
                <w:szCs w:val="24"/>
                <w:highlight w:val="none"/>
                <w:lang w:val="en-US" w:eastAsia="zh-CN" w:bidi="ar-SA"/>
              </w:rPr>
              <w:t>火灾本身是安全事故，但会产生消防废水，</w:t>
            </w:r>
            <w:r>
              <w:rPr>
                <w:rFonts w:hint="eastAsia"/>
                <w:color w:val="auto"/>
                <w:kern w:val="2"/>
                <w:sz w:val="24"/>
                <w:szCs w:val="24"/>
                <w:highlight w:val="none"/>
                <w:lang w:val="en-US" w:eastAsia="zh-CN" w:bidi="ar-SA"/>
              </w:rPr>
              <w:t>消防废水中风险物质存在量极少，不会对水环境造成影响</w:t>
            </w:r>
            <w:r>
              <w:rPr>
                <w:rFonts w:hint="default" w:ascii="Times New Roman" w:hAnsi="Times New Roman" w:eastAsia="宋体"/>
                <w:color w:val="auto"/>
                <w:kern w:val="2"/>
                <w:sz w:val="24"/>
                <w:szCs w:val="24"/>
                <w:highlight w:val="none"/>
                <w:lang w:val="en-US" w:eastAsia="zh-CN" w:bidi="ar-SA"/>
              </w:rPr>
              <w:t>。</w:t>
            </w:r>
          </w:p>
          <w:p w14:paraId="17697AD4">
            <w:pPr>
              <w:bidi w:val="0"/>
              <w:ind w:left="0" w:leftChars="0" w:firstLine="0" w:firstLineChars="0"/>
              <w:rPr>
                <w:rFonts w:hint="default" w:eastAsia="宋体"/>
                <w:color w:val="auto"/>
                <w:sz w:val="24"/>
                <w:szCs w:val="24"/>
                <w:highlight w:val="none"/>
                <w:lang w:val="en-US" w:eastAsia="zh-CN"/>
              </w:rPr>
            </w:pPr>
            <w:r>
              <w:rPr>
                <w:rFonts w:hint="eastAsia"/>
                <w:b/>
                <w:bCs/>
                <w:color w:val="auto"/>
                <w:sz w:val="24"/>
                <w:szCs w:val="24"/>
                <w:highlight w:val="none"/>
                <w:lang w:val="en-US" w:eastAsia="zh-CN"/>
              </w:rPr>
              <w:t>7.4环境风险防范措施及应急措施</w:t>
            </w:r>
          </w:p>
          <w:p w14:paraId="0011B1F5">
            <w:pPr>
              <w:pStyle w:val="52"/>
              <w:keepNext w:val="0"/>
              <w:keepLines w:val="0"/>
              <w:suppressLineNumbers w:val="0"/>
              <w:spacing w:before="0" w:beforeAutospacing="0" w:after="0" w:afterAutospacing="0"/>
              <w:ind w:left="0" w:right="0" w:firstLine="480"/>
              <w:rPr>
                <w:rFonts w:hint="default" w:ascii="Times New Roman" w:hAnsi="Times New Roman" w:eastAsia="宋体"/>
                <w:color w:val="auto"/>
                <w:kern w:val="2"/>
                <w:sz w:val="24"/>
                <w:szCs w:val="24"/>
                <w:highlight w:val="none"/>
                <w:lang w:val="en-US" w:eastAsia="zh-CN" w:bidi="ar-SA"/>
              </w:rPr>
            </w:pPr>
            <w:r>
              <w:rPr>
                <w:rFonts w:hint="eastAsia" w:eastAsia="宋体"/>
                <w:color w:val="auto"/>
                <w:kern w:val="2"/>
                <w:sz w:val="24"/>
                <w:szCs w:val="24"/>
                <w:highlight w:val="none"/>
                <w:lang w:val="en-US" w:eastAsia="zh-CN" w:bidi="ar-SA"/>
              </w:rPr>
              <w:t>（1）风险防范措施</w:t>
            </w:r>
          </w:p>
          <w:p w14:paraId="2C8B64C8">
            <w:pPr>
              <w:bidi w:val="0"/>
              <w:rPr>
                <w:rFonts w:hint="default"/>
                <w:color w:val="auto"/>
                <w:highlight w:val="none"/>
                <w:lang w:val="en-US" w:eastAsia="zh-CN"/>
              </w:rPr>
            </w:pPr>
            <w:r>
              <w:rPr>
                <w:rFonts w:hint="eastAsia"/>
                <w:color w:val="auto"/>
                <w:highlight w:val="none"/>
                <w:lang w:val="en-US" w:eastAsia="zh-CN"/>
              </w:rPr>
              <w:t>本项目润滑油、液压油仅存在于机械设备中，风险物质存在区域均</w:t>
            </w:r>
            <w:r>
              <w:rPr>
                <w:rFonts w:hint="default"/>
                <w:color w:val="auto"/>
                <w:highlight w:val="none"/>
                <w:lang w:val="en-US" w:eastAsia="zh-CN"/>
              </w:rPr>
              <w:t>配备较好的设备和相应的抢险设施</w:t>
            </w:r>
            <w:r>
              <w:rPr>
                <w:rFonts w:hint="eastAsia"/>
                <w:color w:val="auto"/>
                <w:highlight w:val="none"/>
                <w:lang w:val="en-US" w:eastAsia="zh-CN"/>
              </w:rPr>
              <w:t>，同时具</w:t>
            </w:r>
            <w:r>
              <w:rPr>
                <w:rFonts w:hint="default"/>
                <w:color w:val="auto"/>
                <w:highlight w:val="none"/>
                <w:lang w:val="en-US" w:eastAsia="zh-CN"/>
              </w:rPr>
              <w:t>有防扬散、防流失、防渗漏等防治措施</w:t>
            </w:r>
            <w:r>
              <w:rPr>
                <w:rFonts w:hint="eastAsia"/>
                <w:color w:val="auto"/>
                <w:highlight w:val="none"/>
                <w:lang w:val="en-US" w:eastAsia="zh-CN"/>
              </w:rPr>
              <w:t>。</w:t>
            </w:r>
          </w:p>
          <w:p w14:paraId="2CF42EFF">
            <w:pPr>
              <w:bidi w:val="0"/>
              <w:rPr>
                <w:rFonts w:hint="default"/>
                <w:color w:val="auto"/>
                <w:highlight w:val="none"/>
                <w:lang w:val="en-US" w:eastAsia="zh-CN"/>
              </w:rPr>
            </w:pPr>
            <w:r>
              <w:rPr>
                <w:rFonts w:hint="default"/>
                <w:color w:val="auto"/>
                <w:highlight w:val="none"/>
                <w:lang w:val="en-US" w:eastAsia="zh-CN"/>
              </w:rPr>
              <w:t>当发生事故时，为不使事故扩大，防止二次灾害的发生，要求及时抢险抢修，必须对各种险情进行事故前预测，保证抢险队伍的素质，遇险时应及时与当地消防部门取得联系，以获得有力支持。</w:t>
            </w:r>
          </w:p>
          <w:p w14:paraId="5DC8E6D1">
            <w:pPr>
              <w:bidi w:val="0"/>
              <w:rPr>
                <w:rFonts w:hint="default"/>
                <w:color w:val="auto"/>
                <w:highlight w:val="none"/>
                <w:lang w:val="en-US" w:eastAsia="zh-CN"/>
              </w:rPr>
            </w:pPr>
            <w:r>
              <w:rPr>
                <w:rFonts w:hint="default"/>
                <w:color w:val="auto"/>
                <w:highlight w:val="none"/>
                <w:lang w:val="en-US" w:eastAsia="zh-CN"/>
              </w:rPr>
              <w:t>项目在运营中应确保正确操作和正常运行，在操作运行方面要求工作人员必须进行岗前专业培训，严格执行安全生产操作规程，进行安全性专业维护和保养，对安全设备进行定期校验，确保安全生产。同时建立夜间值班巡查制度、安全奖惩制度等。</w:t>
            </w:r>
          </w:p>
          <w:p w14:paraId="51D0BC18">
            <w:pPr>
              <w:bidi w:val="0"/>
              <w:rPr>
                <w:rFonts w:hint="default"/>
                <w:color w:val="auto"/>
                <w:highlight w:val="none"/>
                <w:lang w:val="en-US" w:eastAsia="zh-CN"/>
              </w:rPr>
            </w:pPr>
            <w:r>
              <w:rPr>
                <w:rFonts w:hint="default"/>
                <w:color w:val="auto"/>
                <w:highlight w:val="none"/>
                <w:lang w:val="en-US" w:eastAsia="zh-CN"/>
              </w:rPr>
              <w:t>企业应建立健全防范制度，加强监督管理，规范操作，这类事故发生的概率处于可接受范围内。</w:t>
            </w:r>
          </w:p>
          <w:p w14:paraId="7B60EF37">
            <w:pPr>
              <w:bidi w:val="0"/>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应急措施</w:t>
            </w:r>
          </w:p>
          <w:p w14:paraId="275DC304">
            <w:pPr>
              <w:bidi w:val="0"/>
              <w:rPr>
                <w:rFonts w:hint="default"/>
                <w:color w:val="auto"/>
                <w:highlight w:val="none"/>
                <w:lang w:val="en-US" w:eastAsia="zh-CN"/>
              </w:rPr>
            </w:pPr>
            <w:r>
              <w:rPr>
                <w:rFonts w:hint="eastAsia"/>
                <w:color w:val="auto"/>
                <w:highlight w:val="none"/>
                <w:lang w:val="en-US" w:eastAsia="zh-CN"/>
              </w:rPr>
              <w:t>润滑油、液压油等发生泄漏，通过工作人员或视频监控人员预警，根据现场情况将沙土沙袋、吸油毡、储油桶等运至事发现场进行现场环境应急处置，利用沙土沙袋先进行溢流的围堵，避免污染面积扩散，用吸附材料吸收泄漏液体，然后移至安全地区，能够有效防止事故扩大。一旦泄漏至场区外，企业应告知当地政府、生态环境局、环境保护监测站等部门进行处理。</w:t>
            </w:r>
          </w:p>
          <w:p w14:paraId="266B57F7">
            <w:pPr>
              <w:bidi w:val="0"/>
              <w:rPr>
                <w:rFonts w:hint="default"/>
                <w:color w:val="auto"/>
                <w:highlight w:val="none"/>
                <w:lang w:val="en-US" w:eastAsia="zh-CN"/>
              </w:rPr>
            </w:pPr>
            <w:r>
              <w:rPr>
                <w:rFonts w:hint="eastAsia"/>
                <w:color w:val="auto"/>
                <w:highlight w:val="none"/>
                <w:lang w:val="en-US" w:eastAsia="zh-CN"/>
              </w:rPr>
              <w:t>（3）编制突发环境事件应急预案。</w:t>
            </w:r>
          </w:p>
          <w:p w14:paraId="0DBA9CDA">
            <w:pPr>
              <w:keepNext w:val="0"/>
              <w:keepLines w:val="0"/>
              <w:pageBreakBefore w:val="0"/>
              <w:widowControl w:val="0"/>
              <w:kinsoku/>
              <w:wordWrap/>
              <w:overflowPunct/>
              <w:topLinePunct w:val="0"/>
              <w:autoSpaceDE/>
              <w:autoSpaceDN/>
              <w:bidi w:val="0"/>
              <w:spacing w:line="470" w:lineRule="exact"/>
              <w:ind w:left="0" w:leftChars="0" w:firstLine="0" w:firstLineChars="0"/>
              <w:textAlignment w:val="auto"/>
              <w:rPr>
                <w:b/>
                <w:color w:val="auto"/>
                <w:highlight w:val="none"/>
              </w:rPr>
            </w:pPr>
            <w:r>
              <w:rPr>
                <w:rFonts w:hint="eastAsia"/>
                <w:b/>
                <w:color w:val="auto"/>
                <w:highlight w:val="none"/>
              </w:rPr>
              <w:t>7.5结论</w:t>
            </w:r>
          </w:p>
          <w:p w14:paraId="79135094">
            <w:pPr>
              <w:bidi w:val="0"/>
              <w:rPr>
                <w:color w:val="auto"/>
                <w:highlight w:val="none"/>
              </w:rPr>
            </w:pPr>
            <w:r>
              <w:rPr>
                <w:color w:val="auto"/>
                <w:highlight w:val="none"/>
              </w:rPr>
              <w:t>在严格落实各项规章制度及风险防范措施，配备必要的应急物资并加强风险监控及管理前提下，本项目环境风险</w:t>
            </w:r>
            <w:r>
              <w:rPr>
                <w:rFonts w:hint="eastAsia"/>
                <w:color w:val="auto"/>
                <w:highlight w:val="none"/>
                <w:lang w:val="en-US" w:eastAsia="zh-CN"/>
              </w:rPr>
              <w:t>可防控</w:t>
            </w:r>
            <w:r>
              <w:rPr>
                <w:rFonts w:hint="eastAsia"/>
                <w:color w:val="auto"/>
                <w:highlight w:val="none"/>
              </w:rPr>
              <w:t>。</w:t>
            </w:r>
          </w:p>
          <w:p w14:paraId="48FB750B">
            <w:pPr>
              <w:bidi w:val="0"/>
              <w:ind w:left="0" w:leftChars="0" w:firstLine="0" w:firstLineChars="0"/>
              <w:rPr>
                <w:rFonts w:hint="default"/>
                <w:b/>
                <w:bCs/>
                <w:color w:val="auto"/>
                <w:highlight w:val="none"/>
                <w:lang w:val="en-US" w:eastAsia="zh-CN"/>
              </w:rPr>
            </w:pPr>
            <w:r>
              <w:rPr>
                <w:rFonts w:hint="eastAsia"/>
                <w:b/>
                <w:bCs/>
                <w:color w:val="auto"/>
                <w:highlight w:val="none"/>
                <w:lang w:val="en-US" w:eastAsia="zh-CN"/>
              </w:rPr>
              <w:t>8.电磁辐射</w:t>
            </w:r>
          </w:p>
          <w:p w14:paraId="10126387">
            <w:pPr>
              <w:rPr>
                <w:rFonts w:hint="default"/>
                <w:color w:val="auto"/>
                <w:highlight w:val="none"/>
                <w:lang w:val="en-US" w:eastAsia="zh-CN"/>
              </w:rPr>
            </w:pPr>
            <w:r>
              <w:rPr>
                <w:rFonts w:hint="default"/>
                <w:color w:val="auto"/>
                <w:highlight w:val="none"/>
                <w:lang w:val="en-US" w:eastAsia="zh-CN"/>
              </w:rPr>
              <w:t>本项目不涉及电磁辐射源，即不会对项目所在区环境产生相应的电磁辐射影响。</w:t>
            </w:r>
          </w:p>
          <w:p w14:paraId="352A9EC5">
            <w:pPr>
              <w:pStyle w:val="28"/>
              <w:rPr>
                <w:rFonts w:hint="default"/>
                <w:color w:val="auto"/>
                <w:highlight w:val="none"/>
                <w:lang w:val="en-US" w:eastAsia="zh-CN"/>
              </w:rPr>
            </w:pPr>
          </w:p>
          <w:p w14:paraId="34133D19">
            <w:pPr>
              <w:rPr>
                <w:rFonts w:hint="default"/>
                <w:color w:val="auto"/>
                <w:highlight w:val="none"/>
                <w:lang w:val="en-US" w:eastAsia="zh-CN"/>
              </w:rPr>
            </w:pPr>
          </w:p>
          <w:p w14:paraId="0A4A8243">
            <w:pPr>
              <w:pStyle w:val="28"/>
              <w:rPr>
                <w:rFonts w:hint="default"/>
                <w:color w:val="auto"/>
                <w:highlight w:val="none"/>
                <w:lang w:val="en-US" w:eastAsia="zh-CN"/>
              </w:rPr>
            </w:pPr>
          </w:p>
          <w:p w14:paraId="3350E4D0">
            <w:pPr>
              <w:rPr>
                <w:rFonts w:hint="default"/>
                <w:color w:val="auto"/>
                <w:highlight w:val="none"/>
                <w:lang w:val="en-US" w:eastAsia="zh-CN"/>
              </w:rPr>
            </w:pPr>
          </w:p>
          <w:p w14:paraId="1C8638C0">
            <w:pPr>
              <w:rPr>
                <w:rFonts w:hint="default"/>
                <w:color w:val="auto"/>
                <w:highlight w:val="none"/>
                <w:lang w:val="en-US" w:eastAsia="zh-CN"/>
              </w:rPr>
            </w:pPr>
          </w:p>
          <w:p w14:paraId="16ED3402">
            <w:pPr>
              <w:rPr>
                <w:rFonts w:hint="default"/>
                <w:color w:val="auto"/>
                <w:highlight w:val="none"/>
                <w:lang w:val="en-US" w:eastAsia="zh-CN"/>
              </w:rPr>
            </w:pPr>
          </w:p>
          <w:p w14:paraId="2287FB45">
            <w:pPr>
              <w:ind w:left="0" w:leftChars="0" w:firstLine="0" w:firstLineChars="0"/>
              <w:rPr>
                <w:rFonts w:hint="default"/>
                <w:color w:val="auto"/>
                <w:highlight w:val="none"/>
                <w:lang w:val="en-US" w:eastAsia="zh-CN"/>
              </w:rPr>
            </w:pPr>
          </w:p>
        </w:tc>
      </w:tr>
    </w:tbl>
    <w:p w14:paraId="38744F37">
      <w:pPr>
        <w:rPr>
          <w:color w:val="auto"/>
          <w:highlight w:val="none"/>
        </w:rPr>
        <w:sectPr>
          <w:pgSz w:w="11906" w:h="16838"/>
          <w:pgMar w:top="1440" w:right="1247" w:bottom="1440" w:left="1417" w:header="851" w:footer="879" w:gutter="0"/>
          <w:pgBorders>
            <w:top w:val="none" w:sz="0" w:space="0"/>
            <w:left w:val="none" w:sz="0" w:space="0"/>
            <w:bottom w:val="none" w:sz="0" w:space="0"/>
            <w:right w:val="none" w:sz="0" w:space="0"/>
          </w:pgBorders>
          <w:pgNumType w:fmt="decimal"/>
          <w:cols w:space="425" w:num="1"/>
          <w:docGrid w:type="lines" w:linePitch="312" w:charSpace="0"/>
        </w:sectPr>
      </w:pPr>
    </w:p>
    <w:p w14:paraId="3B94B9AE">
      <w:pPr>
        <w:pStyle w:val="2"/>
        <w:bidi w:val="0"/>
        <w:rPr>
          <w:rFonts w:ascii="黑体" w:hAnsi="黑体" w:eastAsia="黑体"/>
          <w:snapToGrid w:val="0"/>
          <w:color w:val="auto"/>
          <w:szCs w:val="30"/>
          <w:highlight w:val="none"/>
        </w:rPr>
      </w:pPr>
      <w:bookmarkStart w:id="6" w:name="_Toc1397"/>
      <w:r>
        <w:rPr>
          <w:rFonts w:hint="eastAsia"/>
          <w:color w:val="auto"/>
          <w:highlight w:val="none"/>
        </w:rPr>
        <w:t>五、</w:t>
      </w:r>
      <w:bookmarkStart w:id="7" w:name="_Hlk54167917"/>
      <w:r>
        <w:rPr>
          <w:rFonts w:hint="eastAsia"/>
          <w:color w:val="auto"/>
          <w:highlight w:val="none"/>
        </w:rPr>
        <w:t>环境保护措施监督检查清单</w:t>
      </w:r>
      <w:bookmarkEnd w:id="6"/>
      <w:bookmarkEnd w:id="7"/>
    </w:p>
    <w:tbl>
      <w:tblPr>
        <w:tblStyle w:val="29"/>
        <w:tblW w:w="90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86"/>
        <w:gridCol w:w="1346"/>
        <w:gridCol w:w="1349"/>
        <w:gridCol w:w="2954"/>
        <w:gridCol w:w="2336"/>
      </w:tblGrid>
      <w:tr w14:paraId="5B9D5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32" w:hRule="atLeast"/>
          <w:jc w:val="center"/>
        </w:trPr>
        <w:tc>
          <w:tcPr>
            <w:tcW w:w="1086" w:type="dxa"/>
            <w:tcBorders>
              <w:tl2br w:val="single" w:color="auto" w:sz="6" w:space="0"/>
            </w:tcBorders>
            <w:noWrap w:val="0"/>
            <w:vAlign w:val="top"/>
          </w:tcPr>
          <w:p w14:paraId="479918DD">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内容</w:t>
            </w:r>
          </w:p>
          <w:p w14:paraId="2673991E">
            <w:pPr>
              <w:pStyle w:val="35"/>
              <w:keepNext w:val="0"/>
              <w:keepLines w:val="0"/>
              <w:pageBreakBefore w:val="0"/>
              <w:kinsoku/>
              <w:wordWrap/>
              <w:overflowPunct/>
              <w:topLinePunct w:val="0"/>
              <w:autoSpaceDE/>
              <w:autoSpaceDN/>
              <w:bidi w:val="0"/>
              <w:spacing w:before="0" w:after="0"/>
              <w:jc w:val="both"/>
              <w:rPr>
                <w:rFonts w:hint="eastAsia"/>
                <w:color w:val="auto"/>
                <w:sz w:val="24"/>
                <w:szCs w:val="24"/>
                <w:highlight w:val="none"/>
              </w:rPr>
            </w:pPr>
          </w:p>
          <w:p w14:paraId="7A506708">
            <w:pPr>
              <w:pStyle w:val="35"/>
              <w:keepNext w:val="0"/>
              <w:keepLines w:val="0"/>
              <w:pageBreakBefore w:val="0"/>
              <w:kinsoku/>
              <w:wordWrap/>
              <w:overflowPunct/>
              <w:topLinePunct w:val="0"/>
              <w:autoSpaceDE/>
              <w:autoSpaceDN/>
              <w:bidi w:val="0"/>
              <w:spacing w:before="0" w:after="0"/>
              <w:jc w:val="both"/>
              <w:rPr>
                <w:rFonts w:hint="eastAsia"/>
                <w:color w:val="auto"/>
                <w:sz w:val="24"/>
                <w:szCs w:val="24"/>
                <w:highlight w:val="none"/>
              </w:rPr>
            </w:pPr>
            <w:r>
              <w:rPr>
                <w:rFonts w:hint="eastAsia"/>
                <w:color w:val="auto"/>
                <w:sz w:val="24"/>
                <w:szCs w:val="24"/>
                <w:highlight w:val="none"/>
              </w:rPr>
              <w:t>要素</w:t>
            </w:r>
          </w:p>
        </w:tc>
        <w:tc>
          <w:tcPr>
            <w:tcW w:w="1346" w:type="dxa"/>
            <w:tcBorders>
              <w:tl2br w:val="nil"/>
              <w:tr2bl w:val="nil"/>
            </w:tcBorders>
            <w:noWrap w:val="0"/>
            <w:vAlign w:val="center"/>
          </w:tcPr>
          <w:p w14:paraId="5CB9DA67">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rPr>
              <w:t>排放口</w:t>
            </w:r>
            <w:r>
              <w:rPr>
                <w:rFonts w:hint="eastAsia"/>
                <w:color w:val="auto"/>
                <w:sz w:val="24"/>
                <w:szCs w:val="24"/>
                <w:highlight w:val="none"/>
                <w:lang w:eastAsia="zh-CN"/>
              </w:rPr>
              <w:t>（</w:t>
            </w:r>
            <w:r>
              <w:rPr>
                <w:rFonts w:hint="eastAsia"/>
                <w:color w:val="auto"/>
                <w:sz w:val="24"/>
                <w:szCs w:val="24"/>
                <w:highlight w:val="none"/>
              </w:rPr>
              <w:t>编号、名称</w:t>
            </w:r>
            <w:r>
              <w:rPr>
                <w:rFonts w:hint="eastAsia"/>
                <w:color w:val="auto"/>
                <w:sz w:val="24"/>
                <w:szCs w:val="24"/>
                <w:highlight w:val="none"/>
                <w:lang w:eastAsia="zh-CN"/>
              </w:rPr>
              <w:t>）</w:t>
            </w:r>
            <w:r>
              <w:rPr>
                <w:rFonts w:hint="eastAsia"/>
                <w:color w:val="auto"/>
                <w:sz w:val="24"/>
                <w:szCs w:val="24"/>
                <w:highlight w:val="none"/>
              </w:rPr>
              <w:t>/污染源</w:t>
            </w:r>
          </w:p>
        </w:tc>
        <w:tc>
          <w:tcPr>
            <w:tcW w:w="1349" w:type="dxa"/>
            <w:tcBorders>
              <w:tl2br w:val="nil"/>
              <w:tr2bl w:val="nil"/>
            </w:tcBorders>
            <w:noWrap w:val="0"/>
            <w:vAlign w:val="center"/>
          </w:tcPr>
          <w:p w14:paraId="3CD61407">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rPr>
              <w:t>污染物项目</w:t>
            </w:r>
          </w:p>
        </w:tc>
        <w:tc>
          <w:tcPr>
            <w:tcW w:w="2954" w:type="dxa"/>
            <w:tcBorders>
              <w:tl2br w:val="nil"/>
              <w:tr2bl w:val="nil"/>
            </w:tcBorders>
            <w:noWrap w:val="0"/>
            <w:vAlign w:val="center"/>
          </w:tcPr>
          <w:p w14:paraId="24223A86">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rPr>
              <w:t>环境保护措施</w:t>
            </w:r>
          </w:p>
        </w:tc>
        <w:tc>
          <w:tcPr>
            <w:tcW w:w="2336" w:type="dxa"/>
            <w:tcBorders>
              <w:tl2br w:val="nil"/>
              <w:tr2bl w:val="nil"/>
            </w:tcBorders>
            <w:noWrap w:val="0"/>
            <w:vAlign w:val="center"/>
          </w:tcPr>
          <w:p w14:paraId="6286CAF9">
            <w:pPr>
              <w:pStyle w:val="35"/>
              <w:keepNext w:val="0"/>
              <w:keepLines w:val="0"/>
              <w:pageBreakBefore w:val="0"/>
              <w:kinsoku/>
              <w:wordWrap/>
              <w:overflowPunct/>
              <w:topLinePunct w:val="0"/>
              <w:autoSpaceDE/>
              <w:autoSpaceDN/>
              <w:bidi w:val="0"/>
              <w:spacing w:before="0" w:after="0"/>
              <w:rPr>
                <w:rFonts w:hint="eastAsia"/>
                <w:color w:val="auto"/>
                <w:sz w:val="24"/>
                <w:szCs w:val="24"/>
                <w:highlight w:val="none"/>
              </w:rPr>
            </w:pPr>
            <w:r>
              <w:rPr>
                <w:rFonts w:hint="eastAsia"/>
                <w:color w:val="auto"/>
                <w:sz w:val="24"/>
                <w:szCs w:val="24"/>
                <w:highlight w:val="none"/>
              </w:rPr>
              <w:t>执行标准</w:t>
            </w:r>
          </w:p>
        </w:tc>
      </w:tr>
      <w:tr w14:paraId="6B404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42" w:hRule="atLeast"/>
          <w:jc w:val="center"/>
        </w:trPr>
        <w:tc>
          <w:tcPr>
            <w:tcW w:w="1086" w:type="dxa"/>
            <w:vMerge w:val="restart"/>
            <w:tcBorders>
              <w:tl2br w:val="nil"/>
              <w:tr2bl w:val="nil"/>
            </w:tcBorders>
            <w:noWrap w:val="0"/>
            <w:vAlign w:val="center"/>
          </w:tcPr>
          <w:p w14:paraId="6E7D441E">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eastAsia="宋体"/>
                <w:color w:val="auto"/>
                <w:sz w:val="24"/>
                <w:szCs w:val="24"/>
                <w:highlight w:val="none"/>
                <w:lang w:val="en-US" w:eastAsia="zh-CN"/>
              </w:rPr>
            </w:pPr>
            <w:r>
              <w:rPr>
                <w:rFonts w:hint="eastAsia"/>
                <w:color w:val="auto"/>
                <w:sz w:val="24"/>
                <w:szCs w:val="24"/>
                <w:highlight w:val="none"/>
                <w:lang w:val="en-US" w:eastAsia="zh-CN"/>
              </w:rPr>
              <w:t>大气环境</w:t>
            </w:r>
          </w:p>
        </w:tc>
        <w:tc>
          <w:tcPr>
            <w:tcW w:w="1346" w:type="dxa"/>
            <w:tcBorders>
              <w:tl2br w:val="nil"/>
              <w:tr2bl w:val="nil"/>
            </w:tcBorders>
            <w:noWrap w:val="0"/>
            <w:vAlign w:val="center"/>
          </w:tcPr>
          <w:p w14:paraId="327D36C1">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val="en-US" w:eastAsia="zh-CN"/>
              </w:rPr>
              <w:t>卸车、堆填废气</w:t>
            </w:r>
          </w:p>
        </w:tc>
        <w:tc>
          <w:tcPr>
            <w:tcW w:w="1349" w:type="dxa"/>
            <w:tcBorders>
              <w:tl2br w:val="nil"/>
              <w:tr2bl w:val="nil"/>
            </w:tcBorders>
            <w:noWrap w:val="0"/>
            <w:vAlign w:val="center"/>
          </w:tcPr>
          <w:p w14:paraId="3C9B1174">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颗粒物</w:t>
            </w:r>
          </w:p>
        </w:tc>
        <w:tc>
          <w:tcPr>
            <w:tcW w:w="2954" w:type="dxa"/>
            <w:tcBorders>
              <w:tl2br w:val="nil"/>
              <w:tr2bl w:val="nil"/>
            </w:tcBorders>
            <w:noWrap w:val="0"/>
            <w:vAlign w:val="center"/>
          </w:tcPr>
          <w:p w14:paraId="1D11F5F3">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default"/>
                <w:color w:val="auto"/>
                <w:sz w:val="24"/>
                <w:szCs w:val="24"/>
                <w:highlight w:val="none"/>
                <w:lang w:val="en-US" w:eastAsia="zh-CN"/>
              </w:rPr>
              <w:t>装卸降低高度落差，移动雾炮喷雾抑尘；及时覆盖、压实作业面</w:t>
            </w:r>
            <w:r>
              <w:rPr>
                <w:rFonts w:hint="eastAsia"/>
                <w:color w:val="auto"/>
                <w:sz w:val="24"/>
                <w:szCs w:val="24"/>
                <w:highlight w:val="none"/>
                <w:lang w:val="en-US" w:eastAsia="zh-CN"/>
              </w:rPr>
              <w:t>；场区边界设置扬尘监测系统，对无组织颗粒物进行监测</w:t>
            </w:r>
          </w:p>
        </w:tc>
        <w:tc>
          <w:tcPr>
            <w:tcW w:w="2336" w:type="dxa"/>
            <w:vMerge w:val="restart"/>
            <w:tcBorders>
              <w:tl2br w:val="nil"/>
              <w:tr2bl w:val="nil"/>
            </w:tcBorders>
            <w:noWrap w:val="0"/>
            <w:vAlign w:val="center"/>
          </w:tcPr>
          <w:p w14:paraId="720B206F">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eastAsia="宋体"/>
                <w:color w:val="auto"/>
                <w:sz w:val="24"/>
                <w:szCs w:val="24"/>
                <w:highlight w:val="none"/>
                <w:vertAlign w:val="baseline"/>
                <w:lang w:val="en-US" w:eastAsia="zh-CN"/>
              </w:rPr>
            </w:pPr>
            <w:r>
              <w:rPr>
                <w:rFonts w:hint="eastAsia" w:ascii="Times New Roman" w:eastAsia="宋体"/>
                <w:color w:val="auto"/>
                <w:sz w:val="24"/>
                <w:szCs w:val="24"/>
                <w:highlight w:val="none"/>
                <w:lang w:val="en-US" w:eastAsia="zh-CN"/>
              </w:rPr>
              <w:t>《大气污染物综合排放标准》（</w:t>
            </w:r>
            <w:r>
              <w:rPr>
                <w:rFonts w:hint="eastAsia"/>
                <w:color w:val="auto"/>
                <w:sz w:val="24"/>
                <w:szCs w:val="24"/>
                <w:highlight w:val="none"/>
                <w:lang w:val="en-US" w:eastAsia="zh-CN"/>
              </w:rPr>
              <w:t>GB16297</w:t>
            </w:r>
            <w:r>
              <w:rPr>
                <w:rFonts w:hint="eastAsia" w:ascii="Times New Roman" w:eastAsia="宋体"/>
                <w:color w:val="auto"/>
                <w:sz w:val="24"/>
                <w:szCs w:val="24"/>
                <w:highlight w:val="none"/>
                <w:lang w:val="en-US" w:eastAsia="zh-CN"/>
              </w:rPr>
              <w:t>-</w:t>
            </w:r>
            <w:r>
              <w:rPr>
                <w:rFonts w:hint="eastAsia"/>
                <w:color w:val="auto"/>
                <w:sz w:val="24"/>
                <w:szCs w:val="24"/>
                <w:highlight w:val="none"/>
                <w:lang w:val="en-US" w:eastAsia="zh-CN"/>
              </w:rPr>
              <w:t>1996</w:t>
            </w:r>
            <w:r>
              <w:rPr>
                <w:rFonts w:hint="eastAsia" w:ascii="Times New Roman" w:eastAsia="宋体"/>
                <w:color w:val="auto"/>
                <w:sz w:val="24"/>
                <w:szCs w:val="24"/>
                <w:highlight w:val="none"/>
                <w:lang w:val="en-US" w:eastAsia="zh-CN"/>
              </w:rPr>
              <w:t>）表</w:t>
            </w:r>
            <w:r>
              <w:rPr>
                <w:rFonts w:hint="eastAsia"/>
                <w:color w:val="auto"/>
                <w:sz w:val="24"/>
                <w:szCs w:val="24"/>
                <w:highlight w:val="none"/>
                <w:lang w:val="en-US" w:eastAsia="zh-CN"/>
              </w:rPr>
              <w:t>2中</w:t>
            </w:r>
            <w:r>
              <w:rPr>
                <w:rFonts w:hint="eastAsia" w:ascii="Times New Roman" w:eastAsia="宋体"/>
                <w:color w:val="auto"/>
                <w:sz w:val="24"/>
                <w:szCs w:val="24"/>
                <w:highlight w:val="none"/>
                <w:lang w:val="en-US" w:eastAsia="zh-CN"/>
              </w:rPr>
              <w:t>颗粒物</w:t>
            </w:r>
            <w:r>
              <w:rPr>
                <w:rFonts w:hint="eastAsia"/>
                <w:color w:val="auto"/>
                <w:sz w:val="24"/>
                <w:szCs w:val="24"/>
                <w:highlight w:val="none"/>
                <w:lang w:val="en-US" w:eastAsia="zh-CN"/>
              </w:rPr>
              <w:t>无组织排放浓度</w:t>
            </w:r>
            <w:r>
              <w:rPr>
                <w:rFonts w:hint="eastAsia" w:ascii="Times New Roman" w:eastAsia="宋体"/>
                <w:color w:val="auto"/>
                <w:sz w:val="24"/>
                <w:szCs w:val="24"/>
                <w:highlight w:val="none"/>
                <w:lang w:val="en-US" w:eastAsia="zh-CN"/>
              </w:rPr>
              <w:t>限值</w:t>
            </w:r>
            <w:r>
              <w:rPr>
                <w:rFonts w:hint="eastAsia"/>
                <w:color w:val="auto"/>
                <w:sz w:val="24"/>
                <w:szCs w:val="24"/>
                <w:highlight w:val="none"/>
                <w:lang w:val="en-US" w:eastAsia="zh-CN"/>
              </w:rPr>
              <w:t>1</w:t>
            </w:r>
            <w:r>
              <w:rPr>
                <w:rFonts w:hint="eastAsia" w:ascii="Times New Roman" w:eastAsia="宋体"/>
                <w:color w:val="auto"/>
                <w:sz w:val="24"/>
                <w:szCs w:val="24"/>
                <w:highlight w:val="none"/>
                <w:lang w:val="en-US" w:eastAsia="zh-CN"/>
              </w:rPr>
              <w:t>.0mg/m</w:t>
            </w:r>
            <w:r>
              <w:rPr>
                <w:rFonts w:hint="eastAsia" w:ascii="Times New Roman" w:eastAsia="宋体"/>
                <w:color w:val="auto"/>
                <w:sz w:val="24"/>
                <w:szCs w:val="24"/>
                <w:highlight w:val="none"/>
                <w:vertAlign w:val="superscript"/>
                <w:lang w:val="en-US" w:eastAsia="zh-CN"/>
              </w:rPr>
              <w:t>3</w:t>
            </w:r>
          </w:p>
        </w:tc>
      </w:tr>
      <w:tr w14:paraId="3755D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88" w:hRule="atLeast"/>
          <w:jc w:val="center"/>
        </w:trPr>
        <w:tc>
          <w:tcPr>
            <w:tcW w:w="1086" w:type="dxa"/>
            <w:vMerge w:val="continue"/>
            <w:tcBorders>
              <w:tl2br w:val="nil"/>
              <w:tr2bl w:val="nil"/>
            </w:tcBorders>
            <w:noWrap w:val="0"/>
            <w:vAlign w:val="center"/>
          </w:tcPr>
          <w:p w14:paraId="0FA8990E">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color w:val="auto"/>
                <w:sz w:val="24"/>
                <w:szCs w:val="24"/>
                <w:highlight w:val="none"/>
              </w:rPr>
            </w:pPr>
          </w:p>
        </w:tc>
        <w:tc>
          <w:tcPr>
            <w:tcW w:w="1346" w:type="dxa"/>
            <w:tcBorders>
              <w:tl2br w:val="nil"/>
              <w:tr2bl w:val="nil"/>
            </w:tcBorders>
            <w:noWrap w:val="0"/>
            <w:vAlign w:val="center"/>
          </w:tcPr>
          <w:p w14:paraId="01F118EE">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val="en-US" w:eastAsia="zh-CN"/>
              </w:rPr>
              <w:t>运输废气</w:t>
            </w:r>
          </w:p>
        </w:tc>
        <w:tc>
          <w:tcPr>
            <w:tcW w:w="1349" w:type="dxa"/>
            <w:tcBorders>
              <w:tl2br w:val="nil"/>
              <w:tr2bl w:val="nil"/>
            </w:tcBorders>
            <w:noWrap w:val="0"/>
            <w:vAlign w:val="center"/>
          </w:tcPr>
          <w:p w14:paraId="41F1CD8D">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lang w:val="en-US" w:eastAsia="zh-CN"/>
              </w:rPr>
              <w:t>颗粒物</w:t>
            </w:r>
          </w:p>
        </w:tc>
        <w:tc>
          <w:tcPr>
            <w:tcW w:w="2954" w:type="dxa"/>
            <w:tcBorders>
              <w:tl2br w:val="nil"/>
              <w:tr2bl w:val="nil"/>
            </w:tcBorders>
            <w:noWrap w:val="0"/>
            <w:vAlign w:val="center"/>
          </w:tcPr>
          <w:p w14:paraId="723813BD">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运输车辆加盖苫布，</w:t>
            </w:r>
            <w:r>
              <w:rPr>
                <w:rFonts w:hint="default"/>
                <w:color w:val="auto"/>
                <w:sz w:val="24"/>
                <w:szCs w:val="24"/>
                <w:highlight w:val="none"/>
                <w:lang w:val="en-US" w:eastAsia="zh-CN"/>
              </w:rPr>
              <w:t>配备1台洒水车定期洒水降尘</w:t>
            </w:r>
            <w:r>
              <w:rPr>
                <w:rFonts w:hint="eastAsia"/>
                <w:color w:val="auto"/>
                <w:sz w:val="24"/>
                <w:szCs w:val="24"/>
                <w:highlight w:val="none"/>
                <w:lang w:val="en-US" w:eastAsia="zh-CN"/>
              </w:rPr>
              <w:t>，场区设置洗车平台，对进出场车辆进行清洗；</w:t>
            </w:r>
            <w:r>
              <w:rPr>
                <w:rFonts w:hint="default" w:ascii="Times New Roman" w:hAnsi="Times New Roman" w:eastAsia="宋体" w:cs="Times New Roman"/>
                <w:color w:val="auto"/>
                <w:kern w:val="0"/>
                <w:sz w:val="24"/>
                <w:szCs w:val="24"/>
                <w:highlight w:val="none"/>
                <w:lang w:val="en-US" w:eastAsia="zh-CN" w:bidi="ar"/>
              </w:rPr>
              <w:t>运输车辆定期、及时维修、保养，对非道路移动机械进行环保登记</w:t>
            </w:r>
          </w:p>
        </w:tc>
        <w:tc>
          <w:tcPr>
            <w:tcW w:w="2336" w:type="dxa"/>
            <w:vMerge w:val="continue"/>
            <w:tcBorders>
              <w:tl2br w:val="nil"/>
              <w:tr2bl w:val="nil"/>
            </w:tcBorders>
            <w:noWrap w:val="0"/>
            <w:vAlign w:val="center"/>
          </w:tcPr>
          <w:p w14:paraId="1AE9E04D">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p>
        </w:tc>
      </w:tr>
      <w:tr w14:paraId="17733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1086" w:type="dxa"/>
            <w:vMerge w:val="restart"/>
            <w:tcBorders>
              <w:tl2br w:val="nil"/>
              <w:tr2bl w:val="nil"/>
            </w:tcBorders>
            <w:noWrap w:val="0"/>
            <w:vAlign w:val="center"/>
          </w:tcPr>
          <w:p w14:paraId="1ABE0D66">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r>
              <w:rPr>
                <w:rFonts w:hint="eastAsia"/>
                <w:color w:val="auto"/>
                <w:sz w:val="24"/>
                <w:szCs w:val="24"/>
                <w:highlight w:val="none"/>
              </w:rPr>
              <w:t>地表水环境</w:t>
            </w:r>
          </w:p>
        </w:tc>
        <w:tc>
          <w:tcPr>
            <w:tcW w:w="1346" w:type="dxa"/>
            <w:tcBorders>
              <w:tl2br w:val="nil"/>
              <w:tr2bl w:val="nil"/>
            </w:tcBorders>
            <w:noWrap w:val="0"/>
            <w:vAlign w:val="center"/>
          </w:tcPr>
          <w:p w14:paraId="1F51224F">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洗车废水</w:t>
            </w:r>
          </w:p>
        </w:tc>
        <w:tc>
          <w:tcPr>
            <w:tcW w:w="1349" w:type="dxa"/>
            <w:tcBorders>
              <w:tl2br w:val="nil"/>
              <w:tr2bl w:val="nil"/>
            </w:tcBorders>
            <w:noWrap w:val="0"/>
            <w:vAlign w:val="center"/>
          </w:tcPr>
          <w:p w14:paraId="7A34E06E">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COD、SS</w:t>
            </w:r>
          </w:p>
        </w:tc>
        <w:tc>
          <w:tcPr>
            <w:tcW w:w="2954" w:type="dxa"/>
            <w:tcBorders>
              <w:tl2br w:val="nil"/>
              <w:tr2bl w:val="nil"/>
            </w:tcBorders>
            <w:noWrap w:val="0"/>
            <w:vAlign w:val="center"/>
          </w:tcPr>
          <w:p w14:paraId="4EA61C26">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沉淀处理后循环使用</w:t>
            </w:r>
          </w:p>
        </w:tc>
        <w:tc>
          <w:tcPr>
            <w:tcW w:w="2336" w:type="dxa"/>
            <w:vMerge w:val="restart"/>
            <w:tcBorders>
              <w:tl2br w:val="nil"/>
              <w:tr2bl w:val="nil"/>
            </w:tcBorders>
            <w:noWrap w:val="0"/>
            <w:vAlign w:val="center"/>
          </w:tcPr>
          <w:p w14:paraId="3F13F1E1">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color w:val="auto"/>
                <w:sz w:val="24"/>
                <w:szCs w:val="24"/>
                <w:highlight w:val="none"/>
                <w:lang w:val="en-US" w:eastAsia="zh-CN"/>
              </w:rPr>
              <w:t>不外排</w:t>
            </w:r>
          </w:p>
        </w:tc>
      </w:tr>
      <w:tr w14:paraId="089B1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95" w:hRule="atLeast"/>
          <w:jc w:val="center"/>
        </w:trPr>
        <w:tc>
          <w:tcPr>
            <w:tcW w:w="1086" w:type="dxa"/>
            <w:vMerge w:val="continue"/>
            <w:tcBorders>
              <w:tl2br w:val="nil"/>
              <w:tr2bl w:val="nil"/>
            </w:tcBorders>
            <w:noWrap w:val="0"/>
            <w:vAlign w:val="center"/>
          </w:tcPr>
          <w:p w14:paraId="49248099">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p>
        </w:tc>
        <w:tc>
          <w:tcPr>
            <w:tcW w:w="1346" w:type="dxa"/>
            <w:tcBorders>
              <w:tl2br w:val="nil"/>
              <w:tr2bl w:val="nil"/>
            </w:tcBorders>
            <w:noWrap w:val="0"/>
            <w:vAlign w:val="center"/>
          </w:tcPr>
          <w:p w14:paraId="15033022">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职工生活</w:t>
            </w:r>
          </w:p>
        </w:tc>
        <w:tc>
          <w:tcPr>
            <w:tcW w:w="1349" w:type="dxa"/>
            <w:tcBorders>
              <w:tl2br w:val="nil"/>
              <w:tr2bl w:val="nil"/>
            </w:tcBorders>
            <w:noWrap w:val="0"/>
            <w:vAlign w:val="center"/>
          </w:tcPr>
          <w:p w14:paraId="54A8A1BB">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pH、COD、BOD</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lang w:val="en-US" w:eastAsia="zh-CN"/>
              </w:rPr>
              <w:t>、SS、氨氮、总氮</w:t>
            </w:r>
            <w:r>
              <w:rPr>
                <w:rFonts w:hint="eastAsia" w:cs="Times New Roman"/>
                <w:color w:val="auto"/>
                <w:sz w:val="24"/>
                <w:szCs w:val="24"/>
                <w:highlight w:val="none"/>
                <w:lang w:val="en-US" w:eastAsia="zh-CN"/>
              </w:rPr>
              <w:t>、总磷</w:t>
            </w:r>
          </w:p>
        </w:tc>
        <w:tc>
          <w:tcPr>
            <w:tcW w:w="2954" w:type="dxa"/>
            <w:tcBorders>
              <w:tl2br w:val="nil"/>
              <w:tr2bl w:val="nil"/>
            </w:tcBorders>
            <w:noWrap w:val="0"/>
            <w:vAlign w:val="center"/>
          </w:tcPr>
          <w:p w14:paraId="0EB51367">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color w:val="auto"/>
                <w:sz w:val="24"/>
                <w:szCs w:val="24"/>
                <w:highlight w:val="none"/>
                <w:lang w:val="en-US" w:eastAsia="zh-CN"/>
              </w:rPr>
            </w:pPr>
            <w:r>
              <w:rPr>
                <w:rFonts w:hint="eastAsia" w:cs="Times New Roman"/>
                <w:color w:val="auto"/>
                <w:sz w:val="24"/>
                <w:szCs w:val="24"/>
                <w:highlight w:val="none"/>
                <w:lang w:val="en-US" w:eastAsia="zh-CN"/>
              </w:rPr>
              <w:t>泼洒地面抑尘</w:t>
            </w:r>
          </w:p>
        </w:tc>
        <w:tc>
          <w:tcPr>
            <w:tcW w:w="2336" w:type="dxa"/>
            <w:vMerge w:val="continue"/>
            <w:tcBorders>
              <w:tl2br w:val="nil"/>
              <w:tr2bl w:val="nil"/>
            </w:tcBorders>
            <w:noWrap w:val="0"/>
            <w:vAlign w:val="center"/>
          </w:tcPr>
          <w:p w14:paraId="6DBC803A">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color w:val="auto"/>
                <w:sz w:val="24"/>
                <w:szCs w:val="24"/>
                <w:highlight w:val="none"/>
                <w:lang w:val="en-US" w:eastAsia="zh-CN"/>
              </w:rPr>
            </w:pPr>
          </w:p>
        </w:tc>
      </w:tr>
      <w:tr w14:paraId="3B173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32" w:hRule="atLeast"/>
          <w:jc w:val="center"/>
        </w:trPr>
        <w:tc>
          <w:tcPr>
            <w:tcW w:w="1086" w:type="dxa"/>
            <w:vMerge w:val="continue"/>
            <w:tcBorders>
              <w:tl2br w:val="nil"/>
              <w:tr2bl w:val="nil"/>
            </w:tcBorders>
            <w:noWrap w:val="0"/>
            <w:vAlign w:val="center"/>
          </w:tcPr>
          <w:p w14:paraId="09961771">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p>
        </w:tc>
        <w:tc>
          <w:tcPr>
            <w:tcW w:w="1346" w:type="dxa"/>
            <w:tcBorders>
              <w:tl2br w:val="nil"/>
              <w:tr2bl w:val="nil"/>
            </w:tcBorders>
            <w:noWrap w:val="0"/>
            <w:vAlign w:val="center"/>
          </w:tcPr>
          <w:p w14:paraId="550AC62D">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淋溶水</w:t>
            </w:r>
          </w:p>
        </w:tc>
        <w:tc>
          <w:tcPr>
            <w:tcW w:w="1349" w:type="dxa"/>
            <w:tcBorders>
              <w:tl2br w:val="nil"/>
              <w:tr2bl w:val="nil"/>
            </w:tcBorders>
            <w:noWrap w:val="0"/>
            <w:vAlign w:val="center"/>
          </w:tcPr>
          <w:p w14:paraId="795DFD12">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COD、SS</w:t>
            </w:r>
          </w:p>
        </w:tc>
        <w:tc>
          <w:tcPr>
            <w:tcW w:w="2954" w:type="dxa"/>
            <w:tcBorders>
              <w:tl2br w:val="nil"/>
              <w:tr2bl w:val="nil"/>
            </w:tcBorders>
            <w:noWrap w:val="0"/>
            <w:vAlign w:val="center"/>
          </w:tcPr>
          <w:p w14:paraId="78BF5100">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cs="Times New Roman"/>
                <w:color w:val="auto"/>
                <w:sz w:val="24"/>
                <w:szCs w:val="24"/>
                <w:highlight w:val="none"/>
                <w:lang w:val="en-US" w:eastAsia="zh-CN"/>
              </w:rPr>
            </w:pPr>
            <w:r>
              <w:rPr>
                <w:rFonts w:hint="eastAsia" w:cs="Times New Roman"/>
                <w:color w:val="auto"/>
                <w:kern w:val="2"/>
                <w:sz w:val="24"/>
                <w:szCs w:val="24"/>
                <w:highlight w:val="none"/>
                <w:lang w:val="en-US" w:eastAsia="zh-CN" w:bidi="ar-SA"/>
              </w:rPr>
              <w:t>设置1座300m</w:t>
            </w:r>
            <w:r>
              <w:rPr>
                <w:rFonts w:hint="eastAsia" w:cs="Times New Roman"/>
                <w:color w:val="auto"/>
                <w:kern w:val="2"/>
                <w:sz w:val="24"/>
                <w:szCs w:val="24"/>
                <w:highlight w:val="none"/>
                <w:vertAlign w:val="superscript"/>
                <w:lang w:val="en-US" w:eastAsia="zh-CN" w:bidi="ar-SA"/>
              </w:rPr>
              <w:t>3</w:t>
            </w:r>
            <w:r>
              <w:rPr>
                <w:rFonts w:hint="eastAsia" w:cs="Times New Roman"/>
                <w:color w:val="auto"/>
                <w:kern w:val="2"/>
                <w:sz w:val="24"/>
                <w:szCs w:val="24"/>
                <w:highlight w:val="none"/>
                <w:lang w:val="en-US" w:eastAsia="zh-CN" w:bidi="ar-SA"/>
              </w:rPr>
              <w:t>的沉淀池用于收集堆填（砌）区淋溶水</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淋溶水经沉淀池</w:t>
            </w:r>
            <w:r>
              <w:rPr>
                <w:rFonts w:hint="eastAsia" w:ascii="Times New Roman" w:hAnsi="Times New Roman" w:eastAsia="宋体" w:cs="Times New Roman"/>
                <w:color w:val="auto"/>
                <w:kern w:val="2"/>
                <w:sz w:val="24"/>
                <w:szCs w:val="24"/>
                <w:highlight w:val="none"/>
                <w:lang w:val="en-US" w:eastAsia="zh-CN" w:bidi="ar-SA"/>
              </w:rPr>
              <w:t>沉淀后，分批次回用作区域抑尘用水</w:t>
            </w:r>
          </w:p>
        </w:tc>
        <w:tc>
          <w:tcPr>
            <w:tcW w:w="2336" w:type="dxa"/>
            <w:vMerge w:val="continue"/>
            <w:tcBorders>
              <w:tl2br w:val="nil"/>
              <w:tr2bl w:val="nil"/>
            </w:tcBorders>
            <w:noWrap w:val="0"/>
            <w:vAlign w:val="center"/>
          </w:tcPr>
          <w:p w14:paraId="195D7533">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firstLine="0" w:firstLineChars="0"/>
              <w:textAlignment w:val="auto"/>
              <w:rPr>
                <w:rFonts w:hint="eastAsia"/>
                <w:color w:val="auto"/>
                <w:sz w:val="24"/>
                <w:szCs w:val="24"/>
                <w:highlight w:val="none"/>
                <w:lang w:val="en-US" w:eastAsia="zh-CN"/>
              </w:rPr>
            </w:pPr>
          </w:p>
        </w:tc>
      </w:tr>
      <w:tr w14:paraId="511BE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24" w:hRule="atLeast"/>
          <w:jc w:val="center"/>
        </w:trPr>
        <w:tc>
          <w:tcPr>
            <w:tcW w:w="1086" w:type="dxa"/>
            <w:tcBorders>
              <w:tl2br w:val="nil"/>
              <w:tr2bl w:val="nil"/>
            </w:tcBorders>
            <w:noWrap w:val="0"/>
            <w:vAlign w:val="center"/>
          </w:tcPr>
          <w:p w14:paraId="6877AF29">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r>
              <w:rPr>
                <w:rFonts w:hint="eastAsia"/>
                <w:color w:val="auto"/>
                <w:sz w:val="24"/>
                <w:szCs w:val="24"/>
                <w:highlight w:val="none"/>
              </w:rPr>
              <w:t>声环境</w:t>
            </w:r>
          </w:p>
        </w:tc>
        <w:tc>
          <w:tcPr>
            <w:tcW w:w="1346" w:type="dxa"/>
            <w:tcBorders>
              <w:tl2br w:val="nil"/>
              <w:tr2bl w:val="nil"/>
            </w:tcBorders>
            <w:noWrap w:val="0"/>
            <w:vAlign w:val="center"/>
          </w:tcPr>
          <w:p w14:paraId="7776FBE5">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default"/>
                <w:color w:val="auto"/>
                <w:sz w:val="24"/>
                <w:szCs w:val="24"/>
                <w:highlight w:val="none"/>
                <w:lang w:val="en-US" w:eastAsia="zh-CN"/>
              </w:rPr>
            </w:pPr>
            <w:r>
              <w:rPr>
                <w:rFonts w:hint="eastAsia"/>
                <w:b w:val="0"/>
                <w:bCs w:val="0"/>
                <w:color w:val="auto"/>
                <w:sz w:val="24"/>
                <w:szCs w:val="24"/>
                <w:highlight w:val="none"/>
                <w:lang w:val="en-US" w:eastAsia="zh-CN"/>
              </w:rPr>
              <w:t>产噪设备</w:t>
            </w:r>
            <w:r>
              <w:rPr>
                <w:rFonts w:hint="default"/>
                <w:b w:val="0"/>
                <w:bCs w:val="0"/>
                <w:color w:val="auto"/>
                <w:sz w:val="24"/>
                <w:szCs w:val="24"/>
                <w:highlight w:val="none"/>
              </w:rPr>
              <w:t>运行</w:t>
            </w:r>
          </w:p>
        </w:tc>
        <w:tc>
          <w:tcPr>
            <w:tcW w:w="1349" w:type="dxa"/>
            <w:tcBorders>
              <w:tl2br w:val="nil"/>
              <w:tr2bl w:val="nil"/>
            </w:tcBorders>
            <w:noWrap w:val="0"/>
            <w:vAlign w:val="center"/>
          </w:tcPr>
          <w:p w14:paraId="28347C3A">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噪声</w:t>
            </w:r>
          </w:p>
        </w:tc>
        <w:tc>
          <w:tcPr>
            <w:tcW w:w="2954" w:type="dxa"/>
            <w:tcBorders>
              <w:tl2br w:val="nil"/>
              <w:tr2bl w:val="nil"/>
            </w:tcBorders>
            <w:noWrap w:val="0"/>
            <w:vAlign w:val="center"/>
          </w:tcPr>
          <w:p w14:paraId="45500F02">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选用低噪声设备，定期维修保养；车辆减速慢行、禁止鸣笛</w:t>
            </w:r>
          </w:p>
        </w:tc>
        <w:tc>
          <w:tcPr>
            <w:tcW w:w="2336" w:type="dxa"/>
            <w:tcBorders>
              <w:tl2br w:val="nil"/>
              <w:tr2bl w:val="nil"/>
            </w:tcBorders>
            <w:noWrap w:val="0"/>
            <w:vAlign w:val="center"/>
          </w:tcPr>
          <w:p w14:paraId="310C13F3">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default" w:eastAsia="宋体"/>
                <w:color w:val="auto"/>
                <w:sz w:val="24"/>
                <w:szCs w:val="24"/>
                <w:highlight w:val="none"/>
                <w:lang w:val="en-US" w:eastAsia="zh-CN"/>
              </w:rPr>
            </w:pPr>
            <w:r>
              <w:rPr>
                <w:rFonts w:hint="default"/>
                <w:color w:val="auto"/>
                <w:sz w:val="24"/>
                <w:szCs w:val="24"/>
                <w:highlight w:val="none"/>
              </w:rPr>
              <w:t>《工业企业厂界环境噪声排放标准》（GB12348-2008）中</w:t>
            </w:r>
            <w:r>
              <w:rPr>
                <w:rFonts w:hint="eastAsia"/>
                <w:color w:val="auto"/>
                <w:sz w:val="24"/>
                <w:szCs w:val="24"/>
                <w:highlight w:val="none"/>
                <w:lang w:val="en-US" w:eastAsia="zh-CN"/>
              </w:rPr>
              <w:t>2类标准：昼间60dB（A），夜间不生产</w:t>
            </w:r>
          </w:p>
        </w:tc>
      </w:tr>
      <w:tr w14:paraId="6DA1F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7" w:hRule="atLeast"/>
          <w:jc w:val="center"/>
        </w:trPr>
        <w:tc>
          <w:tcPr>
            <w:tcW w:w="1086" w:type="dxa"/>
            <w:tcBorders>
              <w:tl2br w:val="nil"/>
              <w:tr2bl w:val="nil"/>
            </w:tcBorders>
            <w:noWrap w:val="0"/>
            <w:vAlign w:val="center"/>
          </w:tcPr>
          <w:p w14:paraId="23302E1F">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rPr>
            </w:pPr>
            <w:r>
              <w:rPr>
                <w:rFonts w:hint="eastAsia"/>
                <w:color w:val="auto"/>
                <w:sz w:val="24"/>
                <w:szCs w:val="24"/>
                <w:highlight w:val="none"/>
              </w:rPr>
              <w:t>电磁辐射</w:t>
            </w:r>
          </w:p>
        </w:tc>
        <w:tc>
          <w:tcPr>
            <w:tcW w:w="1346" w:type="dxa"/>
            <w:tcBorders>
              <w:tl2br w:val="nil"/>
              <w:tr2bl w:val="nil"/>
            </w:tcBorders>
            <w:noWrap w:val="0"/>
            <w:vAlign w:val="center"/>
          </w:tcPr>
          <w:p w14:paraId="15D3F823">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w:t>
            </w:r>
          </w:p>
        </w:tc>
        <w:tc>
          <w:tcPr>
            <w:tcW w:w="1349" w:type="dxa"/>
            <w:tcBorders>
              <w:tl2br w:val="nil"/>
              <w:tr2bl w:val="nil"/>
            </w:tcBorders>
            <w:noWrap w:val="0"/>
            <w:vAlign w:val="center"/>
          </w:tcPr>
          <w:p w14:paraId="20B3D7AC">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w:t>
            </w:r>
          </w:p>
        </w:tc>
        <w:tc>
          <w:tcPr>
            <w:tcW w:w="2954" w:type="dxa"/>
            <w:tcBorders>
              <w:tl2br w:val="nil"/>
              <w:tr2bl w:val="nil"/>
            </w:tcBorders>
            <w:noWrap w:val="0"/>
            <w:vAlign w:val="center"/>
          </w:tcPr>
          <w:p w14:paraId="32C03B85">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w:t>
            </w:r>
          </w:p>
        </w:tc>
        <w:tc>
          <w:tcPr>
            <w:tcW w:w="2336" w:type="dxa"/>
            <w:tcBorders>
              <w:tl2br w:val="nil"/>
              <w:tr2bl w:val="nil"/>
            </w:tcBorders>
            <w:noWrap w:val="0"/>
            <w:vAlign w:val="center"/>
          </w:tcPr>
          <w:p w14:paraId="28F39B3F">
            <w:pPr>
              <w:pStyle w:val="35"/>
              <w:keepNext w:val="0"/>
              <w:keepLines w:val="0"/>
              <w:pageBreakBefore w:val="0"/>
              <w:widowControl w:val="0"/>
              <w:kinsoku/>
              <w:wordWrap/>
              <w:overflowPunct/>
              <w:topLinePunct w:val="0"/>
              <w:autoSpaceDE/>
              <w:autoSpaceDN/>
              <w:bidi w:val="0"/>
              <w:adjustRightInd/>
              <w:snapToGrid/>
              <w:spacing w:before="0" w:after="0" w:line="288" w:lineRule="auto"/>
              <w:ind w:left="0" w:leftChars="0" w:right="0" w:rightChars="0"/>
              <w:textAlignment w:val="auto"/>
              <w:rPr>
                <w:rFonts w:hint="eastAsia"/>
                <w:color w:val="auto"/>
                <w:sz w:val="24"/>
                <w:szCs w:val="24"/>
                <w:highlight w:val="none"/>
                <w:lang w:val="en-US" w:eastAsia="zh-CN"/>
              </w:rPr>
            </w:pPr>
            <w:r>
              <w:rPr>
                <w:rFonts w:hint="eastAsia"/>
                <w:color w:val="auto"/>
                <w:sz w:val="24"/>
                <w:szCs w:val="24"/>
                <w:highlight w:val="none"/>
                <w:lang w:val="en-US" w:eastAsia="zh-CN"/>
              </w:rPr>
              <w:t>/</w:t>
            </w:r>
          </w:p>
        </w:tc>
      </w:tr>
      <w:tr w14:paraId="1390C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6" w:hRule="atLeast"/>
          <w:jc w:val="center"/>
        </w:trPr>
        <w:tc>
          <w:tcPr>
            <w:tcW w:w="1086" w:type="dxa"/>
            <w:vMerge w:val="restart"/>
            <w:tcBorders>
              <w:tl2br w:val="nil"/>
              <w:tr2bl w:val="nil"/>
            </w:tcBorders>
            <w:noWrap w:val="0"/>
            <w:vAlign w:val="center"/>
          </w:tcPr>
          <w:p w14:paraId="7F50717D">
            <w:pPr>
              <w:pStyle w:val="35"/>
              <w:keepNext w:val="0"/>
              <w:keepLines w:val="0"/>
              <w:pageBreakBefore w:val="0"/>
              <w:kinsoku/>
              <w:wordWrap/>
              <w:overflowPunct/>
              <w:topLinePunct w:val="0"/>
              <w:autoSpaceDE/>
              <w:autoSpaceDN/>
              <w:bidi w:val="0"/>
              <w:spacing w:before="0" w:after="0"/>
              <w:ind w:firstLine="0" w:firstLineChars="0"/>
              <w:rPr>
                <w:rFonts w:hint="eastAsia"/>
                <w:color w:val="auto"/>
                <w:sz w:val="24"/>
                <w:szCs w:val="24"/>
                <w:highlight w:val="none"/>
              </w:rPr>
            </w:pPr>
            <w:r>
              <w:rPr>
                <w:rFonts w:hint="eastAsia"/>
                <w:color w:val="auto"/>
                <w:sz w:val="24"/>
                <w:szCs w:val="24"/>
                <w:highlight w:val="none"/>
              </w:rPr>
              <w:t>固体废物</w:t>
            </w:r>
          </w:p>
        </w:tc>
        <w:tc>
          <w:tcPr>
            <w:tcW w:w="1346" w:type="dxa"/>
            <w:tcBorders>
              <w:tl2br w:val="nil"/>
              <w:tr2bl w:val="nil"/>
            </w:tcBorders>
            <w:noWrap w:val="0"/>
            <w:vAlign w:val="center"/>
          </w:tcPr>
          <w:p w14:paraId="15C037B8">
            <w:pPr>
              <w:pStyle w:val="35"/>
              <w:keepNext w:val="0"/>
              <w:keepLines w:val="0"/>
              <w:pageBreakBefore w:val="0"/>
              <w:widowControl w:val="0"/>
              <w:kinsoku/>
              <w:wordWrap/>
              <w:overflowPunct/>
              <w:topLinePunct w:val="0"/>
              <w:autoSpaceDE/>
              <w:autoSpaceDN/>
              <w:bidi w:val="0"/>
              <w:adjustRightInd/>
              <w:snapToGrid/>
              <w:spacing w:before="0" w:after="0" w:line="480" w:lineRule="exact"/>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一般工业固体废物</w:t>
            </w:r>
          </w:p>
        </w:tc>
        <w:tc>
          <w:tcPr>
            <w:tcW w:w="6639" w:type="dxa"/>
            <w:gridSpan w:val="3"/>
            <w:tcBorders>
              <w:tl2br w:val="nil"/>
              <w:tr2bl w:val="nil"/>
            </w:tcBorders>
            <w:noWrap w:val="0"/>
            <w:vAlign w:val="center"/>
          </w:tcPr>
          <w:p w14:paraId="765673CF">
            <w:pPr>
              <w:pStyle w:val="35"/>
              <w:keepNext w:val="0"/>
              <w:keepLines w:val="0"/>
              <w:pageBreakBefore w:val="0"/>
              <w:widowControl w:val="0"/>
              <w:kinsoku/>
              <w:wordWrap/>
              <w:overflowPunct/>
              <w:topLinePunct w:val="0"/>
              <w:autoSpaceDE/>
              <w:autoSpaceDN/>
              <w:bidi w:val="0"/>
              <w:adjustRightInd/>
              <w:snapToGrid/>
              <w:spacing w:before="0" w:after="0" w:line="400" w:lineRule="exact"/>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shd w:val="clear" w:color="auto" w:fill="auto"/>
                <w:lang w:val="en-US" w:eastAsia="zh-CN"/>
              </w:rPr>
              <w:t>洗车平台污泥、沉砂池和沉淀池沉渣均与建筑垃圾一起堆填处理。</w:t>
            </w:r>
          </w:p>
        </w:tc>
      </w:tr>
      <w:tr w14:paraId="73A1E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9" w:hRule="atLeast"/>
          <w:jc w:val="center"/>
        </w:trPr>
        <w:tc>
          <w:tcPr>
            <w:tcW w:w="1086" w:type="dxa"/>
            <w:vMerge w:val="continue"/>
            <w:tcBorders>
              <w:tl2br w:val="nil"/>
              <w:tr2bl w:val="nil"/>
            </w:tcBorders>
            <w:noWrap w:val="0"/>
            <w:vAlign w:val="center"/>
          </w:tcPr>
          <w:p w14:paraId="7357B35A">
            <w:pPr>
              <w:pStyle w:val="35"/>
              <w:keepNext w:val="0"/>
              <w:keepLines w:val="0"/>
              <w:pageBreakBefore w:val="0"/>
              <w:kinsoku/>
              <w:wordWrap/>
              <w:overflowPunct/>
              <w:topLinePunct w:val="0"/>
              <w:autoSpaceDE/>
              <w:autoSpaceDN/>
              <w:bidi w:val="0"/>
              <w:spacing w:before="0" w:after="0"/>
              <w:ind w:firstLine="0" w:firstLineChars="0"/>
              <w:rPr>
                <w:rFonts w:hint="eastAsia"/>
                <w:color w:val="auto"/>
                <w:sz w:val="24"/>
                <w:szCs w:val="24"/>
                <w:highlight w:val="none"/>
              </w:rPr>
            </w:pPr>
          </w:p>
        </w:tc>
        <w:tc>
          <w:tcPr>
            <w:tcW w:w="1346" w:type="dxa"/>
            <w:tcBorders>
              <w:tl2br w:val="nil"/>
              <w:tr2bl w:val="nil"/>
            </w:tcBorders>
            <w:noWrap w:val="0"/>
            <w:vAlign w:val="center"/>
          </w:tcPr>
          <w:p w14:paraId="2E9D93E2">
            <w:pPr>
              <w:pStyle w:val="35"/>
              <w:keepNext w:val="0"/>
              <w:keepLines w:val="0"/>
              <w:pageBreakBefore w:val="0"/>
              <w:widowControl w:val="0"/>
              <w:kinsoku/>
              <w:wordWrap/>
              <w:overflowPunct/>
              <w:topLinePunct w:val="0"/>
              <w:autoSpaceDE/>
              <w:autoSpaceDN/>
              <w:bidi w:val="0"/>
              <w:adjustRightInd/>
              <w:snapToGrid/>
              <w:spacing w:before="0" w:after="0" w:line="240" w:lineRule="auto"/>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生活垃圾</w:t>
            </w:r>
          </w:p>
        </w:tc>
        <w:tc>
          <w:tcPr>
            <w:tcW w:w="6639" w:type="dxa"/>
            <w:gridSpan w:val="3"/>
            <w:tcBorders>
              <w:tl2br w:val="nil"/>
              <w:tr2bl w:val="nil"/>
            </w:tcBorders>
            <w:noWrap w:val="0"/>
            <w:vAlign w:val="center"/>
          </w:tcPr>
          <w:p w14:paraId="695ED1F8">
            <w:pPr>
              <w:pStyle w:val="35"/>
              <w:keepNext w:val="0"/>
              <w:keepLines w:val="0"/>
              <w:pageBreakBefore w:val="0"/>
              <w:widowControl w:val="0"/>
              <w:kinsoku/>
              <w:wordWrap/>
              <w:overflowPunct/>
              <w:topLinePunct w:val="0"/>
              <w:autoSpaceDE/>
              <w:autoSpaceDN/>
              <w:bidi w:val="0"/>
              <w:adjustRightInd/>
              <w:snapToGrid/>
              <w:spacing w:before="0" w:after="0"/>
              <w:ind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ascii="宋体" w:hAnsi="宋体" w:cs="宋体"/>
                <w:color w:val="auto"/>
                <w:sz w:val="24"/>
                <w:szCs w:val="24"/>
                <w:highlight w:val="none"/>
                <w:lang w:val="en-US" w:eastAsia="zh-CN"/>
              </w:rPr>
              <w:t>袋装化收集，</w:t>
            </w:r>
            <w:r>
              <w:rPr>
                <w:rFonts w:hint="eastAsia" w:ascii="Times New Roman" w:hAnsi="Times New Roman" w:eastAsia="宋体" w:cs="Times New Roman"/>
                <w:color w:val="auto"/>
                <w:sz w:val="24"/>
                <w:szCs w:val="24"/>
                <w:highlight w:val="none"/>
                <w:shd w:val="clear" w:color="auto" w:fill="auto"/>
                <w:lang w:val="en-US" w:eastAsia="zh-CN"/>
              </w:rPr>
              <w:t>送至环卫部门指定地点统一处理</w:t>
            </w:r>
            <w:r>
              <w:rPr>
                <w:rFonts w:hint="eastAsia" w:cs="Times New Roman"/>
                <w:color w:val="auto"/>
                <w:sz w:val="24"/>
                <w:szCs w:val="24"/>
                <w:highlight w:val="none"/>
                <w:shd w:val="clear" w:color="auto" w:fill="auto"/>
                <w:lang w:val="en-US" w:eastAsia="zh-CN"/>
              </w:rPr>
              <w:t>。</w:t>
            </w:r>
          </w:p>
        </w:tc>
      </w:tr>
      <w:tr w14:paraId="6D5B1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55" w:hRule="atLeast"/>
          <w:jc w:val="center"/>
        </w:trPr>
        <w:tc>
          <w:tcPr>
            <w:tcW w:w="1086" w:type="dxa"/>
            <w:vMerge w:val="continue"/>
            <w:tcBorders>
              <w:tl2br w:val="nil"/>
              <w:tr2bl w:val="nil"/>
            </w:tcBorders>
            <w:noWrap w:val="0"/>
            <w:vAlign w:val="center"/>
          </w:tcPr>
          <w:p w14:paraId="33D2B9EB">
            <w:pPr>
              <w:pStyle w:val="35"/>
              <w:keepNext w:val="0"/>
              <w:keepLines w:val="0"/>
              <w:pageBreakBefore w:val="0"/>
              <w:kinsoku/>
              <w:wordWrap/>
              <w:overflowPunct/>
              <w:topLinePunct w:val="0"/>
              <w:autoSpaceDE/>
              <w:autoSpaceDN/>
              <w:bidi w:val="0"/>
              <w:spacing w:before="0" w:after="0"/>
              <w:ind w:firstLine="0" w:firstLineChars="0"/>
              <w:rPr>
                <w:rFonts w:hint="eastAsia"/>
                <w:color w:val="auto"/>
                <w:sz w:val="24"/>
                <w:szCs w:val="24"/>
                <w:highlight w:val="none"/>
              </w:rPr>
            </w:pPr>
          </w:p>
        </w:tc>
        <w:tc>
          <w:tcPr>
            <w:tcW w:w="1346" w:type="dxa"/>
            <w:tcBorders>
              <w:tl2br w:val="nil"/>
              <w:tr2bl w:val="nil"/>
            </w:tcBorders>
            <w:noWrap w:val="0"/>
            <w:vAlign w:val="center"/>
          </w:tcPr>
          <w:p w14:paraId="2632C0BF">
            <w:pPr>
              <w:pStyle w:val="35"/>
              <w:keepNext w:val="0"/>
              <w:keepLines w:val="0"/>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危险废物</w:t>
            </w:r>
          </w:p>
        </w:tc>
        <w:tc>
          <w:tcPr>
            <w:tcW w:w="6639" w:type="dxa"/>
            <w:gridSpan w:val="3"/>
            <w:tcBorders>
              <w:tl2br w:val="nil"/>
              <w:tr2bl w:val="nil"/>
            </w:tcBorders>
            <w:noWrap w:val="0"/>
            <w:vAlign w:val="center"/>
          </w:tcPr>
          <w:p w14:paraId="5A2C9483">
            <w:pPr>
              <w:pStyle w:val="35"/>
              <w:keepNext w:val="0"/>
              <w:keepLines w:val="0"/>
              <w:pageBreakBefore w:val="0"/>
              <w:widowControl w:val="0"/>
              <w:kinsoku/>
              <w:wordWrap/>
              <w:overflowPunct/>
              <w:topLinePunct w:val="0"/>
              <w:autoSpaceDE/>
              <w:autoSpaceDN/>
              <w:bidi w:val="0"/>
              <w:adjustRightInd/>
              <w:snapToGrid/>
              <w:spacing w:before="0" w:after="0" w:line="400" w:lineRule="exact"/>
              <w:ind w:firstLine="0" w:firstLineChars="0"/>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本项目不设置维修车间和危废间。车辆维修保养委托附近专门维修厂进行，维修保养产生的废机油、废油桶等由汽车修理保养单位负责处理、处置。</w:t>
            </w:r>
          </w:p>
        </w:tc>
      </w:tr>
      <w:tr w14:paraId="6FF84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84" w:hRule="atLeast"/>
          <w:jc w:val="center"/>
        </w:trPr>
        <w:tc>
          <w:tcPr>
            <w:tcW w:w="1086" w:type="dxa"/>
            <w:tcBorders>
              <w:tl2br w:val="nil"/>
              <w:tr2bl w:val="nil"/>
            </w:tcBorders>
            <w:noWrap w:val="0"/>
            <w:vAlign w:val="center"/>
          </w:tcPr>
          <w:p w14:paraId="3D5C4E95">
            <w:pPr>
              <w:pStyle w:val="35"/>
              <w:keepNext w:val="0"/>
              <w:keepLines w:val="0"/>
              <w:pageBreakBefore w:val="0"/>
              <w:kinsoku/>
              <w:wordWrap/>
              <w:overflowPunct/>
              <w:topLinePunct w:val="0"/>
              <w:autoSpaceDE/>
              <w:autoSpaceDN/>
              <w:bidi w:val="0"/>
              <w:spacing w:before="0" w:after="0"/>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rPr>
              <w:t>土壤及地下水污染防治措施</w:t>
            </w:r>
          </w:p>
        </w:tc>
        <w:tc>
          <w:tcPr>
            <w:tcW w:w="7985" w:type="dxa"/>
            <w:gridSpan w:val="4"/>
            <w:tcBorders>
              <w:tl2br w:val="nil"/>
              <w:tr2bl w:val="nil"/>
            </w:tcBorders>
            <w:noWrap w:val="0"/>
            <w:vAlign w:val="center"/>
          </w:tcPr>
          <w:p w14:paraId="2113B01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val="en-US" w:eastAsia="zh-CN"/>
              </w:rPr>
              <w:t>参照</w:t>
            </w:r>
            <w:r>
              <w:rPr>
                <w:rFonts w:hint="eastAsia"/>
                <w:color w:val="auto"/>
                <w:highlight w:val="none"/>
                <w:lang w:eastAsia="zh-CN"/>
              </w:rPr>
              <w:t>《环境影响评价技术导则</w:t>
            </w:r>
            <w:r>
              <w:rPr>
                <w:rFonts w:hint="eastAsia"/>
                <w:color w:val="auto"/>
                <w:highlight w:val="none"/>
                <w:lang w:val="en-US" w:eastAsia="zh-CN"/>
              </w:rPr>
              <w:t xml:space="preserve"> </w:t>
            </w:r>
            <w:r>
              <w:rPr>
                <w:rFonts w:hint="eastAsia"/>
                <w:color w:val="auto"/>
                <w:highlight w:val="none"/>
                <w:lang w:eastAsia="zh-CN"/>
              </w:rPr>
              <w:t>地下水环境》（HJ610-2016）</w:t>
            </w:r>
            <w:r>
              <w:rPr>
                <w:rFonts w:hint="eastAsia"/>
                <w:color w:val="auto"/>
                <w:highlight w:val="none"/>
                <w:lang w:val="en-US" w:eastAsia="zh-CN"/>
              </w:rPr>
              <w:t>中</w:t>
            </w:r>
            <w:r>
              <w:rPr>
                <w:rFonts w:hint="eastAsia"/>
                <w:color w:val="auto"/>
                <w:highlight w:val="none"/>
                <w:lang w:eastAsia="zh-CN"/>
              </w:rPr>
              <w:t>关于地下水环境保护措施与对策基本要求，</w:t>
            </w:r>
            <w:r>
              <w:rPr>
                <w:rFonts w:hint="eastAsia"/>
                <w:color w:val="auto"/>
                <w:highlight w:val="none"/>
                <w:lang w:val="en-US" w:eastAsia="zh-CN"/>
              </w:rPr>
              <w:t>并</w:t>
            </w:r>
            <w:r>
              <w:rPr>
                <w:rFonts w:hint="eastAsia"/>
                <w:color w:val="auto"/>
                <w:highlight w:val="none"/>
                <w:lang w:eastAsia="zh-CN"/>
              </w:rPr>
              <w:t>结合本项目工程类型及污染源分布，提出以下防治原则：</w:t>
            </w:r>
          </w:p>
          <w:p w14:paraId="391D6D7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）控制进场垃圾的含水率；严格控制进场废物的种类；</w:t>
            </w:r>
          </w:p>
          <w:p w14:paraId="2E8D185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）实行雨污分流、污污分流并设置雨水集排水系统，以收集、排出汇水区内可能流向堆填（砌）区的雨水、上游雨水及未堆填（砌）区域内未与建筑垃圾接触的雨水；</w:t>
            </w:r>
          </w:p>
          <w:p w14:paraId="1BE1A4A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）严格按照相关规范设计要求完善堆填（砌）场周围的盖板暗涵等截流设施，尽可能减小堆填（砌）区的汇水面积，进而使进入到堆填（砌）场堆填（砌）区的大气降水量减少到最小；</w:t>
            </w:r>
          </w:p>
          <w:p w14:paraId="3A08258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）禁止不能进入建筑垃圾堆填（砌）场的物质进场。</w:t>
            </w:r>
          </w:p>
          <w:p w14:paraId="32094BF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（5）一般防渗区：洗车平台：设置为地下式抗渗混凝土结构，渗透系数</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w:t>
            </w:r>
            <w:r>
              <w:rPr>
                <w:rFonts w:hint="default"/>
                <w:color w:val="auto"/>
                <w:highlight w:val="none"/>
                <w:lang w:val="en-US" w:eastAsia="zh-CN"/>
              </w:rPr>
              <w:t>10</w:t>
            </w:r>
            <w:r>
              <w:rPr>
                <w:rFonts w:hint="default"/>
                <w:color w:val="auto"/>
                <w:highlight w:val="none"/>
                <w:vertAlign w:val="superscript"/>
                <w:lang w:val="en-US" w:eastAsia="zh-CN"/>
              </w:rPr>
              <w:t>-7</w:t>
            </w:r>
            <w:r>
              <w:rPr>
                <w:rFonts w:hint="default"/>
                <w:color w:val="auto"/>
                <w:highlight w:val="none"/>
                <w:lang w:val="en-US" w:eastAsia="zh-CN"/>
              </w:rPr>
              <w:t>cm/s</w:t>
            </w:r>
            <w:r>
              <w:rPr>
                <w:rFonts w:hint="eastAsia"/>
                <w:color w:val="auto"/>
                <w:highlight w:val="none"/>
                <w:lang w:val="en-US" w:eastAsia="zh-CN"/>
              </w:rPr>
              <w:t>；堆填（砌）区底部及边坡：对坑体内底部及边坡进行清表，原地基整平、压实（压实系数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0.9）后，采用改性压实黏土类衬里作为防渗结构，饱和渗透系数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-7</w:t>
            </w:r>
            <w:r>
              <w:rPr>
                <w:rFonts w:hint="eastAsia"/>
                <w:color w:val="auto"/>
                <w:highlight w:val="none"/>
                <w:lang w:val="en-US" w:eastAsia="zh-CN"/>
              </w:rPr>
              <w:t>cm/s；场区截洪沟：采用浆砌块石砌筑，沟底铺设厚度</w:t>
            </w:r>
            <w:r>
              <w:rPr>
                <w:rFonts w:hint="default"/>
                <w:color w:val="auto"/>
                <w:highlight w:val="none"/>
                <w:lang w:val="en-US" w:eastAsia="zh-CN"/>
              </w:rPr>
              <w:t>15</w:t>
            </w:r>
            <w:r>
              <w:rPr>
                <w:rFonts w:hint="eastAsia"/>
                <w:color w:val="auto"/>
                <w:highlight w:val="none"/>
                <w:lang w:val="en-US" w:eastAsia="zh-CN"/>
              </w:rPr>
              <w:t>厘米的</w:t>
            </w:r>
            <w:r>
              <w:rPr>
                <w:rFonts w:hint="default"/>
                <w:color w:val="auto"/>
                <w:highlight w:val="none"/>
                <w:lang w:val="en-US" w:eastAsia="zh-CN"/>
              </w:rPr>
              <w:t>C15</w:t>
            </w:r>
            <w:r>
              <w:rPr>
                <w:rFonts w:hint="eastAsia"/>
                <w:color w:val="auto"/>
                <w:highlight w:val="none"/>
                <w:lang w:val="en-US" w:eastAsia="zh-CN"/>
              </w:rPr>
              <w:t>混凝土垫层；明渠为</w:t>
            </w:r>
            <w:r>
              <w:rPr>
                <w:rFonts w:hint="default"/>
                <w:color w:val="auto"/>
                <w:highlight w:val="none"/>
                <w:lang w:val="en-US" w:eastAsia="zh-CN"/>
              </w:rPr>
              <w:t>370</w:t>
            </w:r>
            <w:r>
              <w:rPr>
                <w:rFonts w:hint="eastAsia"/>
                <w:color w:val="auto"/>
                <w:highlight w:val="none"/>
                <w:lang w:val="en-US" w:eastAsia="zh-CN"/>
              </w:rPr>
              <w:t>厚砖砌墙；雨水沉砂池和沉淀池均采用浆砌石砌筑，确保渗透系数</w:t>
            </w:r>
            <w:r>
              <w:rPr>
                <w:rFonts w:hint="default" w:ascii="Times New Roman" w:hAnsi="Times New Roman" w:cs="Times New Roman"/>
                <w:color w:val="auto"/>
                <w:highlight w:val="none"/>
                <w:lang w:val="en-US" w:eastAsia="zh-CN"/>
              </w:rPr>
              <w:t>≤</w:t>
            </w:r>
            <w:r>
              <w:rPr>
                <w:rFonts w:hint="eastAsia"/>
                <w:color w:val="auto"/>
                <w:highlight w:val="none"/>
                <w:lang w:val="en-US" w:eastAsia="zh-CN"/>
              </w:rPr>
              <w:t>1.0</w:t>
            </w:r>
            <w:r>
              <w:rPr>
                <w:rFonts w:hint="default"/>
                <w:color w:val="auto"/>
                <w:highlight w:val="none"/>
                <w:lang w:val="en-US" w:eastAsia="zh-CN"/>
              </w:rPr>
              <w:t>×</w:t>
            </w:r>
            <w:r>
              <w:rPr>
                <w:rFonts w:hint="eastAsia"/>
                <w:color w:val="auto"/>
                <w:highlight w:val="none"/>
                <w:lang w:val="en-US" w:eastAsia="zh-CN"/>
              </w:rPr>
              <w:t>10</w:t>
            </w:r>
            <w:r>
              <w:rPr>
                <w:rFonts w:hint="eastAsia"/>
                <w:color w:val="auto"/>
                <w:highlight w:val="none"/>
                <w:vertAlign w:val="superscript"/>
                <w:lang w:val="en-US" w:eastAsia="zh-CN"/>
              </w:rPr>
              <w:t>-7</w:t>
            </w:r>
            <w:r>
              <w:rPr>
                <w:rFonts w:hint="eastAsia"/>
                <w:color w:val="auto"/>
                <w:highlight w:val="none"/>
                <w:lang w:val="en-US" w:eastAsia="zh-CN"/>
              </w:rPr>
              <w:t>cm/s，集水管采用</w:t>
            </w:r>
            <w:r>
              <w:rPr>
                <w:rFonts w:hint="default"/>
                <w:color w:val="auto"/>
                <w:highlight w:val="none"/>
                <w:lang w:val="en-US" w:eastAsia="zh-CN"/>
              </w:rPr>
              <w:t>HDPE穿孔花管</w:t>
            </w:r>
            <w:r>
              <w:rPr>
                <w:rFonts w:hint="eastAsia"/>
                <w:color w:val="auto"/>
                <w:highlight w:val="none"/>
                <w:lang w:val="en-US" w:eastAsia="zh-CN"/>
              </w:rPr>
              <w:t>。</w:t>
            </w:r>
          </w:p>
          <w:p w14:paraId="0D1755F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highlight w:val="none"/>
                <w:lang w:val="en-US" w:eastAsia="zh-CN"/>
              </w:rPr>
            </w:pPr>
            <w:r>
              <w:rPr>
                <w:rFonts w:hint="eastAsia"/>
                <w:color w:val="auto"/>
                <w:highlight w:val="none"/>
                <w:lang w:val="en-US" w:eastAsia="zh-CN"/>
              </w:rPr>
              <w:t>（6）办公区及厂区地面为简单防渗区，地面非绿即硬。</w:t>
            </w:r>
          </w:p>
          <w:p w14:paraId="4F24375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eastAsia="宋体"/>
                <w:color w:val="auto"/>
                <w:sz w:val="24"/>
                <w:szCs w:val="24"/>
                <w:highlight w:val="none"/>
                <w:lang w:val="en-US" w:eastAsia="zh-CN"/>
              </w:rPr>
            </w:pPr>
            <w:r>
              <w:rPr>
                <w:rFonts w:hint="eastAsia"/>
                <w:color w:val="auto"/>
                <w:highlight w:val="none"/>
                <w:lang w:val="en-US" w:eastAsia="zh-CN"/>
              </w:rPr>
              <w:t>（7）堆填（砌）</w:t>
            </w:r>
            <w:r>
              <w:rPr>
                <w:rFonts w:hint="default"/>
                <w:color w:val="auto"/>
                <w:highlight w:val="none"/>
                <w:lang w:val="en-US" w:eastAsia="zh-CN"/>
              </w:rPr>
              <w:t>场封场覆盖结构各层由下至上依次为</w:t>
            </w:r>
            <w:r>
              <w:rPr>
                <w:rFonts w:hint="eastAsia"/>
                <w:color w:val="auto"/>
                <w:highlight w:val="none"/>
                <w:lang w:val="en-US" w:eastAsia="zh-CN"/>
              </w:rPr>
              <w:t>：</w:t>
            </w:r>
            <w:r>
              <w:rPr>
                <w:rFonts w:hint="default"/>
                <w:color w:val="auto"/>
                <w:highlight w:val="none"/>
                <w:lang w:val="en-US" w:eastAsia="zh-CN"/>
              </w:rPr>
              <w:t>防渗层、排水层与植被层</w:t>
            </w:r>
            <w:r>
              <w:rPr>
                <w:rFonts w:hint="eastAsia"/>
                <w:color w:val="auto"/>
                <w:highlight w:val="none"/>
                <w:lang w:val="en-US" w:eastAsia="zh-CN"/>
              </w:rPr>
              <w:t>。</w:t>
            </w:r>
          </w:p>
        </w:tc>
      </w:tr>
      <w:tr w14:paraId="4F505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15" w:hRule="atLeast"/>
          <w:jc w:val="center"/>
        </w:trPr>
        <w:tc>
          <w:tcPr>
            <w:tcW w:w="1086" w:type="dxa"/>
            <w:tcBorders>
              <w:tl2br w:val="nil"/>
              <w:tr2bl w:val="nil"/>
            </w:tcBorders>
            <w:noWrap w:val="0"/>
            <w:vAlign w:val="center"/>
          </w:tcPr>
          <w:p w14:paraId="46D45210">
            <w:pPr>
              <w:pStyle w:val="35"/>
              <w:keepNext w:val="0"/>
              <w:keepLines w:val="0"/>
              <w:pageBreakBefore w:val="0"/>
              <w:kinsoku/>
              <w:wordWrap/>
              <w:overflowPunct/>
              <w:topLinePunct w:val="0"/>
              <w:autoSpaceDE/>
              <w:autoSpaceDN/>
              <w:bidi w:val="0"/>
              <w:spacing w:before="0" w:after="0"/>
              <w:ind w:firstLine="0" w:firstLineChars="0"/>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rPr>
              <w:t>生态保护措施</w:t>
            </w:r>
          </w:p>
        </w:tc>
        <w:tc>
          <w:tcPr>
            <w:tcW w:w="7985" w:type="dxa"/>
            <w:gridSpan w:val="4"/>
            <w:tcBorders>
              <w:tl2br w:val="nil"/>
              <w:tr2bl w:val="nil"/>
            </w:tcBorders>
            <w:noWrap w:val="0"/>
            <w:vAlign w:val="center"/>
          </w:tcPr>
          <w:p w14:paraId="0425308A">
            <w:pPr>
              <w:bidi w:val="0"/>
              <w:rPr>
                <w:rFonts w:hint="eastAsia"/>
                <w:color w:val="auto"/>
                <w:highlight w:val="none"/>
                <w:lang w:eastAsia="zh-CN"/>
              </w:rPr>
            </w:pPr>
            <w:r>
              <w:rPr>
                <w:rFonts w:hint="eastAsia"/>
                <w:color w:val="auto"/>
                <w:highlight w:val="none"/>
                <w:lang w:eastAsia="zh-CN"/>
              </w:rPr>
              <w:t>堆填（砌）场达到堆填高度后进行阶段性封场，</w:t>
            </w:r>
            <w:r>
              <w:rPr>
                <w:rFonts w:hint="eastAsia"/>
                <w:color w:val="auto"/>
                <w:highlight w:val="none"/>
                <w:lang w:val="en-US" w:eastAsia="zh-CN"/>
              </w:rPr>
              <w:t>按照</w:t>
            </w:r>
            <w:r>
              <w:rPr>
                <w:rFonts w:hint="eastAsia"/>
                <w:b w:val="0"/>
                <w:bCs w:val="0"/>
                <w:color w:val="auto"/>
                <w:highlight w:val="none"/>
                <w:lang w:val="en-US" w:eastAsia="zh-CN"/>
              </w:rPr>
              <w:t>《建筑垃圾堆砌地建设标准》（DB13（J）T8464-2022）的要求进行，</w:t>
            </w:r>
            <w:r>
              <w:rPr>
                <w:rFonts w:hint="eastAsia"/>
                <w:color w:val="auto"/>
                <w:highlight w:val="none"/>
                <w:lang w:eastAsia="zh-CN"/>
              </w:rPr>
              <w:t>封场时从下到上依次为：建筑垃圾层、防渗层、排水层、植被层。</w:t>
            </w:r>
          </w:p>
          <w:p w14:paraId="43327765">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both"/>
              <w:textAlignment w:val="auto"/>
              <w:rPr>
                <w:rFonts w:hint="eastAsia" w:ascii="Times New Roman" w:hAnsi="Times New Roman"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防渗层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采用黏土层，采用黏土层的渗透系数不大于1</w:t>
            </w:r>
            <w:r>
              <w:rPr>
                <w:rFonts w:hint="eastAsia" w:cs="Times New Roman"/>
                <w:color w:val="auto"/>
                <w:kern w:val="1"/>
                <w:sz w:val="24"/>
                <w:szCs w:val="24"/>
                <w:highlight w:val="none"/>
                <w:lang w:val="en-US" w:eastAsia="zh-CN" w:bidi="ar-SA"/>
              </w:rPr>
              <w:t>.0</w:t>
            </w:r>
            <w:r>
              <w:rPr>
                <w:rFonts w:hint="default" w:ascii="Times New Roman" w:hAnsi="Times New Roman" w:eastAsia="宋体" w:cs="Times New Roman"/>
                <w:color w:val="auto"/>
                <w:kern w:val="1"/>
                <w:sz w:val="24"/>
                <w:szCs w:val="24"/>
                <w:highlight w:val="none"/>
                <w:lang w:val="en-US" w:eastAsia="zh-CN" w:bidi="ar-SA"/>
              </w:rPr>
              <w:t>×10</w:t>
            </w:r>
            <w:r>
              <w:rPr>
                <w:rFonts w:hint="default" w:ascii="Times New Roman" w:hAnsi="Times New Roman" w:eastAsia="宋体" w:cs="Times New Roman"/>
                <w:color w:val="auto"/>
                <w:kern w:val="1"/>
                <w:sz w:val="24"/>
                <w:szCs w:val="24"/>
                <w:highlight w:val="none"/>
                <w:vertAlign w:val="superscript"/>
                <w:lang w:val="en-US" w:eastAsia="zh-CN" w:bidi="ar-SA"/>
              </w:rPr>
              <w:t>-7</w:t>
            </w:r>
            <w:r>
              <w:rPr>
                <w:rFonts w:hint="default" w:ascii="Times New Roman" w:hAnsi="Times New Roman" w:eastAsia="宋体" w:cs="Times New Roman"/>
                <w:color w:val="auto"/>
                <w:kern w:val="1"/>
                <w:sz w:val="24"/>
                <w:szCs w:val="24"/>
                <w:highlight w:val="none"/>
                <w:lang w:val="en-US" w:eastAsia="zh-CN" w:bidi="ar-SA"/>
              </w:rPr>
              <w:t>cm/s，厚度为30cm</w:t>
            </w:r>
            <w:r>
              <w:rPr>
                <w:rFonts w:hint="eastAsia" w:ascii="Times New Roman" w:hAnsi="Times New Roman" w:cs="Times New Roman"/>
                <w:color w:val="auto"/>
                <w:kern w:val="1"/>
                <w:sz w:val="24"/>
                <w:szCs w:val="24"/>
                <w:highlight w:val="none"/>
                <w:lang w:val="en-US" w:eastAsia="zh-CN" w:bidi="ar-SA"/>
              </w:rPr>
              <w:t>；</w:t>
            </w:r>
          </w:p>
          <w:p w14:paraId="67A52CD5">
            <w:pPr>
              <w:pStyle w:val="35"/>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480" w:firstLineChars="200"/>
              <w:jc w:val="left"/>
              <w:textAlignment w:val="auto"/>
              <w:rPr>
                <w:rFonts w:hint="default" w:ascii="Times New Roman" w:hAnsi="Times New Roman" w:eastAsia="宋体" w:cs="Times New Roman"/>
                <w:color w:val="auto"/>
                <w:kern w:val="1"/>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排水层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采用卵石，厚度为30cm</w:t>
            </w:r>
            <w:r>
              <w:rPr>
                <w:rFonts w:hint="eastAsia" w:ascii="Times New Roman" w:hAnsi="Times New Roman" w:cs="Times New Roman"/>
                <w:color w:val="auto"/>
                <w:kern w:val="1"/>
                <w:sz w:val="24"/>
                <w:szCs w:val="24"/>
                <w:highlight w:val="none"/>
                <w:lang w:val="en-US" w:eastAsia="zh-CN" w:bidi="ar-SA"/>
              </w:rPr>
              <w:t>；边坡宜采用土工复合排水网，厚度不应小于5mm</w:t>
            </w:r>
            <w:r>
              <w:rPr>
                <w:rFonts w:hint="eastAsia" w:cs="Times New Roman"/>
                <w:color w:val="auto"/>
                <w:kern w:val="1"/>
                <w:sz w:val="24"/>
                <w:szCs w:val="24"/>
                <w:highlight w:val="none"/>
                <w:lang w:val="en-US" w:eastAsia="zh-CN" w:bidi="ar-SA"/>
              </w:rPr>
              <w:t>；</w:t>
            </w:r>
          </w:p>
          <w:p w14:paraId="42F1EED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1"/>
                <w:sz w:val="24"/>
                <w:szCs w:val="24"/>
                <w:highlight w:val="none"/>
                <w:lang w:val="en-US" w:eastAsia="zh-CN" w:bidi="ar-SA"/>
              </w:rPr>
              <w:t>植被层</w:t>
            </w:r>
            <w:r>
              <w:rPr>
                <w:rFonts w:hint="eastAsia" w:ascii="Times New Roman" w:hAnsi="Times New Roman" w:cs="Times New Roman"/>
                <w:color w:val="auto"/>
                <w:kern w:val="1"/>
                <w:sz w:val="24"/>
                <w:szCs w:val="24"/>
                <w:highlight w:val="none"/>
                <w:lang w:val="en-US" w:eastAsia="zh-CN" w:bidi="ar-SA"/>
              </w:rPr>
              <w:t>：</w:t>
            </w:r>
            <w:r>
              <w:rPr>
                <w:rFonts w:hint="default" w:ascii="Times New Roman" w:hAnsi="Times New Roman" w:eastAsia="宋体" w:cs="Times New Roman"/>
                <w:color w:val="auto"/>
                <w:kern w:val="1"/>
                <w:sz w:val="24"/>
                <w:szCs w:val="24"/>
                <w:highlight w:val="none"/>
                <w:lang w:val="en-US" w:eastAsia="zh-CN" w:bidi="ar-SA"/>
              </w:rPr>
              <w:t>采用自然土加表层营养土回填，自然土厚度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35cm，营养土厚度</w:t>
            </w:r>
            <w:r>
              <w:rPr>
                <w:rFonts w:hint="eastAsia" w:cs="Times New Roman"/>
                <w:color w:val="auto"/>
                <w:kern w:val="1"/>
                <w:sz w:val="24"/>
                <w:szCs w:val="24"/>
                <w:highlight w:val="none"/>
                <w:lang w:val="en-US" w:eastAsia="zh-CN" w:bidi="ar-SA"/>
              </w:rPr>
              <w:t>为</w:t>
            </w:r>
            <w:r>
              <w:rPr>
                <w:rFonts w:hint="default" w:ascii="Times New Roman" w:hAnsi="Times New Roman" w:eastAsia="宋体" w:cs="Times New Roman"/>
                <w:color w:val="auto"/>
                <w:kern w:val="1"/>
                <w:sz w:val="24"/>
                <w:szCs w:val="24"/>
                <w:highlight w:val="none"/>
                <w:lang w:val="en-US" w:eastAsia="zh-CN" w:bidi="ar-SA"/>
              </w:rPr>
              <w:t>15cm，植被层压实度</w:t>
            </w:r>
            <w:r>
              <w:rPr>
                <w:rFonts w:hint="eastAsia" w:cs="Times New Roman"/>
                <w:color w:val="auto"/>
                <w:kern w:val="1"/>
                <w:sz w:val="24"/>
                <w:szCs w:val="24"/>
                <w:highlight w:val="none"/>
                <w:lang w:val="en-US" w:eastAsia="zh-CN" w:bidi="ar-SA"/>
              </w:rPr>
              <w:t>大于</w:t>
            </w:r>
            <w:r>
              <w:rPr>
                <w:rFonts w:hint="default" w:ascii="Times New Roman" w:hAnsi="Times New Roman" w:eastAsia="宋体" w:cs="Times New Roman"/>
                <w:color w:val="auto"/>
                <w:kern w:val="1"/>
                <w:sz w:val="24"/>
                <w:szCs w:val="24"/>
                <w:highlight w:val="none"/>
                <w:lang w:val="en-US" w:eastAsia="zh-CN" w:bidi="ar-SA"/>
              </w:rPr>
              <w:t>80%</w:t>
            </w:r>
            <w:r>
              <w:rPr>
                <w:rFonts w:hint="eastAsia"/>
                <w:color w:val="auto"/>
                <w:highlight w:val="none"/>
                <w:lang w:eastAsia="zh-CN"/>
              </w:rPr>
              <w:t>。</w:t>
            </w:r>
          </w:p>
        </w:tc>
      </w:tr>
      <w:tr w14:paraId="1A086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086" w:type="dxa"/>
            <w:tcBorders>
              <w:tl2br w:val="nil"/>
              <w:tr2bl w:val="nil"/>
            </w:tcBorders>
            <w:noWrap w:val="0"/>
            <w:vAlign w:val="center"/>
          </w:tcPr>
          <w:p w14:paraId="45BC3EAF">
            <w:pPr>
              <w:pStyle w:val="35"/>
              <w:keepNext w:val="0"/>
              <w:keepLines w:val="0"/>
              <w:pageBreakBefore w:val="0"/>
              <w:kinsoku/>
              <w:wordWrap/>
              <w:overflowPunct/>
              <w:topLinePunct w:val="0"/>
              <w:autoSpaceDE/>
              <w:autoSpaceDN/>
              <w:bidi w:val="0"/>
              <w:spacing w:before="0" w:after="0"/>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rPr>
              <w:t>环境风险防范措施</w:t>
            </w:r>
          </w:p>
        </w:tc>
        <w:tc>
          <w:tcPr>
            <w:tcW w:w="7985" w:type="dxa"/>
            <w:gridSpan w:val="4"/>
            <w:tcBorders>
              <w:tl2br w:val="nil"/>
              <w:tr2bl w:val="nil"/>
            </w:tcBorders>
            <w:noWrap w:val="0"/>
            <w:vAlign w:val="center"/>
          </w:tcPr>
          <w:p w14:paraId="693CC7E8">
            <w:pPr>
              <w:pStyle w:val="52"/>
              <w:keepNext w:val="0"/>
              <w:keepLines w:val="0"/>
              <w:suppressLineNumbers w:val="0"/>
              <w:spacing w:before="0" w:beforeAutospacing="0" w:after="0" w:afterAutospacing="0"/>
              <w:ind w:left="0" w:right="0" w:firstLine="480"/>
              <w:rPr>
                <w:rFonts w:hint="default" w:ascii="Times New Roman" w:hAnsi="Times New Roman" w:eastAsia="宋体"/>
                <w:color w:val="auto"/>
                <w:kern w:val="2"/>
                <w:sz w:val="24"/>
                <w:szCs w:val="24"/>
                <w:highlight w:val="none"/>
                <w:lang w:val="en-US" w:eastAsia="zh-CN" w:bidi="ar-SA"/>
              </w:rPr>
            </w:pPr>
            <w:r>
              <w:rPr>
                <w:rFonts w:hint="eastAsia" w:eastAsia="宋体"/>
                <w:color w:val="auto"/>
                <w:kern w:val="2"/>
                <w:sz w:val="24"/>
                <w:szCs w:val="24"/>
                <w:highlight w:val="none"/>
                <w:lang w:val="en-US" w:eastAsia="zh-CN" w:bidi="ar-SA"/>
              </w:rPr>
              <w:t>（1）风险防范措施</w:t>
            </w:r>
          </w:p>
          <w:p w14:paraId="1DE9FE10">
            <w:pPr>
              <w:bidi w:val="0"/>
              <w:rPr>
                <w:rFonts w:hint="default"/>
                <w:color w:val="auto"/>
                <w:highlight w:val="none"/>
                <w:lang w:val="en-US" w:eastAsia="zh-CN"/>
              </w:rPr>
            </w:pPr>
            <w:r>
              <w:rPr>
                <w:rFonts w:hint="eastAsia"/>
                <w:color w:val="auto"/>
                <w:highlight w:val="none"/>
                <w:lang w:val="en-US" w:eastAsia="zh-CN"/>
              </w:rPr>
              <w:t>本项目润滑油、液压油仅存在于机械设备中，风险物质存在区域均</w:t>
            </w:r>
            <w:r>
              <w:rPr>
                <w:rFonts w:hint="default"/>
                <w:color w:val="auto"/>
                <w:highlight w:val="none"/>
                <w:lang w:val="en-US" w:eastAsia="zh-CN"/>
              </w:rPr>
              <w:t>配备较好的设备和相应的抢险设施</w:t>
            </w:r>
            <w:r>
              <w:rPr>
                <w:rFonts w:hint="eastAsia"/>
                <w:color w:val="auto"/>
                <w:highlight w:val="none"/>
                <w:lang w:val="en-US" w:eastAsia="zh-CN"/>
              </w:rPr>
              <w:t>，同时具</w:t>
            </w:r>
            <w:r>
              <w:rPr>
                <w:rFonts w:hint="default"/>
                <w:color w:val="auto"/>
                <w:highlight w:val="none"/>
                <w:lang w:val="en-US" w:eastAsia="zh-CN"/>
              </w:rPr>
              <w:t>有防扬散、防流失、防渗漏等防治措施</w:t>
            </w:r>
            <w:r>
              <w:rPr>
                <w:rFonts w:hint="eastAsia"/>
                <w:color w:val="auto"/>
                <w:highlight w:val="none"/>
                <w:lang w:val="en-US" w:eastAsia="zh-CN"/>
              </w:rPr>
              <w:t>。</w:t>
            </w:r>
          </w:p>
          <w:p w14:paraId="66537072">
            <w:pPr>
              <w:bidi w:val="0"/>
              <w:rPr>
                <w:rFonts w:hint="default"/>
                <w:color w:val="auto"/>
                <w:highlight w:val="none"/>
                <w:lang w:val="en-US" w:eastAsia="zh-CN"/>
              </w:rPr>
            </w:pPr>
            <w:r>
              <w:rPr>
                <w:rFonts w:hint="default"/>
                <w:color w:val="auto"/>
                <w:highlight w:val="none"/>
                <w:lang w:val="en-US" w:eastAsia="zh-CN"/>
              </w:rPr>
              <w:t>当发生事故时，为不使事故扩大，防止二次灾害的发生，要求及时抢险抢修，必须对各种险情进行事故前预测，保证抢险队伍的素质，遇险时应及时与当地消防部门取得联系，以获得有力支持。</w:t>
            </w:r>
          </w:p>
          <w:p w14:paraId="11BDF713">
            <w:pPr>
              <w:bidi w:val="0"/>
              <w:rPr>
                <w:rFonts w:hint="default"/>
                <w:color w:val="auto"/>
                <w:highlight w:val="none"/>
                <w:lang w:val="en-US" w:eastAsia="zh-CN"/>
              </w:rPr>
            </w:pPr>
            <w:r>
              <w:rPr>
                <w:rFonts w:hint="default"/>
                <w:color w:val="auto"/>
                <w:highlight w:val="none"/>
                <w:lang w:val="en-US" w:eastAsia="zh-CN"/>
              </w:rPr>
              <w:t>项目在运营中应确保正确操作和正常运行，在操作运行方面要求工作人员必须进行岗前专业培训，严格执行安全生产操作规程，进行安全性专业维护和保养，对安全设备进行定期校验，确保安全生产。同时建立夜间值班巡查制度、安全奖惩制度等。</w:t>
            </w:r>
          </w:p>
          <w:p w14:paraId="4E0A0F80">
            <w:pPr>
              <w:bidi w:val="0"/>
              <w:rPr>
                <w:rFonts w:hint="default"/>
                <w:color w:val="auto"/>
                <w:highlight w:val="none"/>
                <w:lang w:val="en-US" w:eastAsia="zh-CN"/>
              </w:rPr>
            </w:pPr>
            <w:r>
              <w:rPr>
                <w:rFonts w:hint="default"/>
                <w:color w:val="auto"/>
                <w:highlight w:val="none"/>
                <w:lang w:val="en-US" w:eastAsia="zh-CN"/>
              </w:rPr>
              <w:t>企业应建立健全防范制度，加强监督管理，规范操作，这类事故发生的概率处于可接受范围内。</w:t>
            </w:r>
          </w:p>
          <w:p w14:paraId="14354145">
            <w:pPr>
              <w:bidi w:val="0"/>
              <w:rPr>
                <w:rFonts w:hint="default"/>
                <w:color w:val="auto"/>
                <w:highlight w:val="none"/>
                <w:lang w:val="en-US" w:eastAsia="zh-CN"/>
              </w:rPr>
            </w:pPr>
            <w:r>
              <w:rPr>
                <w:rFonts w:hint="eastAsia"/>
                <w:color w:val="auto"/>
                <w:highlight w:val="none"/>
                <w:lang w:val="en-US" w:eastAsia="zh-CN"/>
              </w:rPr>
              <w:t>（2）</w:t>
            </w:r>
            <w:r>
              <w:rPr>
                <w:rFonts w:hint="default"/>
                <w:color w:val="auto"/>
                <w:highlight w:val="none"/>
                <w:lang w:val="en-US" w:eastAsia="zh-CN"/>
              </w:rPr>
              <w:t>应急措施</w:t>
            </w:r>
          </w:p>
          <w:p w14:paraId="70C207E2">
            <w:pPr>
              <w:bidi w:val="0"/>
              <w:rPr>
                <w:rFonts w:hint="default"/>
                <w:color w:val="auto"/>
                <w:highlight w:val="none"/>
                <w:lang w:val="en-US" w:eastAsia="zh-CN"/>
              </w:rPr>
            </w:pPr>
            <w:r>
              <w:rPr>
                <w:rFonts w:hint="eastAsia"/>
                <w:color w:val="auto"/>
                <w:highlight w:val="none"/>
                <w:lang w:val="en-US" w:eastAsia="zh-CN"/>
              </w:rPr>
              <w:t>润滑油、液压油等发生泄漏，通过工作人员或视频监控人员预警，根据现场情况将沙土沙袋、吸油毡、储油桶等运至事发现场进行现场环境应急处置，利用沙土沙袋先进行溢流的围堵，避免污染面积扩散，用吸附材料吸收泄漏液体，然后移至安全地区，能够有效防止事故扩大。一旦泄漏至场区外，企业应告知当地政府、生态环境局、环境保护监测站等部门进行处理。</w:t>
            </w:r>
          </w:p>
          <w:p w14:paraId="26A89F06">
            <w:pPr>
              <w:bidi w:val="0"/>
              <w:rPr>
                <w:rFonts w:hint="eastAsia" w:ascii="Times New Roman" w:hAnsi="Times New Roman" w:eastAsia="宋体"/>
                <w:color w:val="auto"/>
                <w:kern w:val="2"/>
                <w:sz w:val="24"/>
                <w:szCs w:val="24"/>
                <w:highlight w:val="none"/>
                <w:lang w:val="en-US" w:eastAsia="zh-CN" w:bidi="ar-SA"/>
              </w:rPr>
            </w:pPr>
            <w:r>
              <w:rPr>
                <w:rFonts w:hint="eastAsia"/>
                <w:color w:val="auto"/>
                <w:highlight w:val="none"/>
                <w:lang w:val="en-US" w:eastAsia="zh-CN"/>
              </w:rPr>
              <w:t>（3）编制突发环境事件应急预案。</w:t>
            </w:r>
          </w:p>
        </w:tc>
      </w:tr>
      <w:tr w14:paraId="0D4DC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4" w:hRule="atLeast"/>
          <w:jc w:val="center"/>
        </w:trPr>
        <w:tc>
          <w:tcPr>
            <w:tcW w:w="1086" w:type="dxa"/>
            <w:tcBorders>
              <w:tl2br w:val="nil"/>
              <w:tr2bl w:val="nil"/>
            </w:tcBorders>
            <w:noWrap w:val="0"/>
            <w:vAlign w:val="center"/>
          </w:tcPr>
          <w:p w14:paraId="516BB408">
            <w:pPr>
              <w:pStyle w:val="35"/>
              <w:keepNext w:val="0"/>
              <w:keepLines w:val="0"/>
              <w:pageBreakBefore w:val="0"/>
              <w:kinsoku/>
              <w:wordWrap/>
              <w:overflowPunct/>
              <w:topLinePunct w:val="0"/>
              <w:autoSpaceDE/>
              <w:autoSpaceDN/>
              <w:bidi w:val="0"/>
              <w:spacing w:before="0" w:after="0"/>
              <w:rPr>
                <w:rFonts w:hint="eastAsia" w:ascii="Times New Roman" w:hAnsi="Times New Roman" w:eastAsia="宋体" w:cs="Times New Roman"/>
                <w:color w:val="auto"/>
                <w:kern w:val="2"/>
                <w:sz w:val="24"/>
                <w:szCs w:val="24"/>
                <w:highlight w:val="none"/>
                <w:lang w:val="en-US" w:eastAsia="zh-CN" w:bidi="ar-SA"/>
              </w:rPr>
            </w:pPr>
            <w:r>
              <w:rPr>
                <w:rFonts w:hint="eastAsia"/>
                <w:color w:val="auto"/>
                <w:sz w:val="24"/>
                <w:szCs w:val="24"/>
                <w:highlight w:val="none"/>
              </w:rPr>
              <w:t>其他环境管理要求</w:t>
            </w:r>
          </w:p>
        </w:tc>
        <w:tc>
          <w:tcPr>
            <w:tcW w:w="7985" w:type="dxa"/>
            <w:gridSpan w:val="4"/>
            <w:tcBorders>
              <w:tl2br w:val="nil"/>
              <w:tr2bl w:val="nil"/>
            </w:tcBorders>
            <w:noWrap w:val="0"/>
            <w:vAlign w:val="center"/>
          </w:tcPr>
          <w:p w14:paraId="2DB1D9BE">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lang w:val="en-US" w:eastAsia="zh-CN"/>
              </w:rPr>
            </w:pPr>
            <w:r>
              <w:rPr>
                <w:rFonts w:hint="eastAsia"/>
                <w:color w:val="auto"/>
                <w:sz w:val="24"/>
                <w:szCs w:val="24"/>
                <w:highlight w:val="none"/>
                <w:lang w:val="en-US" w:eastAsia="zh-CN"/>
              </w:rPr>
              <w:t>1、环境管理及监测计划</w:t>
            </w:r>
          </w:p>
          <w:p w14:paraId="10A91338">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（1）</w:t>
            </w:r>
            <w:r>
              <w:rPr>
                <w:rFonts w:hint="default"/>
                <w:color w:val="auto"/>
                <w:sz w:val="24"/>
                <w:szCs w:val="24"/>
                <w:highlight w:val="none"/>
              </w:rPr>
              <w:t>环境管理措施</w:t>
            </w:r>
          </w:p>
          <w:p w14:paraId="3E04220B">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本项目实行厂长主管环保工作的领导体制，全面负责环保和安全工作。</w:t>
            </w:r>
          </w:p>
          <w:p w14:paraId="29089698">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①机构组成</w:t>
            </w:r>
          </w:p>
          <w:p w14:paraId="4D33B1FF">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该厂实行厂长负责主管环保工作的领导体制。</w:t>
            </w:r>
          </w:p>
          <w:p w14:paraId="35910DCB">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②机构职责</w:t>
            </w:r>
          </w:p>
          <w:p w14:paraId="13B127A0">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a.</w:t>
            </w:r>
            <w:r>
              <w:rPr>
                <w:rFonts w:hint="default"/>
                <w:color w:val="auto"/>
                <w:sz w:val="24"/>
                <w:szCs w:val="24"/>
                <w:highlight w:val="none"/>
              </w:rPr>
              <w:t>贯彻执行环境保护法规及环境保护标准；</w:t>
            </w:r>
          </w:p>
          <w:p w14:paraId="35CF11AE">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b.</w:t>
            </w:r>
            <w:r>
              <w:rPr>
                <w:rFonts w:hint="default"/>
                <w:color w:val="auto"/>
                <w:sz w:val="24"/>
                <w:szCs w:val="24"/>
                <w:highlight w:val="none"/>
              </w:rPr>
              <w:t>建立完善的本企业环境保护管理制度，经常监督检查车间执行环保法规情况；</w:t>
            </w:r>
          </w:p>
          <w:p w14:paraId="0BC8DD50">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c.</w:t>
            </w:r>
            <w:r>
              <w:rPr>
                <w:rFonts w:hint="default"/>
                <w:color w:val="auto"/>
                <w:sz w:val="24"/>
                <w:szCs w:val="24"/>
                <w:highlight w:val="none"/>
              </w:rPr>
              <w:t>搞好环境保护教育和宣传，提高职工的环境保护意识；</w:t>
            </w:r>
          </w:p>
          <w:p w14:paraId="26901050">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d.</w:t>
            </w:r>
            <w:r>
              <w:rPr>
                <w:rFonts w:hint="default"/>
                <w:color w:val="auto"/>
                <w:sz w:val="24"/>
                <w:szCs w:val="24"/>
                <w:highlight w:val="none"/>
              </w:rPr>
              <w:t>组织对基层环保员的培训，提高工作素质；</w:t>
            </w:r>
          </w:p>
          <w:p w14:paraId="4A5093BB">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e.</w:t>
            </w:r>
            <w:r>
              <w:rPr>
                <w:rFonts w:hint="default"/>
                <w:color w:val="auto"/>
                <w:sz w:val="24"/>
                <w:szCs w:val="24"/>
                <w:highlight w:val="none"/>
              </w:rPr>
              <w:t>定时考核和统计，以保证各项环保设施常年处于良好运行状态，确保全厂污染物排放达到国家排放标准或总量控制指标。</w:t>
            </w:r>
          </w:p>
          <w:p w14:paraId="1627B731">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default"/>
                <w:color w:val="auto"/>
                <w:sz w:val="24"/>
                <w:szCs w:val="24"/>
                <w:highlight w:val="none"/>
              </w:rPr>
              <w:t>监测制度</w:t>
            </w:r>
          </w:p>
          <w:p w14:paraId="0AF2A212">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环境监测是环境保护的基础，是进行污染源治理及环保设施运行管理的依据，因而企业应定期对废气、废水、噪声等环保设施运行情况进行监测。</w:t>
            </w:r>
          </w:p>
          <w:p w14:paraId="2EA6C09B">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default"/>
                <w:color w:val="auto"/>
                <w:sz w:val="24"/>
                <w:szCs w:val="24"/>
                <w:highlight w:val="none"/>
              </w:rPr>
              <w:t>通过对项目运行中环保设施进行监控，掌握废气、</w:t>
            </w:r>
            <w:r>
              <w:rPr>
                <w:rFonts w:hint="eastAsia"/>
                <w:color w:val="auto"/>
                <w:sz w:val="24"/>
                <w:szCs w:val="24"/>
                <w:highlight w:val="none"/>
                <w:lang w:val="en-US" w:eastAsia="zh-CN"/>
              </w:rPr>
              <w:t>废水、</w:t>
            </w:r>
            <w:r>
              <w:rPr>
                <w:rFonts w:hint="default"/>
                <w:color w:val="auto"/>
                <w:sz w:val="24"/>
                <w:szCs w:val="24"/>
                <w:highlight w:val="none"/>
              </w:rPr>
              <w:t>噪声等污染源排放是否符合国家或地方排放标准的要求，做到达标排放，同时对废气、</w:t>
            </w:r>
            <w:r>
              <w:rPr>
                <w:rFonts w:hint="eastAsia"/>
                <w:color w:val="auto"/>
                <w:sz w:val="24"/>
                <w:szCs w:val="24"/>
                <w:highlight w:val="none"/>
                <w:lang w:val="en-US" w:eastAsia="zh-CN"/>
              </w:rPr>
              <w:t>废水、</w:t>
            </w:r>
            <w:r>
              <w:rPr>
                <w:rFonts w:hint="default"/>
                <w:color w:val="auto"/>
                <w:sz w:val="24"/>
                <w:szCs w:val="24"/>
                <w:highlight w:val="none"/>
              </w:rPr>
              <w:t>固体废物及噪声防治设施进行监督检查，保证正常运行。</w:t>
            </w:r>
          </w:p>
          <w:p w14:paraId="135700D1">
            <w:pPr>
              <w:pStyle w:val="35"/>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jc w:val="left"/>
              <w:textAlignment w:val="auto"/>
              <w:rPr>
                <w:rFonts w:hint="default"/>
                <w:color w:val="auto"/>
                <w:sz w:val="24"/>
                <w:szCs w:val="24"/>
                <w:highlight w:val="none"/>
              </w:rPr>
            </w:pPr>
            <w:r>
              <w:rPr>
                <w:rFonts w:hint="eastAsia"/>
                <w:color w:val="auto"/>
                <w:sz w:val="24"/>
                <w:szCs w:val="24"/>
                <w:highlight w:val="none"/>
                <w:lang w:val="en-US" w:eastAsia="zh-CN"/>
              </w:rPr>
              <w:t>（3）</w:t>
            </w:r>
            <w:r>
              <w:rPr>
                <w:rFonts w:hint="default"/>
                <w:color w:val="auto"/>
                <w:sz w:val="24"/>
                <w:szCs w:val="24"/>
                <w:highlight w:val="none"/>
              </w:rPr>
              <w:t>环境监测机构及设备配置</w:t>
            </w:r>
          </w:p>
          <w:p w14:paraId="21BF065E">
            <w:pPr>
              <w:pStyle w:val="11"/>
              <w:keepNext w:val="0"/>
              <w:keepLines w:val="0"/>
              <w:pageBreakBefore w:val="0"/>
              <w:widowControl w:val="0"/>
              <w:kinsoku/>
              <w:wordWrap/>
              <w:overflowPunct/>
              <w:topLinePunct w:val="0"/>
              <w:autoSpaceDE/>
              <w:autoSpaceDN/>
              <w:bidi w:val="0"/>
              <w:adjustRightInd/>
              <w:snapToGrid/>
              <w:jc w:val="both"/>
              <w:textAlignment w:val="auto"/>
              <w:rPr>
                <w:rFonts w:hint="default"/>
                <w:color w:val="auto"/>
                <w:sz w:val="24"/>
                <w:szCs w:val="24"/>
                <w:highlight w:val="none"/>
              </w:rPr>
            </w:pPr>
            <w:r>
              <w:rPr>
                <w:rFonts w:hint="default"/>
                <w:color w:val="auto"/>
                <w:sz w:val="24"/>
                <w:szCs w:val="24"/>
                <w:highlight w:val="none"/>
              </w:rPr>
              <w:t>环境监测是环境保护的基础，是进行污染治理和监督管理的依据。根据</w:t>
            </w:r>
            <w:r>
              <w:rPr>
                <w:rFonts w:hint="default" w:ascii="Times New Roman" w:hAnsi="Times New Roman" w:cs="Times New Roman"/>
                <w:color w:val="auto"/>
                <w:sz w:val="24"/>
                <w:szCs w:val="24"/>
                <w:highlight w:val="none"/>
              </w:rPr>
              <w:t>《排污单位自行监测技术指南 总则》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HJ819-2017</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排污许可证申请与核发技术规范 工业噪声</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HJ1301-2023</w:t>
            </w:r>
            <w:r>
              <w:rPr>
                <w:rFonts w:hint="eastAsia" w:ascii="Times New Roman" w:hAnsi="Times New Roman" w:cs="Times New Roman"/>
                <w:color w:val="auto"/>
                <w:sz w:val="24"/>
                <w:szCs w:val="24"/>
                <w:highlight w:val="none"/>
                <w:lang w:eastAsia="zh-CN"/>
              </w:rPr>
              <w:t>）</w:t>
            </w:r>
            <w:r>
              <w:rPr>
                <w:rFonts w:hint="default"/>
                <w:color w:val="auto"/>
                <w:sz w:val="24"/>
                <w:szCs w:val="24"/>
                <w:highlight w:val="none"/>
              </w:rPr>
              <w:t>要求，本评价建议企业环境监测工作委托当地有资质的环境监测机构承担。</w:t>
            </w:r>
          </w:p>
          <w:p w14:paraId="312080CF">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rPr>
            </w:pPr>
            <w:r>
              <w:rPr>
                <w:rFonts w:hint="eastAsia"/>
                <w:color w:val="auto"/>
                <w:sz w:val="24"/>
                <w:szCs w:val="24"/>
                <w:highlight w:val="none"/>
                <w:lang w:val="en-US" w:eastAsia="zh-CN"/>
              </w:rPr>
              <w:t>（4）</w:t>
            </w:r>
            <w:r>
              <w:rPr>
                <w:rFonts w:hint="default"/>
                <w:color w:val="auto"/>
                <w:sz w:val="24"/>
                <w:szCs w:val="24"/>
                <w:highlight w:val="none"/>
              </w:rPr>
              <w:t>监测计划</w:t>
            </w:r>
          </w:p>
          <w:p w14:paraId="5A1A4A58">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rPr>
            </w:pPr>
            <w:r>
              <w:rPr>
                <w:rFonts w:hint="default"/>
                <w:color w:val="auto"/>
                <w:sz w:val="24"/>
                <w:szCs w:val="24"/>
                <w:highlight w:val="none"/>
              </w:rPr>
              <w:t>根据污染物排放特征，依据国家颁布的环境质量标准、污染物排放标准及地方环保部门的要求，制定项目的监测计划和工作方案，监测工作可委托有资质的环境监测部门承担。</w:t>
            </w:r>
            <w:r>
              <w:rPr>
                <w:rFonts w:hint="eastAsia"/>
                <w:color w:val="auto"/>
                <w:sz w:val="24"/>
                <w:szCs w:val="24"/>
                <w:highlight w:val="none"/>
                <w:lang w:val="en-US" w:eastAsia="zh-CN"/>
              </w:rPr>
              <w:t>本项目</w:t>
            </w:r>
            <w:r>
              <w:rPr>
                <w:rFonts w:hint="default"/>
                <w:color w:val="auto"/>
                <w:sz w:val="24"/>
                <w:szCs w:val="24"/>
                <w:highlight w:val="none"/>
              </w:rPr>
              <w:t>投入运行后，各污染源</w:t>
            </w:r>
            <w:r>
              <w:rPr>
                <w:rFonts w:hint="eastAsia"/>
                <w:color w:val="auto"/>
                <w:sz w:val="24"/>
                <w:szCs w:val="24"/>
                <w:highlight w:val="none"/>
                <w:lang w:val="en-US" w:eastAsia="zh-CN"/>
              </w:rPr>
              <w:t>按</w:t>
            </w:r>
            <w:r>
              <w:rPr>
                <w:rFonts w:hint="default"/>
                <w:color w:val="auto"/>
                <w:sz w:val="24"/>
                <w:szCs w:val="24"/>
                <w:highlight w:val="none"/>
              </w:rPr>
              <w:t>监测计划</w:t>
            </w:r>
            <w:r>
              <w:rPr>
                <w:rFonts w:hint="eastAsia"/>
                <w:color w:val="auto"/>
                <w:sz w:val="24"/>
                <w:szCs w:val="24"/>
                <w:highlight w:val="none"/>
                <w:lang w:val="en-US" w:eastAsia="zh-CN"/>
              </w:rPr>
              <w:t>进行检测</w:t>
            </w:r>
            <w:r>
              <w:rPr>
                <w:rFonts w:hint="default"/>
                <w:color w:val="auto"/>
                <w:sz w:val="24"/>
                <w:szCs w:val="24"/>
                <w:highlight w:val="none"/>
              </w:rPr>
              <w:t>。</w:t>
            </w:r>
          </w:p>
          <w:p w14:paraId="0E03AF63">
            <w:pPr>
              <w:pStyle w:val="28"/>
              <w:keepNext w:val="0"/>
              <w:keepLines w:val="0"/>
              <w:pageBreakBefore w:val="0"/>
              <w:widowControl w:val="0"/>
              <w:kinsoku/>
              <w:wordWrap/>
              <w:overflowPunct/>
              <w:topLinePunct w:val="0"/>
              <w:autoSpaceDE/>
              <w:autoSpaceDN/>
              <w:bidi w:val="0"/>
              <w:adjustRightInd/>
              <w:snapToGrid/>
              <w:spacing w:before="0" w:after="0" w:line="480" w:lineRule="exact"/>
              <w:ind w:left="0" w:leftChars="0"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2、企业环境信息公开要求</w:t>
            </w:r>
          </w:p>
          <w:p w14:paraId="1889C6D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（1）企业环境信息公开</w:t>
            </w:r>
          </w:p>
          <w:p w14:paraId="7BB369F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根据《企业环境信息依法披露管理办法》（部令第24号）的规定，企业事业单位应当按照强制公开和自愿公开相结合的原则，及时、如实地公开其环境信息。如环境信息涉及国家秘密、商业秘密或者个人隐私的，依法可以不公开；法律、法规另有规定的，从其规定。</w:t>
            </w:r>
          </w:p>
          <w:p w14:paraId="62DB7BA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该企业应当建立健全本单位环境信息公开制度，指定机构负责本单位环境信息公开日常工作。</w:t>
            </w:r>
          </w:p>
          <w:p w14:paraId="3177BE6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（2）建设单位应当公开下列信息内容</w:t>
            </w:r>
          </w:p>
          <w:p w14:paraId="03DB5237">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该企业应当公开信息内容如下：</w:t>
            </w:r>
          </w:p>
          <w:p w14:paraId="150C5CA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①企业基本信息，包括企业生产和生态环境保护等方面的基础信息；</w:t>
            </w:r>
          </w:p>
          <w:p w14:paraId="2DA443B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②企业环境管理信息，包括生态环境行政许可、环境保护税、环境污染责任保险、环保信用评价等方面的信息；</w:t>
            </w:r>
          </w:p>
          <w:p w14:paraId="44980CD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③污染物产生、治理与排放信息，包括污染防治设施，污染物排放，有毒有害物质排放，工业固体废物和危险废物产生、贮存、流向、利用、处置，自行监测等方面的信息；</w:t>
            </w:r>
          </w:p>
          <w:p w14:paraId="1B878357">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④碳排放信息，包括排放量、排放设施等方面的信息；</w:t>
            </w:r>
          </w:p>
          <w:p w14:paraId="30188CB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⑤生态环境应急信息，包括突发环境事件应急预案、重污染天气应急响应等方面的信息；</w:t>
            </w:r>
          </w:p>
          <w:p w14:paraId="235B7CA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⑥生态环境违法信息；</w:t>
            </w:r>
          </w:p>
          <w:p w14:paraId="1BC133F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⑦本年度临时环境信息依法披露情况；</w:t>
            </w:r>
          </w:p>
          <w:p w14:paraId="5C1656B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⑧法律法规规定的其他环境信息。</w:t>
            </w:r>
          </w:p>
          <w:p w14:paraId="036F92A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（3）信息公开方式</w:t>
            </w:r>
          </w:p>
          <w:p w14:paraId="0CEFDFBC">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该企业采取信息公开栏方式公开相关信息。</w:t>
            </w:r>
          </w:p>
          <w:p w14:paraId="3E472FB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3、排污许可规范化管理要求</w:t>
            </w:r>
          </w:p>
          <w:p w14:paraId="4A3FC75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国家实行排污许可制度，环境保护部门通过对企事业单位发放排污许可证并依证监管实施排污许可制。实行排污许可管理的企业事业单位和其他生产经营者应当按照排污许可证的要求排放污染物；未取得排污许可证的，不得排放污染物。</w:t>
            </w:r>
          </w:p>
          <w:p w14:paraId="40C212F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根据《国务院办公厅关于印发控制污染物排放许可制实施方案的通知》（国办发[2016]81号）、《关于做好环境影响评价制度与排污许可制衔接相关工作的通知》（环办环评[2017]84号）和《固定污染源排污许可分类管理名录（2019 年版）》等相关文件要求，企业事业单位和其他生产经营者应该按照名录的规定，在实施时限内申请排污许可证。</w:t>
            </w:r>
          </w:p>
          <w:p w14:paraId="6CD0F2C4">
            <w:pPr>
              <w:bidi w:val="0"/>
              <w:rPr>
                <w:rFonts w:hint="default" w:ascii="Times New Roman" w:hAnsi="Times New Roman" w:cs="Times New Roman"/>
                <w:color w:val="auto"/>
                <w:sz w:val="24"/>
                <w:szCs w:val="24"/>
                <w:highlight w:val="none"/>
                <w:lang w:val="en-US" w:eastAsia="zh-CN"/>
              </w:rPr>
            </w:pPr>
            <w:r>
              <w:rPr>
                <w:rFonts w:hint="eastAsia"/>
                <w:color w:val="auto"/>
                <w:sz w:val="24"/>
                <w:szCs w:val="24"/>
                <w:highlight w:val="none"/>
                <w:lang w:val="en-US" w:eastAsia="zh-CN"/>
              </w:rPr>
              <w:t>本项目主要对建筑垃圾进行堆填（砌），不属于专业从事危险废物贮存、利用、处理、处置（含焚烧发电）的，专业从事一般工业固体废物贮存、处置（含焚烧发电）的，经对照《固定污染源排污许可分类管理名录（2019 年版）》，本项目不属于纳入排污许可名录管理的行业。</w:t>
            </w:r>
          </w:p>
          <w:p w14:paraId="69A48A2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4、环保竣工验收管理</w:t>
            </w:r>
          </w:p>
          <w:p w14:paraId="409B857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olor w:val="auto"/>
                <w:sz w:val="24"/>
                <w:szCs w:val="24"/>
                <w:highlight w:val="none"/>
                <w:lang w:val="en-US" w:eastAsia="zh-CN"/>
              </w:rPr>
            </w:pPr>
            <w:r>
              <w:rPr>
                <w:rFonts w:hint="eastAsia"/>
                <w:color w:val="auto"/>
                <w:sz w:val="24"/>
                <w:szCs w:val="24"/>
                <w:highlight w:val="none"/>
                <w:lang w:val="en-US" w:eastAsia="zh-CN"/>
              </w:rPr>
              <w:t>建设单位是建设项目竣工环境保护验收的责任主体，应当按照《建设项目竣工环境保护验收暂行办法》（国环规环评[2017]4号）、《建设项目竣工环境保护验收技术指南污染影响类》（生态环境部办公厅2018 年5月16日印发）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中弄虚作假。</w:t>
            </w:r>
          </w:p>
          <w:p w14:paraId="4FB341CC">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lang w:val="en-US"/>
              </w:rPr>
            </w:pPr>
            <w:r>
              <w:rPr>
                <w:rFonts w:hint="eastAsia"/>
                <w:color w:val="auto"/>
                <w:sz w:val="24"/>
                <w:szCs w:val="24"/>
                <w:highlight w:val="none"/>
                <w:lang w:val="en-US" w:eastAsia="zh-CN"/>
              </w:rPr>
              <w:t>5、</w:t>
            </w:r>
            <w:r>
              <w:rPr>
                <w:rFonts w:hint="default"/>
                <w:color w:val="auto"/>
                <w:sz w:val="24"/>
                <w:szCs w:val="24"/>
                <w:highlight w:val="none"/>
                <w:lang w:val="en-US"/>
              </w:rPr>
              <w:t>排污口规范化</w:t>
            </w:r>
          </w:p>
          <w:p w14:paraId="2E13DB84">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eastAsia="宋体"/>
                <w:color w:val="auto"/>
                <w:sz w:val="24"/>
                <w:szCs w:val="24"/>
                <w:highlight w:val="none"/>
                <w:lang w:val="en-US" w:eastAsia="zh-CN"/>
              </w:rPr>
            </w:pPr>
            <w:r>
              <w:rPr>
                <w:rFonts w:hint="default"/>
                <w:color w:val="auto"/>
                <w:sz w:val="24"/>
                <w:szCs w:val="24"/>
                <w:highlight w:val="none"/>
                <w:lang w:val="en-US"/>
              </w:rPr>
              <w:t>排污口是企业污染物进入受纳环境的通道，做好排污口管理是实施污染物总量控制和达标排放的基础工作之</w:t>
            </w:r>
            <w:r>
              <w:rPr>
                <w:rFonts w:hint="eastAsia"/>
                <w:color w:val="auto"/>
                <w:sz w:val="24"/>
                <w:szCs w:val="24"/>
                <w:highlight w:val="none"/>
                <w:lang w:val="en-US" w:eastAsia="zh-CN"/>
              </w:rPr>
              <w:t>一</w:t>
            </w:r>
            <w:r>
              <w:rPr>
                <w:rFonts w:hint="default"/>
                <w:color w:val="auto"/>
                <w:sz w:val="24"/>
                <w:szCs w:val="24"/>
                <w:highlight w:val="none"/>
                <w:lang w:val="en-US"/>
              </w:rPr>
              <w:t>，必须实行规范化管理。</w:t>
            </w:r>
            <w:r>
              <w:rPr>
                <w:rFonts w:hint="eastAsia"/>
                <w:color w:val="auto"/>
                <w:sz w:val="24"/>
                <w:szCs w:val="24"/>
                <w:highlight w:val="none"/>
                <w:lang w:val="en-US" w:eastAsia="zh-CN"/>
              </w:rPr>
              <w:t>本项目无废气、废水排放口。</w:t>
            </w:r>
          </w:p>
          <w:p w14:paraId="5BBB12B1">
            <w:pPr>
              <w:keepNext w:val="0"/>
              <w:keepLines w:val="0"/>
              <w:pageBreakBefore w:val="0"/>
              <w:widowControl w:val="0"/>
              <w:numPr>
                <w:ilvl w:val="0"/>
                <w:numId w:val="38"/>
              </w:numPr>
              <w:kinsoku/>
              <w:wordWrap/>
              <w:overflowPunct/>
              <w:topLinePunct w:val="0"/>
              <w:autoSpaceDE/>
              <w:autoSpaceDN/>
              <w:bidi w:val="0"/>
              <w:adjustRightInd/>
              <w:snapToGrid/>
              <w:spacing w:line="480" w:lineRule="exact"/>
              <w:ind w:left="0" w:leftChars="0" w:firstLine="480" w:firstLineChars="200"/>
              <w:textAlignment w:val="auto"/>
              <w:rPr>
                <w:rFonts w:hint="default"/>
                <w:color w:val="auto"/>
                <w:sz w:val="24"/>
                <w:szCs w:val="24"/>
                <w:highlight w:val="none"/>
                <w:lang w:val="en-US"/>
              </w:rPr>
            </w:pPr>
            <w:r>
              <w:rPr>
                <w:rFonts w:hint="default"/>
                <w:color w:val="auto"/>
                <w:sz w:val="24"/>
                <w:szCs w:val="24"/>
                <w:highlight w:val="none"/>
                <w:lang w:val="en-US"/>
              </w:rPr>
              <w:t>噪声排污口规范化：须按《工业企业厂界环境噪声排放标准》（GB12348-2008）的规定，设置环境噪声监测点，并在该处附近醒目处设置环境保护图形标志牌。</w:t>
            </w:r>
          </w:p>
          <w:p w14:paraId="3ECE32D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lang w:val="en-US"/>
              </w:rPr>
            </w:pPr>
            <w:r>
              <w:rPr>
                <w:rFonts w:hint="default"/>
                <w:color w:val="auto"/>
                <w:sz w:val="24"/>
                <w:szCs w:val="24"/>
                <w:highlight w:val="none"/>
                <w:lang w:val="en-US"/>
              </w:rPr>
              <w:t>管理要求：排放口规范化的相关设施（如：计量、监控装置、标志牌等）属污染治理设施的组成部分，环境保护部门应按照有关污染治理设施的监督管理规定，加强日常监督管理，排污单位应将规范化排放的相关设施纳入本单位设备管理范围。</w:t>
            </w:r>
          </w:p>
          <w:p w14:paraId="2AE15C9F">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color w:val="auto"/>
                <w:sz w:val="24"/>
                <w:szCs w:val="24"/>
                <w:highlight w:val="none"/>
                <w:lang w:val="en-US"/>
              </w:rPr>
            </w:pPr>
            <w:r>
              <w:rPr>
                <w:rFonts w:hint="default"/>
                <w:color w:val="auto"/>
                <w:sz w:val="24"/>
                <w:szCs w:val="24"/>
                <w:highlight w:val="none"/>
                <w:lang w:val="en-US"/>
              </w:rPr>
              <w:t>排放口立标要求：设立排污口标志牌，标志牌由国家环境保护总局统一定点监制，达到《环境保护图形标志》（GB15562.1～2-1995</w:t>
            </w:r>
            <w:r>
              <w:rPr>
                <w:rFonts w:hint="eastAsia"/>
                <w:color w:val="auto"/>
                <w:sz w:val="24"/>
                <w:szCs w:val="24"/>
                <w:highlight w:val="none"/>
                <w:lang w:val="en-US" w:eastAsia="zh-CN"/>
              </w:rPr>
              <w:t>）及修改单</w:t>
            </w:r>
            <w:r>
              <w:rPr>
                <w:rFonts w:hint="default"/>
                <w:color w:val="auto"/>
                <w:sz w:val="24"/>
                <w:szCs w:val="24"/>
                <w:highlight w:val="none"/>
                <w:lang w:val="en-US"/>
              </w:rPr>
              <w:t>的规定。</w:t>
            </w:r>
          </w:p>
          <w:p w14:paraId="4D122690">
            <w:pPr>
              <w:pStyle w:val="28"/>
              <w:rPr>
                <w:rFonts w:hint="default"/>
                <w:color w:val="auto"/>
                <w:highlight w:val="none"/>
                <w:lang w:val="en-US" w:eastAsia="zh-CN"/>
              </w:rPr>
            </w:pPr>
          </w:p>
          <w:p w14:paraId="4D5F777C">
            <w:pPr>
              <w:rPr>
                <w:rFonts w:hint="default"/>
                <w:color w:val="auto"/>
                <w:highlight w:val="none"/>
                <w:lang w:val="en-US" w:eastAsia="zh-CN"/>
              </w:rPr>
            </w:pPr>
          </w:p>
          <w:p w14:paraId="147DBA8C">
            <w:pPr>
              <w:rPr>
                <w:rFonts w:hint="default"/>
                <w:color w:val="auto"/>
                <w:highlight w:val="none"/>
                <w:lang w:val="en-US" w:eastAsia="zh-CN"/>
              </w:rPr>
            </w:pPr>
          </w:p>
          <w:p w14:paraId="130F377E">
            <w:pPr>
              <w:rPr>
                <w:rFonts w:hint="default"/>
                <w:color w:val="auto"/>
                <w:highlight w:val="none"/>
                <w:lang w:val="en-US" w:eastAsia="zh-CN"/>
              </w:rPr>
            </w:pPr>
          </w:p>
          <w:p w14:paraId="73325CB1">
            <w:pPr>
              <w:rPr>
                <w:rFonts w:hint="default"/>
                <w:color w:val="auto"/>
                <w:highlight w:val="none"/>
                <w:lang w:val="en-US" w:eastAsia="zh-CN"/>
              </w:rPr>
            </w:pPr>
          </w:p>
          <w:p w14:paraId="52927292">
            <w:pPr>
              <w:rPr>
                <w:rFonts w:hint="default"/>
                <w:color w:val="auto"/>
                <w:highlight w:val="none"/>
                <w:lang w:val="en-US" w:eastAsia="zh-CN"/>
              </w:rPr>
            </w:pPr>
          </w:p>
          <w:p w14:paraId="63181B5F">
            <w:pPr>
              <w:rPr>
                <w:rFonts w:hint="default"/>
                <w:color w:val="auto"/>
                <w:highlight w:val="none"/>
                <w:lang w:val="en-US" w:eastAsia="zh-CN"/>
              </w:rPr>
            </w:pPr>
          </w:p>
          <w:p w14:paraId="5C98C122">
            <w:pPr>
              <w:rPr>
                <w:rFonts w:hint="default"/>
                <w:color w:val="auto"/>
                <w:highlight w:val="none"/>
                <w:lang w:val="en-US" w:eastAsia="zh-CN"/>
              </w:rPr>
            </w:pPr>
          </w:p>
          <w:p w14:paraId="6D715401">
            <w:pPr>
              <w:rPr>
                <w:rFonts w:hint="default"/>
                <w:color w:val="auto"/>
                <w:highlight w:val="none"/>
                <w:lang w:val="en-US" w:eastAsia="zh-CN"/>
              </w:rPr>
            </w:pPr>
          </w:p>
          <w:p w14:paraId="668EBD92">
            <w:pPr>
              <w:rPr>
                <w:rFonts w:hint="default"/>
                <w:color w:val="auto"/>
                <w:highlight w:val="none"/>
                <w:lang w:val="en-US" w:eastAsia="zh-CN"/>
              </w:rPr>
            </w:pPr>
          </w:p>
          <w:p w14:paraId="14F59CB9">
            <w:pPr>
              <w:rPr>
                <w:rFonts w:hint="default"/>
                <w:color w:val="auto"/>
                <w:highlight w:val="none"/>
                <w:lang w:val="en-US" w:eastAsia="zh-CN"/>
              </w:rPr>
            </w:pPr>
          </w:p>
          <w:p w14:paraId="10317A9E">
            <w:pPr>
              <w:rPr>
                <w:rFonts w:hint="default"/>
                <w:color w:val="auto"/>
                <w:highlight w:val="none"/>
                <w:lang w:val="en-US" w:eastAsia="zh-CN"/>
              </w:rPr>
            </w:pPr>
          </w:p>
          <w:p w14:paraId="2265C00C">
            <w:pPr>
              <w:rPr>
                <w:rFonts w:hint="default"/>
                <w:color w:val="auto"/>
                <w:highlight w:val="none"/>
                <w:lang w:val="en-US" w:eastAsia="zh-CN"/>
              </w:rPr>
            </w:pPr>
          </w:p>
          <w:p w14:paraId="27F705D6">
            <w:pPr>
              <w:rPr>
                <w:rFonts w:hint="default"/>
                <w:color w:val="auto"/>
                <w:highlight w:val="none"/>
                <w:lang w:val="en-US" w:eastAsia="zh-CN"/>
              </w:rPr>
            </w:pPr>
          </w:p>
          <w:p w14:paraId="767E8115">
            <w:pPr>
              <w:rPr>
                <w:rFonts w:hint="default"/>
                <w:color w:val="auto"/>
                <w:highlight w:val="none"/>
                <w:lang w:val="en-US" w:eastAsia="zh-CN"/>
              </w:rPr>
            </w:pPr>
          </w:p>
          <w:p w14:paraId="5DAC551E">
            <w:pPr>
              <w:rPr>
                <w:rFonts w:hint="default"/>
                <w:color w:val="auto"/>
                <w:highlight w:val="none"/>
                <w:lang w:val="en-US" w:eastAsia="zh-CN"/>
              </w:rPr>
            </w:pPr>
          </w:p>
          <w:p w14:paraId="561245C9">
            <w:pPr>
              <w:rPr>
                <w:rFonts w:hint="default"/>
                <w:color w:val="auto"/>
                <w:highlight w:val="none"/>
                <w:lang w:val="en-US" w:eastAsia="zh-CN"/>
              </w:rPr>
            </w:pPr>
          </w:p>
          <w:p w14:paraId="1E49076F">
            <w:pPr>
              <w:rPr>
                <w:rFonts w:hint="default"/>
                <w:color w:val="auto"/>
                <w:highlight w:val="none"/>
                <w:lang w:val="en-US" w:eastAsia="zh-CN"/>
              </w:rPr>
            </w:pPr>
          </w:p>
          <w:p w14:paraId="1412A7F5">
            <w:pPr>
              <w:rPr>
                <w:rFonts w:hint="default"/>
                <w:color w:val="auto"/>
                <w:highlight w:val="none"/>
                <w:lang w:val="en-US" w:eastAsia="zh-CN"/>
              </w:rPr>
            </w:pPr>
          </w:p>
          <w:p w14:paraId="04F67A84">
            <w:pPr>
              <w:rPr>
                <w:rFonts w:hint="default"/>
                <w:color w:val="auto"/>
                <w:highlight w:val="none"/>
                <w:lang w:val="en-US" w:eastAsia="zh-CN"/>
              </w:rPr>
            </w:pPr>
          </w:p>
          <w:p w14:paraId="39D810CB">
            <w:pPr>
              <w:rPr>
                <w:rFonts w:hint="default"/>
                <w:color w:val="auto"/>
                <w:highlight w:val="none"/>
                <w:lang w:val="en-US" w:eastAsia="zh-CN"/>
              </w:rPr>
            </w:pPr>
          </w:p>
          <w:p w14:paraId="4F5B0B5B">
            <w:pPr>
              <w:rPr>
                <w:rFonts w:hint="default"/>
                <w:color w:val="auto"/>
                <w:highlight w:val="none"/>
                <w:lang w:val="en-US" w:eastAsia="zh-CN"/>
              </w:rPr>
            </w:pPr>
          </w:p>
        </w:tc>
      </w:tr>
    </w:tbl>
    <w:p w14:paraId="6A3B02A8">
      <w:pPr>
        <w:pStyle w:val="2"/>
        <w:bidi w:val="0"/>
        <w:rPr>
          <w:rFonts w:hint="eastAsia"/>
          <w:color w:val="auto"/>
          <w:highlight w:val="none"/>
          <w:lang w:val="en-US" w:eastAsia="zh-CN"/>
        </w:rPr>
      </w:pPr>
      <w:bookmarkStart w:id="8" w:name="_Toc2937"/>
      <w:r>
        <w:rPr>
          <w:rFonts w:hint="eastAsia"/>
          <w:color w:val="auto"/>
          <w:highlight w:val="none"/>
          <w:lang w:val="en-US" w:eastAsia="zh-CN"/>
        </w:rPr>
        <w:t>六、结论</w:t>
      </w:r>
      <w:bookmarkEnd w:id="8"/>
    </w:p>
    <w:tbl>
      <w:tblPr>
        <w:tblStyle w:val="29"/>
        <w:tblW w:w="9071"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14:paraId="164CA05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PrEx>
        <w:trPr>
          <w:trHeight w:val="11991" w:hRule="atLeast"/>
          <w:jc w:val="center"/>
        </w:trPr>
        <w:tc>
          <w:tcPr>
            <w:tcW w:w="9745" w:type="dxa"/>
            <w:tcBorders>
              <w:tl2br w:val="nil"/>
              <w:tr2bl w:val="nil"/>
            </w:tcBorders>
            <w:noWrap w:val="0"/>
            <w:vAlign w:val="top"/>
          </w:tcPr>
          <w:p w14:paraId="6F6500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color w:val="auto"/>
                <w:highlight w:val="none"/>
                <w:lang w:val="en-US"/>
              </w:rPr>
            </w:pPr>
            <w:r>
              <w:rPr>
                <w:rFonts w:hint="eastAsia"/>
                <w:color w:val="auto"/>
                <w:sz w:val="24"/>
                <w:szCs w:val="24"/>
                <w:highlight w:val="none"/>
                <w:lang w:val="en-US" w:eastAsia="zh-CN"/>
              </w:rPr>
              <w:t>迁安市瑞承祥科技有限公司在迁安市夏官营镇罗庄子村西南，投资100万元，建设</w:t>
            </w:r>
            <w:r>
              <w:rPr>
                <w:rFonts w:hint="eastAsia"/>
                <w:color w:val="auto"/>
                <w:highlight w:val="none"/>
                <w:lang w:val="en-US" w:eastAsia="zh-CN"/>
              </w:rPr>
              <w:t>建筑垃圾堆砌地项目，符合国家产业政策，选址合理，采取环评提出的污染防治措施后，污染物可达标排放，不会对周围环境质量造成明显的不利影响，从环保角度而言，该项目建设可行。</w:t>
            </w:r>
          </w:p>
          <w:p w14:paraId="09FDCF01">
            <w:pPr>
              <w:spacing w:line="360" w:lineRule="auto"/>
              <w:rPr>
                <w:color w:val="auto"/>
                <w:highlight w:val="none"/>
              </w:rPr>
            </w:pPr>
          </w:p>
          <w:p w14:paraId="6D5CFA6F">
            <w:pPr>
              <w:pStyle w:val="7"/>
              <w:rPr>
                <w:color w:val="auto"/>
                <w:highlight w:val="none"/>
              </w:rPr>
            </w:pPr>
          </w:p>
          <w:p w14:paraId="18324A4E">
            <w:pPr>
              <w:pStyle w:val="5"/>
              <w:outlineLvl w:val="9"/>
              <w:rPr>
                <w:color w:val="auto"/>
                <w:highlight w:val="none"/>
              </w:rPr>
            </w:pPr>
          </w:p>
          <w:p w14:paraId="35BD5D40">
            <w:pPr>
              <w:rPr>
                <w:color w:val="auto"/>
                <w:highlight w:val="none"/>
              </w:rPr>
            </w:pPr>
          </w:p>
          <w:p w14:paraId="6ED7B703">
            <w:pPr>
              <w:pStyle w:val="7"/>
              <w:rPr>
                <w:color w:val="auto"/>
                <w:highlight w:val="none"/>
              </w:rPr>
            </w:pPr>
          </w:p>
          <w:p w14:paraId="42E73BED">
            <w:pPr>
              <w:pStyle w:val="5"/>
              <w:outlineLvl w:val="9"/>
              <w:rPr>
                <w:color w:val="auto"/>
                <w:highlight w:val="none"/>
              </w:rPr>
            </w:pPr>
          </w:p>
          <w:p w14:paraId="1FEA2D0E">
            <w:pPr>
              <w:rPr>
                <w:color w:val="auto"/>
                <w:highlight w:val="none"/>
              </w:rPr>
            </w:pPr>
          </w:p>
          <w:p w14:paraId="65A3C246">
            <w:pPr>
              <w:pStyle w:val="7"/>
              <w:rPr>
                <w:color w:val="auto"/>
                <w:highlight w:val="none"/>
              </w:rPr>
            </w:pPr>
          </w:p>
          <w:p w14:paraId="7AF1473B">
            <w:pPr>
              <w:pStyle w:val="5"/>
              <w:outlineLvl w:val="9"/>
              <w:rPr>
                <w:color w:val="auto"/>
                <w:highlight w:val="none"/>
              </w:rPr>
            </w:pPr>
          </w:p>
          <w:p w14:paraId="4813FE58">
            <w:pPr>
              <w:rPr>
                <w:color w:val="auto"/>
                <w:highlight w:val="none"/>
              </w:rPr>
            </w:pPr>
          </w:p>
          <w:p w14:paraId="4CEA2D39">
            <w:pPr>
              <w:pStyle w:val="7"/>
              <w:rPr>
                <w:color w:val="auto"/>
                <w:highlight w:val="none"/>
              </w:rPr>
            </w:pPr>
          </w:p>
          <w:p w14:paraId="10B452E8">
            <w:pPr>
              <w:pStyle w:val="5"/>
              <w:outlineLvl w:val="9"/>
              <w:rPr>
                <w:color w:val="auto"/>
                <w:highlight w:val="none"/>
              </w:rPr>
            </w:pPr>
          </w:p>
          <w:p w14:paraId="5FE01E3B">
            <w:pPr>
              <w:rPr>
                <w:color w:val="auto"/>
                <w:highlight w:val="none"/>
              </w:rPr>
            </w:pPr>
          </w:p>
          <w:p w14:paraId="6A8FC002">
            <w:pPr>
              <w:pStyle w:val="7"/>
              <w:rPr>
                <w:color w:val="auto"/>
                <w:highlight w:val="none"/>
              </w:rPr>
            </w:pPr>
          </w:p>
          <w:p w14:paraId="02BC40E3">
            <w:pPr>
              <w:pStyle w:val="5"/>
              <w:outlineLvl w:val="9"/>
              <w:rPr>
                <w:color w:val="auto"/>
                <w:highlight w:val="none"/>
              </w:rPr>
            </w:pPr>
          </w:p>
          <w:p w14:paraId="144069CB">
            <w:pPr>
              <w:rPr>
                <w:color w:val="auto"/>
                <w:highlight w:val="none"/>
              </w:rPr>
            </w:pPr>
          </w:p>
          <w:p w14:paraId="3A6B8F72">
            <w:pPr>
              <w:pStyle w:val="7"/>
              <w:rPr>
                <w:color w:val="auto"/>
                <w:highlight w:val="none"/>
              </w:rPr>
            </w:pPr>
          </w:p>
          <w:p w14:paraId="01BECC38">
            <w:pPr>
              <w:pStyle w:val="5"/>
              <w:outlineLvl w:val="9"/>
              <w:rPr>
                <w:color w:val="auto"/>
                <w:highlight w:val="none"/>
              </w:rPr>
            </w:pPr>
          </w:p>
          <w:p w14:paraId="165702C3">
            <w:pPr>
              <w:rPr>
                <w:color w:val="auto"/>
                <w:highlight w:val="none"/>
              </w:rPr>
            </w:pPr>
          </w:p>
          <w:p w14:paraId="707279F3">
            <w:pPr>
              <w:pStyle w:val="7"/>
              <w:rPr>
                <w:color w:val="auto"/>
                <w:highlight w:val="none"/>
              </w:rPr>
            </w:pPr>
          </w:p>
          <w:p w14:paraId="512C7EB0">
            <w:pPr>
              <w:pStyle w:val="5"/>
              <w:outlineLvl w:val="9"/>
              <w:rPr>
                <w:color w:val="auto"/>
                <w:highlight w:val="none"/>
              </w:rPr>
            </w:pPr>
          </w:p>
          <w:p w14:paraId="6028A89F">
            <w:pPr>
              <w:rPr>
                <w:color w:val="auto"/>
                <w:highlight w:val="none"/>
              </w:rPr>
            </w:pPr>
          </w:p>
          <w:p w14:paraId="39AD606F">
            <w:pPr>
              <w:pStyle w:val="7"/>
              <w:ind w:left="0" w:leftChars="0" w:firstLine="0" w:firstLineChars="0"/>
              <w:rPr>
                <w:color w:val="auto"/>
                <w:highlight w:val="none"/>
              </w:rPr>
            </w:pPr>
          </w:p>
        </w:tc>
      </w:tr>
    </w:tbl>
    <w:p w14:paraId="77DCE5BB">
      <w:pPr>
        <w:pStyle w:val="28"/>
        <w:rPr>
          <w:color w:val="auto"/>
          <w:highlight w:val="none"/>
        </w:rPr>
        <w:sectPr>
          <w:pgSz w:w="11906" w:h="16838"/>
          <w:pgMar w:top="1440" w:right="1247" w:bottom="1440" w:left="1417" w:header="851" w:footer="879" w:gutter="0"/>
          <w:pgBorders>
            <w:top w:val="none" w:sz="0" w:space="0"/>
            <w:left w:val="none" w:sz="0" w:space="0"/>
            <w:bottom w:val="none" w:sz="0" w:space="0"/>
            <w:right w:val="none" w:sz="0" w:space="0"/>
          </w:pgBorders>
          <w:pgNumType w:fmt="decimal"/>
          <w:cols w:space="425" w:num="1"/>
          <w:docGrid w:type="lines" w:linePitch="312" w:charSpace="0"/>
        </w:sectPr>
      </w:pPr>
    </w:p>
    <w:p w14:paraId="4BF45473">
      <w:pPr>
        <w:pStyle w:val="2"/>
        <w:bidi w:val="0"/>
        <w:jc w:val="left"/>
        <w:rPr>
          <w:color w:val="auto"/>
          <w:highlight w:val="none"/>
        </w:rPr>
      </w:pPr>
      <w:bookmarkStart w:id="9" w:name="_Toc21634"/>
      <w:r>
        <w:rPr>
          <w:rFonts w:hint="eastAsia"/>
          <w:color w:val="auto"/>
          <w:highlight w:val="none"/>
        </w:rPr>
        <w:t>附表</w:t>
      </w:r>
      <w:bookmarkEnd w:id="9"/>
    </w:p>
    <w:p w14:paraId="4C3BC21F">
      <w:pPr>
        <w:keepNext w:val="0"/>
        <w:keepLines w:val="0"/>
        <w:pageBreakBefore w:val="0"/>
        <w:widowControl w:val="0"/>
        <w:kinsoku/>
        <w:wordWrap/>
        <w:overflowPunct/>
        <w:topLinePunct w:val="0"/>
        <w:autoSpaceDE/>
        <w:autoSpaceDN/>
        <w:bidi w:val="0"/>
        <w:adjustRightInd/>
        <w:snapToGrid/>
        <w:spacing w:after="67" w:afterLines="20" w:line="240" w:lineRule="auto"/>
        <w:ind w:firstLine="0" w:firstLineChars="0"/>
        <w:jc w:val="center"/>
        <w:textAlignment w:val="auto"/>
        <w:rPr>
          <w:rFonts w:hint="eastAsia"/>
          <w:b/>
          <w:bCs/>
          <w:color w:val="auto"/>
          <w:sz w:val="36"/>
          <w:szCs w:val="36"/>
          <w:highlight w:val="none"/>
        </w:rPr>
      </w:pPr>
      <w:r>
        <w:rPr>
          <w:rFonts w:hint="eastAsia" w:ascii="方正小标宋_GBK" w:hAnsi="方正小标宋_GBK" w:eastAsia="方正小标宋_GBK" w:cs="方正小标宋_GBK"/>
          <w:b w:val="0"/>
          <w:bCs w:val="0"/>
          <w:color w:val="auto"/>
          <w:sz w:val="36"/>
          <w:szCs w:val="36"/>
          <w:highlight w:val="none"/>
        </w:rPr>
        <w:t>建设项目污染物排放量汇总表</w:t>
      </w:r>
    </w:p>
    <w:tbl>
      <w:tblPr>
        <w:tblStyle w:val="29"/>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732"/>
        <w:gridCol w:w="1595"/>
        <w:gridCol w:w="1254"/>
        <w:gridCol w:w="1814"/>
        <w:gridCol w:w="1500"/>
        <w:gridCol w:w="1527"/>
        <w:gridCol w:w="1610"/>
        <w:gridCol w:w="1416"/>
      </w:tblGrid>
      <w:tr w14:paraId="715098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1340" w:type="dxa"/>
            <w:tcBorders>
              <w:tl2br w:val="single" w:color="auto" w:sz="4" w:space="0"/>
            </w:tcBorders>
            <w:noWrap w:val="0"/>
            <w:tcMar>
              <w:left w:w="28" w:type="dxa"/>
              <w:right w:w="28" w:type="dxa"/>
            </w:tcMar>
            <w:vAlign w:val="center"/>
          </w:tcPr>
          <w:p w14:paraId="1F95B970">
            <w:pPr>
              <w:pStyle w:val="35"/>
              <w:spacing w:beforeLines="0" w:afterLines="0" w:line="240" w:lineRule="auto"/>
              <w:jc w:val="right"/>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项目</w:t>
            </w:r>
          </w:p>
          <w:p w14:paraId="66B3194F">
            <w:pPr>
              <w:pStyle w:val="35"/>
              <w:spacing w:beforeLines="0" w:afterLines="0" w:line="240" w:lineRule="auto"/>
              <w:jc w:val="left"/>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分类</w:t>
            </w:r>
          </w:p>
        </w:tc>
        <w:tc>
          <w:tcPr>
            <w:tcW w:w="1732" w:type="dxa"/>
            <w:noWrap w:val="0"/>
            <w:tcMar>
              <w:left w:w="28" w:type="dxa"/>
              <w:right w:w="28" w:type="dxa"/>
            </w:tcMar>
            <w:vAlign w:val="center"/>
          </w:tcPr>
          <w:p w14:paraId="64325299">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污染物名称</w:t>
            </w:r>
          </w:p>
        </w:tc>
        <w:tc>
          <w:tcPr>
            <w:tcW w:w="1595" w:type="dxa"/>
            <w:noWrap w:val="0"/>
            <w:tcMar>
              <w:left w:w="28" w:type="dxa"/>
              <w:right w:w="28" w:type="dxa"/>
            </w:tcMar>
            <w:vAlign w:val="center"/>
          </w:tcPr>
          <w:p w14:paraId="122B9CCD">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现有工程排放量（固体废物产生量）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1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①</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c>
          <w:tcPr>
            <w:tcW w:w="1254" w:type="dxa"/>
            <w:noWrap w:val="0"/>
            <w:tcMar>
              <w:left w:w="28" w:type="dxa"/>
              <w:right w:w="28" w:type="dxa"/>
            </w:tcMar>
            <w:vAlign w:val="center"/>
          </w:tcPr>
          <w:p w14:paraId="178C4C59">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现有工程许可排放量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2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snapToGrid w:val="0"/>
                <w:color w:val="auto"/>
                <w:spacing w:val="-6"/>
                <w:kern w:val="21"/>
                <w:sz w:val="24"/>
                <w:szCs w:val="24"/>
                <w:highlight w:val="none"/>
              </w:rPr>
              <w:t>②</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c>
          <w:tcPr>
            <w:tcW w:w="1814" w:type="dxa"/>
            <w:noWrap w:val="0"/>
            <w:tcMar>
              <w:left w:w="28" w:type="dxa"/>
              <w:right w:w="28" w:type="dxa"/>
            </w:tcMar>
            <w:vAlign w:val="center"/>
          </w:tcPr>
          <w:p w14:paraId="3A7237F3">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在建工程排放量（固体废物产生量）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3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③</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c>
          <w:tcPr>
            <w:tcW w:w="1500" w:type="dxa"/>
            <w:noWrap w:val="0"/>
            <w:tcMar>
              <w:left w:w="28" w:type="dxa"/>
              <w:right w:w="28" w:type="dxa"/>
            </w:tcMar>
            <w:vAlign w:val="center"/>
          </w:tcPr>
          <w:p w14:paraId="31ABD78B">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本项目排放量（固体废物产生量）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4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④</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c>
          <w:tcPr>
            <w:tcW w:w="1527" w:type="dxa"/>
            <w:noWrap w:val="0"/>
            <w:tcMar>
              <w:left w:w="28" w:type="dxa"/>
              <w:right w:w="28" w:type="dxa"/>
            </w:tcMar>
            <w:vAlign w:val="center"/>
          </w:tcPr>
          <w:p w14:paraId="18AF928D">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16"/>
                <w:kern w:val="21"/>
                <w:sz w:val="24"/>
                <w:szCs w:val="24"/>
                <w:highlight w:val="none"/>
              </w:rPr>
            </w:pPr>
            <w:r>
              <w:rPr>
                <w:rFonts w:hint="default" w:ascii="Times New Roman" w:hAnsi="Times New Roman" w:cs="Times New Roman" w:eastAsiaTheme="minorEastAsia"/>
                <w:b/>
                <w:bCs/>
                <w:snapToGrid w:val="0"/>
                <w:color w:val="auto"/>
                <w:spacing w:val="-16"/>
                <w:kern w:val="21"/>
                <w:sz w:val="24"/>
                <w:szCs w:val="24"/>
                <w:highlight w:val="none"/>
              </w:rPr>
              <w:t>以新带老削减量</w:t>
            </w:r>
          </w:p>
          <w:p w14:paraId="060C70D7">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16"/>
                <w:kern w:val="21"/>
                <w:sz w:val="24"/>
                <w:szCs w:val="24"/>
                <w:highlight w:val="none"/>
              </w:rPr>
            </w:pPr>
            <w:r>
              <w:rPr>
                <w:rFonts w:hint="default" w:ascii="Times New Roman" w:hAnsi="Times New Roman" w:cs="Times New Roman" w:eastAsiaTheme="minorEastAsia"/>
                <w:b/>
                <w:bCs/>
                <w:snapToGrid w:val="0"/>
                <w:color w:val="auto"/>
                <w:spacing w:val="-16"/>
                <w:kern w:val="21"/>
                <w:sz w:val="24"/>
                <w:szCs w:val="24"/>
                <w:highlight w:val="none"/>
              </w:rPr>
              <w:t>（新建项目不填）</w:t>
            </w:r>
            <w:r>
              <w:rPr>
                <w:rFonts w:hint="default" w:ascii="Times New Roman" w:hAnsi="Times New Roman" w:cs="Times New Roman" w:eastAsiaTheme="minorEastAsia"/>
                <w:b/>
                <w:bCs/>
                <w:snapToGrid w:val="0"/>
                <w:color w:val="auto"/>
                <w:spacing w:val="-16"/>
                <w:kern w:val="21"/>
                <w:sz w:val="24"/>
                <w:szCs w:val="24"/>
                <w:highlight w:val="none"/>
              </w:rPr>
              <w:fldChar w:fldCharType="begin"/>
            </w:r>
            <w:r>
              <w:rPr>
                <w:rFonts w:hint="default" w:ascii="Times New Roman" w:hAnsi="Times New Roman" w:cs="Times New Roman" w:eastAsiaTheme="minorEastAsia"/>
                <w:b/>
                <w:bCs/>
                <w:snapToGrid w:val="0"/>
                <w:color w:val="auto"/>
                <w:spacing w:val="-16"/>
                <w:kern w:val="21"/>
                <w:sz w:val="24"/>
                <w:szCs w:val="24"/>
                <w:highlight w:val="none"/>
              </w:rPr>
              <w:instrText xml:space="preserve"> = 5 \* GB3 \* MERGEFORMAT </w:instrText>
            </w:r>
            <w:r>
              <w:rPr>
                <w:rFonts w:hint="default" w:ascii="Times New Roman" w:hAnsi="Times New Roman" w:cs="Times New Roman" w:eastAsiaTheme="minorEastAsia"/>
                <w:b/>
                <w:bCs/>
                <w:snapToGrid w:val="0"/>
                <w:color w:val="auto"/>
                <w:spacing w:val="-1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⑤</w:t>
            </w:r>
            <w:r>
              <w:rPr>
                <w:rFonts w:hint="default" w:ascii="Times New Roman" w:hAnsi="Times New Roman" w:cs="Times New Roman" w:eastAsiaTheme="minorEastAsia"/>
                <w:b/>
                <w:bCs/>
                <w:snapToGrid w:val="0"/>
                <w:color w:val="auto"/>
                <w:spacing w:val="-16"/>
                <w:kern w:val="21"/>
                <w:sz w:val="24"/>
                <w:szCs w:val="24"/>
                <w:highlight w:val="none"/>
              </w:rPr>
              <w:fldChar w:fldCharType="end"/>
            </w:r>
          </w:p>
        </w:tc>
        <w:tc>
          <w:tcPr>
            <w:tcW w:w="1610" w:type="dxa"/>
            <w:noWrap w:val="0"/>
            <w:tcMar>
              <w:left w:w="28" w:type="dxa"/>
              <w:right w:w="28" w:type="dxa"/>
            </w:tcMar>
            <w:vAlign w:val="center"/>
          </w:tcPr>
          <w:p w14:paraId="298C3D95">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16"/>
                <w:kern w:val="21"/>
                <w:sz w:val="24"/>
                <w:szCs w:val="24"/>
                <w:highlight w:val="none"/>
              </w:rPr>
            </w:pPr>
            <w:r>
              <w:rPr>
                <w:rFonts w:hint="default" w:ascii="Times New Roman" w:hAnsi="Times New Roman" w:cs="Times New Roman" w:eastAsiaTheme="minorEastAsia"/>
                <w:b/>
                <w:bCs/>
                <w:snapToGrid w:val="0"/>
                <w:color w:val="auto"/>
                <w:spacing w:val="-16"/>
                <w:kern w:val="21"/>
                <w:sz w:val="24"/>
                <w:szCs w:val="24"/>
                <w:highlight w:val="none"/>
              </w:rPr>
              <w:t>本项目建成后全厂排放量（固体废物产生量）</w:t>
            </w:r>
            <w:r>
              <w:rPr>
                <w:rFonts w:hint="default" w:ascii="Times New Roman" w:hAnsi="Times New Roman" w:cs="Times New Roman" w:eastAsiaTheme="minorEastAsia"/>
                <w:b/>
                <w:bCs/>
                <w:snapToGrid w:val="0"/>
                <w:color w:val="auto"/>
                <w:spacing w:val="-16"/>
                <w:kern w:val="21"/>
                <w:sz w:val="24"/>
                <w:szCs w:val="24"/>
                <w:highlight w:val="none"/>
              </w:rPr>
              <w:fldChar w:fldCharType="begin"/>
            </w:r>
            <w:r>
              <w:rPr>
                <w:rFonts w:hint="default" w:ascii="Times New Roman" w:hAnsi="Times New Roman" w:cs="Times New Roman" w:eastAsiaTheme="minorEastAsia"/>
                <w:b/>
                <w:bCs/>
                <w:snapToGrid w:val="0"/>
                <w:color w:val="auto"/>
                <w:spacing w:val="-16"/>
                <w:kern w:val="21"/>
                <w:sz w:val="24"/>
                <w:szCs w:val="24"/>
                <w:highlight w:val="none"/>
              </w:rPr>
              <w:instrText xml:space="preserve"> = 6 \* GB3 \* MERGEFORMAT </w:instrText>
            </w:r>
            <w:r>
              <w:rPr>
                <w:rFonts w:hint="default" w:ascii="Times New Roman" w:hAnsi="Times New Roman" w:cs="Times New Roman" w:eastAsiaTheme="minorEastAsia"/>
                <w:b/>
                <w:bCs/>
                <w:snapToGrid w:val="0"/>
                <w:color w:val="auto"/>
                <w:spacing w:val="-1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⑥</w:t>
            </w:r>
            <w:r>
              <w:rPr>
                <w:rFonts w:hint="default" w:ascii="Times New Roman" w:hAnsi="Times New Roman" w:cs="Times New Roman" w:eastAsiaTheme="minorEastAsia"/>
                <w:b/>
                <w:bCs/>
                <w:snapToGrid w:val="0"/>
                <w:color w:val="auto"/>
                <w:spacing w:val="-16"/>
                <w:kern w:val="21"/>
                <w:sz w:val="24"/>
                <w:szCs w:val="24"/>
                <w:highlight w:val="none"/>
              </w:rPr>
              <w:fldChar w:fldCharType="end"/>
            </w:r>
          </w:p>
        </w:tc>
        <w:tc>
          <w:tcPr>
            <w:tcW w:w="1416" w:type="dxa"/>
            <w:noWrap w:val="0"/>
            <w:tcMar>
              <w:left w:w="28" w:type="dxa"/>
              <w:right w:w="28" w:type="dxa"/>
            </w:tcMar>
            <w:vAlign w:val="center"/>
          </w:tcPr>
          <w:p w14:paraId="2DDC5867">
            <w:pPr>
              <w:pStyle w:val="35"/>
              <w:keepNext w:val="0"/>
              <w:keepLines w:val="0"/>
              <w:pageBreakBefore w:val="0"/>
              <w:widowControl w:val="0"/>
              <w:kinsoku/>
              <w:wordWrap/>
              <w:overflowPunct/>
              <w:topLinePunct w:val="0"/>
              <w:autoSpaceDE/>
              <w:autoSpaceDN/>
              <w:bidi w:val="0"/>
              <w:adjustRightInd/>
              <w:snapToGrid w:val="0"/>
              <w:spacing w:before="0" w:beforeLines="0" w:after="0" w:afterLines="0" w:line="240" w:lineRule="auto"/>
              <w:textAlignment w:val="auto"/>
              <w:rPr>
                <w:rFonts w:hint="default" w:ascii="Times New Roman" w:hAnsi="Times New Roman" w:cs="Times New Roman" w:eastAsiaTheme="minorEastAsia"/>
                <w:b/>
                <w:bCs/>
                <w:snapToGrid w:val="0"/>
                <w:color w:val="auto"/>
                <w:spacing w:val="-6"/>
                <w:kern w:val="21"/>
                <w:sz w:val="24"/>
                <w:szCs w:val="24"/>
                <w:highlight w:val="none"/>
              </w:rPr>
            </w:pPr>
            <w:r>
              <w:rPr>
                <w:rFonts w:hint="default" w:ascii="Times New Roman" w:hAnsi="Times New Roman" w:cs="Times New Roman" w:eastAsiaTheme="minorEastAsia"/>
                <w:b/>
                <w:bCs/>
                <w:snapToGrid w:val="0"/>
                <w:color w:val="auto"/>
                <w:spacing w:val="-6"/>
                <w:kern w:val="21"/>
                <w:sz w:val="24"/>
                <w:szCs w:val="24"/>
                <w:highlight w:val="none"/>
              </w:rPr>
              <w:t>变化量</w:t>
            </w:r>
            <w:r>
              <w:rPr>
                <w:rFonts w:hint="default" w:ascii="Times New Roman" w:hAnsi="Times New Roman" w:cs="Times New Roman" w:eastAsiaTheme="minorEastAsia"/>
                <w:b/>
                <w:bCs/>
                <w:snapToGrid w:val="0"/>
                <w:color w:val="auto"/>
                <w:spacing w:val="-6"/>
                <w:kern w:val="21"/>
                <w:sz w:val="24"/>
                <w:szCs w:val="24"/>
                <w:highlight w:val="none"/>
              </w:rPr>
              <w:fldChar w:fldCharType="begin"/>
            </w:r>
            <w:r>
              <w:rPr>
                <w:rFonts w:hint="default" w:ascii="Times New Roman" w:hAnsi="Times New Roman" w:cs="Times New Roman" w:eastAsiaTheme="minorEastAsia"/>
                <w:b/>
                <w:bCs/>
                <w:snapToGrid w:val="0"/>
                <w:color w:val="auto"/>
                <w:spacing w:val="-6"/>
                <w:kern w:val="21"/>
                <w:sz w:val="24"/>
                <w:szCs w:val="24"/>
                <w:highlight w:val="none"/>
              </w:rPr>
              <w:instrText xml:space="preserve"> = 7 \* GB3 \* MERGEFORMAT </w:instrText>
            </w:r>
            <w:r>
              <w:rPr>
                <w:rFonts w:hint="default" w:ascii="Times New Roman" w:hAnsi="Times New Roman" w:cs="Times New Roman" w:eastAsiaTheme="minorEastAsia"/>
                <w:b/>
                <w:bCs/>
                <w:snapToGrid w:val="0"/>
                <w:color w:val="auto"/>
                <w:spacing w:val="-6"/>
                <w:kern w:val="21"/>
                <w:sz w:val="24"/>
                <w:szCs w:val="24"/>
                <w:highlight w:val="none"/>
              </w:rPr>
              <w:fldChar w:fldCharType="separate"/>
            </w:r>
            <w:r>
              <w:rPr>
                <w:rFonts w:hint="default" w:ascii="Times New Roman" w:hAnsi="Times New Roman" w:cs="Times New Roman" w:eastAsiaTheme="minorEastAsia"/>
                <w:b/>
                <w:bCs/>
                <w:color w:val="auto"/>
                <w:kern w:val="2"/>
                <w:sz w:val="24"/>
                <w:szCs w:val="24"/>
                <w:highlight w:val="none"/>
              </w:rPr>
              <w:t>⑦</w:t>
            </w:r>
            <w:r>
              <w:rPr>
                <w:rFonts w:hint="default" w:ascii="Times New Roman" w:hAnsi="Times New Roman" w:cs="Times New Roman" w:eastAsiaTheme="minorEastAsia"/>
                <w:b/>
                <w:bCs/>
                <w:snapToGrid w:val="0"/>
                <w:color w:val="auto"/>
                <w:spacing w:val="-6"/>
                <w:kern w:val="21"/>
                <w:sz w:val="24"/>
                <w:szCs w:val="24"/>
                <w:highlight w:val="none"/>
              </w:rPr>
              <w:fldChar w:fldCharType="end"/>
            </w:r>
          </w:p>
        </w:tc>
      </w:tr>
      <w:tr w14:paraId="5265A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40" w:type="dxa"/>
            <w:noWrap w:val="0"/>
            <w:vAlign w:val="center"/>
          </w:tcPr>
          <w:p w14:paraId="2578AA96">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lang w:val="en-US" w:eastAsia="zh-CN"/>
              </w:rPr>
            </w:pPr>
            <w:r>
              <w:rPr>
                <w:rFonts w:hint="default" w:ascii="Times New Roman" w:hAnsi="Times New Roman" w:cs="Times New Roman" w:eastAsiaTheme="minorEastAsia"/>
                <w:snapToGrid w:val="0"/>
                <w:color w:val="auto"/>
                <w:kern w:val="21"/>
                <w:sz w:val="24"/>
                <w:szCs w:val="24"/>
                <w:highlight w:val="none"/>
                <w:lang w:val="en-US" w:eastAsia="zh-CN"/>
              </w:rPr>
              <w:t>废气</w:t>
            </w:r>
          </w:p>
        </w:tc>
        <w:tc>
          <w:tcPr>
            <w:tcW w:w="1732" w:type="dxa"/>
            <w:noWrap w:val="0"/>
            <w:vAlign w:val="center"/>
          </w:tcPr>
          <w:p w14:paraId="1D86F3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snapToGrid w:val="0"/>
                <w:color w:val="auto"/>
                <w:kern w:val="21"/>
                <w:sz w:val="24"/>
                <w:szCs w:val="24"/>
                <w:highlight w:val="none"/>
                <w:lang w:val="en-US" w:eastAsia="zh-CN"/>
              </w:rPr>
            </w:pPr>
            <w:r>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t>颗粒物</w:t>
            </w:r>
          </w:p>
        </w:tc>
        <w:tc>
          <w:tcPr>
            <w:tcW w:w="1595" w:type="dxa"/>
            <w:noWrap w:val="0"/>
            <w:vAlign w:val="center"/>
          </w:tcPr>
          <w:p w14:paraId="593A14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snapToGrid w:val="0"/>
                <w:color w:val="auto"/>
                <w:kern w:val="21"/>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0DC802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09D4C8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snapToGrid w:val="0"/>
                <w:color w:val="auto"/>
                <w:kern w:val="21"/>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noWrap w:val="0"/>
            <w:vAlign w:val="center"/>
          </w:tcPr>
          <w:p w14:paraId="6D7D3E9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snapToGrid w:val="0"/>
                <w:color w:val="auto"/>
                <w:kern w:val="21"/>
                <w:sz w:val="24"/>
                <w:szCs w:val="24"/>
                <w:highlight w:val="none"/>
                <w:lang w:val="en-US" w:eastAsia="zh-CN" w:bidi="ar-SA"/>
              </w:rPr>
            </w:pPr>
            <w:r>
              <w:rPr>
                <w:rFonts w:hint="eastAsia" w:cs="Times New Roman"/>
                <w:b w:val="0"/>
                <w:bCs w:val="0"/>
                <w:color w:val="auto"/>
                <w:sz w:val="24"/>
                <w:szCs w:val="24"/>
                <w:highlight w:val="none"/>
                <w:lang w:val="en-US" w:eastAsia="zh-CN"/>
              </w:rPr>
              <w:t>17.939</w:t>
            </w:r>
            <w:r>
              <w:rPr>
                <w:rFonts w:hint="eastAsia" w:ascii="Times New Roman" w:hAnsi="Times New Roman" w:eastAsia="宋体" w:cs="Times New Roman"/>
                <w:b w:val="0"/>
                <w:bCs w:val="0"/>
                <w:color w:val="auto"/>
                <w:sz w:val="24"/>
                <w:szCs w:val="24"/>
                <w:highlight w:val="none"/>
                <w:lang w:val="en-US" w:eastAsia="zh-CN"/>
              </w:rPr>
              <w:t>t/a</w:t>
            </w:r>
          </w:p>
        </w:tc>
        <w:tc>
          <w:tcPr>
            <w:tcW w:w="1527" w:type="dxa"/>
            <w:noWrap w:val="0"/>
            <w:vAlign w:val="center"/>
          </w:tcPr>
          <w:p w14:paraId="5C17CC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0F28089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snapToGrid w:val="0"/>
                <w:color w:val="auto"/>
                <w:kern w:val="21"/>
                <w:sz w:val="24"/>
                <w:szCs w:val="24"/>
                <w:highlight w:val="none"/>
                <w:lang w:val="en-US" w:eastAsia="zh-CN" w:bidi="ar-SA"/>
              </w:rPr>
            </w:pPr>
            <w:r>
              <w:rPr>
                <w:rFonts w:hint="eastAsia" w:cs="Times New Roman"/>
                <w:b w:val="0"/>
                <w:bCs w:val="0"/>
                <w:color w:val="auto"/>
                <w:sz w:val="24"/>
                <w:szCs w:val="24"/>
                <w:highlight w:val="none"/>
                <w:lang w:val="en-US" w:eastAsia="zh-CN"/>
              </w:rPr>
              <w:t>17.939</w:t>
            </w:r>
            <w:r>
              <w:rPr>
                <w:rFonts w:hint="eastAsia" w:ascii="Times New Roman" w:hAnsi="Times New Roman" w:eastAsia="宋体" w:cs="Times New Roman"/>
                <w:b w:val="0"/>
                <w:bCs w:val="0"/>
                <w:color w:val="auto"/>
                <w:sz w:val="24"/>
                <w:szCs w:val="24"/>
                <w:highlight w:val="none"/>
                <w:lang w:val="en-US" w:eastAsia="zh-CN"/>
              </w:rPr>
              <w:t>t/a</w:t>
            </w:r>
          </w:p>
        </w:tc>
        <w:tc>
          <w:tcPr>
            <w:tcW w:w="1416" w:type="dxa"/>
            <w:shd w:val="clear" w:color="auto" w:fill="auto"/>
            <w:noWrap w:val="0"/>
            <w:vAlign w:val="center"/>
          </w:tcPr>
          <w:p w14:paraId="56E718C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val="0"/>
                <w:bCs w:val="0"/>
                <w:snapToGrid w:val="0"/>
                <w:color w:val="auto"/>
                <w:kern w:val="21"/>
                <w:sz w:val="24"/>
                <w:szCs w:val="24"/>
                <w:highlight w:val="none"/>
                <w:lang w:val="en-US" w:eastAsia="zh-CN" w:bidi="ar-SA"/>
              </w:rPr>
            </w:pPr>
            <w:r>
              <w:rPr>
                <w:rFonts w:hint="eastAsia" w:cs="Times New Roman"/>
                <w:b w:val="0"/>
                <w:bCs w:val="0"/>
                <w:color w:val="auto"/>
                <w:sz w:val="24"/>
                <w:szCs w:val="24"/>
                <w:highlight w:val="none"/>
                <w:lang w:val="en-US" w:eastAsia="zh-CN"/>
              </w:rPr>
              <w:t>+17.939</w:t>
            </w:r>
            <w:r>
              <w:rPr>
                <w:rFonts w:hint="eastAsia" w:ascii="Times New Roman" w:hAnsi="Times New Roman" w:eastAsia="宋体" w:cs="Times New Roman"/>
                <w:b w:val="0"/>
                <w:bCs w:val="0"/>
                <w:color w:val="auto"/>
                <w:sz w:val="24"/>
                <w:szCs w:val="24"/>
                <w:highlight w:val="none"/>
                <w:lang w:val="en-US" w:eastAsia="zh-CN"/>
              </w:rPr>
              <w:t>t/a</w:t>
            </w:r>
          </w:p>
        </w:tc>
      </w:tr>
      <w:tr w14:paraId="2F5F9E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40" w:type="dxa"/>
            <w:vMerge w:val="restart"/>
            <w:noWrap w:val="0"/>
            <w:vAlign w:val="center"/>
          </w:tcPr>
          <w:p w14:paraId="2C467ABE">
            <w:pPr>
              <w:keepNext w:val="0"/>
              <w:keepLines w:val="0"/>
              <w:pageBreakBefore w:val="0"/>
              <w:widowControl w:val="0"/>
              <w:kinsoku/>
              <w:wordWrap/>
              <w:overflowPunct/>
              <w:topLinePunct w:val="0"/>
              <w:autoSpaceDE/>
              <w:autoSpaceDN/>
              <w:bidi w:val="0"/>
              <w:adjustRightInd/>
              <w:snapToGrid/>
              <w:spacing w:line="0" w:lineRule="atLeast"/>
              <w:ind w:left="-36" w:leftChars="-15" w:right="-36" w:rightChars="-15"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废水</w:t>
            </w:r>
          </w:p>
        </w:tc>
        <w:tc>
          <w:tcPr>
            <w:tcW w:w="1732" w:type="dxa"/>
            <w:shd w:val="clear" w:color="auto" w:fill="auto"/>
            <w:noWrap w:val="0"/>
            <w:vAlign w:val="center"/>
          </w:tcPr>
          <w:p w14:paraId="581CAD86">
            <w:pPr>
              <w:pStyle w:val="35"/>
              <w:keepNext w:val="0"/>
              <w:keepLines w:val="0"/>
              <w:pageBreakBefore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pacing w:val="0"/>
                <w:kern w:val="2"/>
                <w:position w:val="0"/>
                <w:sz w:val="24"/>
                <w:szCs w:val="24"/>
                <w:highlight w:val="none"/>
                <w:lang w:val="en-US" w:eastAsia="zh-CN" w:bidi="ar-SA"/>
              </w:rPr>
            </w:pPr>
            <w:r>
              <w:rPr>
                <w:rFonts w:hint="default" w:ascii="Times New Roman" w:hAnsi="Times New Roman" w:cs="Times New Roman" w:eastAsiaTheme="minorEastAsia"/>
                <w:snapToGrid w:val="0"/>
                <w:color w:val="auto"/>
                <w:kern w:val="21"/>
                <w:sz w:val="24"/>
                <w:szCs w:val="24"/>
                <w:highlight w:val="none"/>
                <w:lang w:val="en-US" w:eastAsia="zh-CN"/>
              </w:rPr>
              <w:t>COD</w:t>
            </w:r>
          </w:p>
        </w:tc>
        <w:tc>
          <w:tcPr>
            <w:tcW w:w="1595" w:type="dxa"/>
            <w:noWrap w:val="0"/>
            <w:vAlign w:val="center"/>
          </w:tcPr>
          <w:p w14:paraId="5F7AA4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1018D3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319EE5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shd w:val="clear" w:color="auto" w:fill="auto"/>
            <w:noWrap w:val="0"/>
            <w:vAlign w:val="center"/>
          </w:tcPr>
          <w:p w14:paraId="071C5F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27" w:type="dxa"/>
            <w:noWrap w:val="0"/>
            <w:vAlign w:val="center"/>
          </w:tcPr>
          <w:p w14:paraId="1A0AC1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2929FA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416" w:type="dxa"/>
            <w:shd w:val="clear" w:color="auto" w:fill="auto"/>
            <w:noWrap w:val="0"/>
            <w:vAlign w:val="center"/>
          </w:tcPr>
          <w:p w14:paraId="0CC567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r>
      <w:tr w14:paraId="6D111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40" w:type="dxa"/>
            <w:vMerge w:val="continue"/>
            <w:noWrap w:val="0"/>
            <w:vAlign w:val="center"/>
          </w:tcPr>
          <w:p w14:paraId="4EC09C15">
            <w:pPr>
              <w:keepNext w:val="0"/>
              <w:keepLines w:val="0"/>
              <w:pageBreakBefore w:val="0"/>
              <w:widowControl w:val="0"/>
              <w:kinsoku/>
              <w:wordWrap/>
              <w:overflowPunct/>
              <w:topLinePunct w:val="0"/>
              <w:autoSpaceDE/>
              <w:autoSpaceDN/>
              <w:bidi w:val="0"/>
              <w:adjustRightInd/>
              <w:snapToGrid/>
              <w:spacing w:line="0" w:lineRule="atLeast"/>
              <w:ind w:left="-36" w:leftChars="-15" w:right="-36" w:rightChars="-15"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p>
        </w:tc>
        <w:tc>
          <w:tcPr>
            <w:tcW w:w="1732" w:type="dxa"/>
            <w:shd w:val="clear" w:color="auto" w:fill="auto"/>
            <w:noWrap w:val="0"/>
            <w:vAlign w:val="center"/>
          </w:tcPr>
          <w:p w14:paraId="5D15CE51">
            <w:pPr>
              <w:pStyle w:val="35"/>
              <w:keepNext w:val="0"/>
              <w:keepLines w:val="0"/>
              <w:pageBreakBefore w:val="0"/>
              <w:kinsoku/>
              <w:wordWrap/>
              <w:overflowPunct/>
              <w:topLinePunct w:val="0"/>
              <w:autoSpaceDE/>
              <w:autoSpaceDN/>
              <w:bidi w:val="0"/>
              <w:adjustRightInd/>
              <w:snapToGrid/>
              <w:spacing w:before="0" w:after="0" w:line="240" w:lineRule="auto"/>
              <w:ind w:firstLine="0" w:firstLineChars="0"/>
              <w:jc w:val="center"/>
              <w:textAlignment w:val="auto"/>
              <w:rPr>
                <w:rFonts w:hint="default" w:ascii="Times New Roman" w:hAnsi="Times New Roman" w:eastAsia="宋体" w:cs="Times New Roman"/>
                <w:color w:val="auto"/>
                <w:spacing w:val="0"/>
                <w:kern w:val="2"/>
                <w:position w:val="0"/>
                <w:sz w:val="24"/>
                <w:szCs w:val="24"/>
                <w:highlight w:val="none"/>
                <w:lang w:val="en-US" w:eastAsia="zh-CN" w:bidi="ar-SA"/>
              </w:rPr>
            </w:pPr>
            <w:r>
              <w:rPr>
                <w:rFonts w:hint="default" w:ascii="Times New Roman" w:hAnsi="Times New Roman" w:cs="Times New Roman" w:eastAsiaTheme="minorEastAsia"/>
                <w:snapToGrid w:val="0"/>
                <w:color w:val="auto"/>
                <w:kern w:val="21"/>
                <w:sz w:val="24"/>
                <w:szCs w:val="24"/>
                <w:highlight w:val="none"/>
                <w:lang w:val="en-US" w:eastAsia="zh-CN"/>
              </w:rPr>
              <w:t>氨氮</w:t>
            </w:r>
          </w:p>
        </w:tc>
        <w:tc>
          <w:tcPr>
            <w:tcW w:w="1595" w:type="dxa"/>
            <w:noWrap w:val="0"/>
            <w:vAlign w:val="center"/>
          </w:tcPr>
          <w:p w14:paraId="6BC11C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71BB13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28AC61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shd w:val="clear" w:color="auto" w:fill="auto"/>
            <w:noWrap w:val="0"/>
            <w:vAlign w:val="center"/>
          </w:tcPr>
          <w:p w14:paraId="01E48B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27" w:type="dxa"/>
            <w:noWrap w:val="0"/>
            <w:vAlign w:val="center"/>
          </w:tcPr>
          <w:p w14:paraId="7D10F7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053759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416" w:type="dxa"/>
            <w:shd w:val="clear" w:color="auto" w:fill="auto"/>
            <w:noWrap w:val="0"/>
            <w:vAlign w:val="center"/>
          </w:tcPr>
          <w:p w14:paraId="653596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r>
      <w:tr w14:paraId="652FFB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0" w:type="dxa"/>
            <w:vMerge w:val="restart"/>
            <w:noWrap w:val="0"/>
            <w:vAlign w:val="center"/>
          </w:tcPr>
          <w:p w14:paraId="2779654E">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rPr>
            </w:pPr>
            <w:r>
              <w:rPr>
                <w:rFonts w:hint="default" w:ascii="Times New Roman" w:hAnsi="Times New Roman" w:cs="Times New Roman" w:eastAsiaTheme="minorEastAsia"/>
                <w:snapToGrid w:val="0"/>
                <w:color w:val="auto"/>
                <w:kern w:val="21"/>
                <w:sz w:val="24"/>
                <w:szCs w:val="24"/>
                <w:highlight w:val="none"/>
              </w:rPr>
              <w:t>一般工业</w:t>
            </w:r>
          </w:p>
          <w:p w14:paraId="7C94B6FC">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rPr>
            </w:pPr>
            <w:r>
              <w:rPr>
                <w:rFonts w:hint="default" w:ascii="Times New Roman" w:hAnsi="Times New Roman" w:cs="Times New Roman" w:eastAsiaTheme="minorEastAsia"/>
                <w:snapToGrid w:val="0"/>
                <w:color w:val="auto"/>
                <w:kern w:val="21"/>
                <w:sz w:val="24"/>
                <w:szCs w:val="24"/>
                <w:highlight w:val="none"/>
              </w:rPr>
              <w:t>固体废物</w:t>
            </w:r>
          </w:p>
        </w:tc>
        <w:tc>
          <w:tcPr>
            <w:tcW w:w="1732" w:type="dxa"/>
            <w:shd w:val="clear" w:color="auto" w:fill="auto"/>
            <w:noWrap w:val="0"/>
            <w:vAlign w:val="center"/>
          </w:tcPr>
          <w:p w14:paraId="558B9A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4"/>
                <w:szCs w:val="24"/>
                <w:highlight w:val="none"/>
                <w:shd w:val="clear" w:color="auto" w:fill="auto"/>
                <w:lang w:val="en-US" w:eastAsia="zh-CN" w:bidi="ar-SA"/>
              </w:rPr>
            </w:pPr>
            <w:r>
              <w:rPr>
                <w:rFonts w:hint="eastAsia" w:cs="Times New Roman"/>
                <w:color w:val="auto"/>
                <w:sz w:val="24"/>
                <w:szCs w:val="24"/>
                <w:highlight w:val="none"/>
                <w:shd w:val="clear" w:color="auto" w:fill="auto"/>
                <w:lang w:val="en-US" w:eastAsia="zh-CN"/>
              </w:rPr>
              <w:t>污泥</w:t>
            </w:r>
          </w:p>
        </w:tc>
        <w:tc>
          <w:tcPr>
            <w:tcW w:w="1595" w:type="dxa"/>
            <w:noWrap w:val="0"/>
            <w:vAlign w:val="center"/>
          </w:tcPr>
          <w:p w14:paraId="74F395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75BC9D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284881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shd w:val="clear" w:color="auto" w:fill="auto"/>
            <w:noWrap w:val="0"/>
            <w:vAlign w:val="center"/>
          </w:tcPr>
          <w:p w14:paraId="5B9EAC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2"/>
                <w:sz w:val="24"/>
                <w:szCs w:val="24"/>
                <w:highlight w:val="none"/>
                <w:shd w:val="clear" w:color="auto" w:fill="auto"/>
                <w:lang w:val="en-US" w:eastAsia="zh-CN" w:bidi="ar-SA"/>
              </w:rPr>
            </w:pPr>
            <w:r>
              <w:rPr>
                <w:rFonts w:hint="eastAsia" w:cs="Times New Roman"/>
                <w:color w:val="auto"/>
                <w:sz w:val="24"/>
                <w:szCs w:val="24"/>
                <w:highlight w:val="none"/>
                <w:shd w:val="clear" w:color="auto" w:fill="auto"/>
                <w:lang w:val="en-US" w:eastAsia="zh-CN"/>
              </w:rPr>
              <w:t>120t/a</w:t>
            </w:r>
          </w:p>
        </w:tc>
        <w:tc>
          <w:tcPr>
            <w:tcW w:w="1527" w:type="dxa"/>
            <w:noWrap w:val="0"/>
            <w:vAlign w:val="center"/>
          </w:tcPr>
          <w:p w14:paraId="25DADBD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78DC5B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shd w:val="clear" w:color="auto" w:fill="auto"/>
                <w:lang w:val="en-US" w:eastAsia="zh-CN" w:bidi="ar-SA"/>
              </w:rPr>
            </w:pPr>
            <w:r>
              <w:rPr>
                <w:rFonts w:hint="eastAsia" w:cs="Times New Roman"/>
                <w:color w:val="auto"/>
                <w:sz w:val="24"/>
                <w:szCs w:val="24"/>
                <w:highlight w:val="none"/>
                <w:shd w:val="clear" w:color="auto" w:fill="auto"/>
                <w:lang w:val="en-US" w:eastAsia="zh-CN"/>
              </w:rPr>
              <w:t>120t/a</w:t>
            </w:r>
          </w:p>
        </w:tc>
        <w:tc>
          <w:tcPr>
            <w:tcW w:w="1416" w:type="dxa"/>
            <w:shd w:val="clear" w:color="auto" w:fill="auto"/>
            <w:noWrap w:val="0"/>
            <w:vAlign w:val="center"/>
          </w:tcPr>
          <w:p w14:paraId="2BC7A6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shd w:val="clear" w:color="auto" w:fill="auto"/>
                <w:lang w:val="en-US" w:eastAsia="zh-CN" w:bidi="ar-SA"/>
              </w:rPr>
            </w:pPr>
            <w:r>
              <w:rPr>
                <w:rFonts w:hint="eastAsia" w:cs="Times New Roman"/>
                <w:color w:val="auto"/>
                <w:sz w:val="24"/>
                <w:szCs w:val="24"/>
                <w:highlight w:val="none"/>
                <w:shd w:val="clear" w:color="auto" w:fill="auto"/>
                <w:lang w:val="en-US" w:eastAsia="zh-CN"/>
              </w:rPr>
              <w:t>+120t/a</w:t>
            </w:r>
          </w:p>
        </w:tc>
      </w:tr>
      <w:tr w14:paraId="2BD59F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340" w:type="dxa"/>
            <w:vMerge w:val="continue"/>
            <w:noWrap w:val="0"/>
            <w:vAlign w:val="center"/>
          </w:tcPr>
          <w:p w14:paraId="6ED71509">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rPr>
            </w:pPr>
          </w:p>
        </w:tc>
        <w:tc>
          <w:tcPr>
            <w:tcW w:w="1732" w:type="dxa"/>
            <w:shd w:val="clear" w:color="auto" w:fill="auto"/>
            <w:noWrap w:val="0"/>
            <w:vAlign w:val="center"/>
          </w:tcPr>
          <w:p w14:paraId="1847B5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沉渣</w:t>
            </w:r>
          </w:p>
        </w:tc>
        <w:tc>
          <w:tcPr>
            <w:tcW w:w="1595" w:type="dxa"/>
            <w:shd w:val="clear" w:color="auto" w:fill="auto"/>
            <w:noWrap w:val="0"/>
            <w:vAlign w:val="center"/>
          </w:tcPr>
          <w:p w14:paraId="72AF4F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shd w:val="clear" w:color="auto" w:fill="auto"/>
            <w:noWrap w:val="0"/>
            <w:vAlign w:val="center"/>
          </w:tcPr>
          <w:p w14:paraId="72135B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shd w:val="clear" w:color="auto" w:fill="auto"/>
            <w:noWrap w:val="0"/>
            <w:vAlign w:val="center"/>
          </w:tcPr>
          <w:p w14:paraId="0C2B1D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shd w:val="clear" w:color="auto" w:fill="auto"/>
            <w:noWrap w:val="0"/>
            <w:vAlign w:val="center"/>
          </w:tcPr>
          <w:p w14:paraId="0400FC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5t/a</w:t>
            </w:r>
          </w:p>
        </w:tc>
        <w:tc>
          <w:tcPr>
            <w:tcW w:w="1527" w:type="dxa"/>
            <w:noWrap w:val="0"/>
            <w:vAlign w:val="center"/>
          </w:tcPr>
          <w:p w14:paraId="0AC173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cs="Times New Roman"/>
                <w:b w:val="0"/>
                <w:bCs w:val="0"/>
                <w:smallCaps w:val="0"/>
                <w:color w:val="auto"/>
                <w:spacing w:val="0"/>
                <w:position w:val="0"/>
                <w:sz w:val="24"/>
                <w:szCs w:val="24"/>
                <w:highlight w:val="none"/>
                <w:vertAlign w:val="baseli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1DAE09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5t/a</w:t>
            </w:r>
          </w:p>
        </w:tc>
        <w:tc>
          <w:tcPr>
            <w:tcW w:w="1416" w:type="dxa"/>
            <w:shd w:val="clear" w:color="auto" w:fill="auto"/>
            <w:noWrap w:val="0"/>
            <w:vAlign w:val="center"/>
          </w:tcPr>
          <w:p w14:paraId="2E04F23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+5t/a</w:t>
            </w:r>
          </w:p>
        </w:tc>
      </w:tr>
      <w:tr w14:paraId="7F5A43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40" w:type="dxa"/>
            <w:noWrap w:val="0"/>
            <w:vAlign w:val="center"/>
          </w:tcPr>
          <w:p w14:paraId="0281EEFB">
            <w:pPr>
              <w:pStyle w:val="35"/>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napToGrid w:val="0"/>
                <w:color w:val="auto"/>
                <w:kern w:val="21"/>
                <w:sz w:val="24"/>
                <w:szCs w:val="24"/>
                <w:highlight w:val="none"/>
                <w:lang w:val="en-US" w:eastAsia="zh-CN"/>
              </w:rPr>
            </w:pPr>
            <w:r>
              <w:rPr>
                <w:rFonts w:hint="default" w:ascii="Times New Roman" w:hAnsi="Times New Roman" w:cs="Times New Roman" w:eastAsiaTheme="minorEastAsia"/>
                <w:snapToGrid w:val="0"/>
                <w:color w:val="auto"/>
                <w:kern w:val="21"/>
                <w:sz w:val="24"/>
                <w:szCs w:val="24"/>
                <w:highlight w:val="none"/>
                <w:lang w:val="en-US" w:eastAsia="zh-CN"/>
              </w:rPr>
              <w:t>职工生活</w:t>
            </w:r>
          </w:p>
        </w:tc>
        <w:tc>
          <w:tcPr>
            <w:tcW w:w="1732" w:type="dxa"/>
            <w:noWrap w:val="0"/>
            <w:vAlign w:val="center"/>
          </w:tcPr>
          <w:p w14:paraId="3081E3F7">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eastAsiaTheme="minorEastAsia"/>
                <w:color w:val="auto"/>
                <w:kern w:val="2"/>
                <w:sz w:val="24"/>
                <w:szCs w:val="24"/>
                <w:highlight w:val="none"/>
                <w:shd w:val="clear" w:color="auto" w:fill="auto"/>
                <w:lang w:val="en-US" w:eastAsia="zh-CN" w:bidi="ar-SA"/>
              </w:rPr>
            </w:pPr>
            <w:r>
              <w:rPr>
                <w:rFonts w:hint="default" w:ascii="Times New Roman" w:hAnsi="Times New Roman" w:cs="Times New Roman" w:eastAsiaTheme="minorEastAsia"/>
                <w:snapToGrid w:val="0"/>
                <w:color w:val="auto"/>
                <w:kern w:val="0"/>
                <w:sz w:val="24"/>
                <w:szCs w:val="24"/>
                <w:highlight w:val="none"/>
                <w:shd w:val="clear" w:color="auto" w:fill="auto"/>
                <w:lang w:val="en-US" w:eastAsia="zh-CN" w:bidi="ar-SA"/>
              </w:rPr>
              <w:t>生活垃圾</w:t>
            </w:r>
          </w:p>
        </w:tc>
        <w:tc>
          <w:tcPr>
            <w:tcW w:w="1595" w:type="dxa"/>
            <w:noWrap w:val="0"/>
            <w:vAlign w:val="center"/>
          </w:tcPr>
          <w:p w14:paraId="1C4026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254" w:type="dxa"/>
            <w:noWrap w:val="0"/>
            <w:vAlign w:val="center"/>
          </w:tcPr>
          <w:p w14:paraId="52F36C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cs="Times New Roman" w:eastAsiaTheme="minorEastAsia"/>
                <w:snapToGrid w:val="0"/>
                <w:color w:val="auto"/>
                <w:kern w:val="21"/>
                <w:sz w:val="24"/>
                <w:szCs w:val="24"/>
                <w:highlight w:val="none"/>
                <w:lang w:val="en-US" w:eastAsia="zh-CN" w:bidi="ar-SA"/>
              </w:rPr>
            </w:pPr>
            <w:r>
              <w:rPr>
                <w:rFonts w:hint="eastAsia" w:cs="Times New Roman"/>
                <w:b w:val="0"/>
                <w:bCs w:val="0"/>
                <w:smallCaps w:val="0"/>
                <w:color w:val="auto"/>
                <w:spacing w:val="0"/>
                <w:position w:val="0"/>
                <w:sz w:val="24"/>
                <w:szCs w:val="24"/>
                <w:highlight w:val="none"/>
                <w:vertAlign w:val="baseline"/>
                <w:lang w:val="en-US" w:eastAsia="zh-CN"/>
              </w:rPr>
              <w:t>/</w:t>
            </w:r>
          </w:p>
        </w:tc>
        <w:tc>
          <w:tcPr>
            <w:tcW w:w="1814" w:type="dxa"/>
            <w:noWrap w:val="0"/>
            <w:vAlign w:val="center"/>
          </w:tcPr>
          <w:p w14:paraId="7573BE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500" w:type="dxa"/>
            <w:noWrap w:val="0"/>
            <w:vAlign w:val="center"/>
          </w:tcPr>
          <w:p w14:paraId="215F64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color w:val="auto"/>
                <w:spacing w:val="0"/>
                <w:sz w:val="24"/>
                <w:szCs w:val="24"/>
                <w:highlight w:val="none"/>
                <w:lang w:val="en-US" w:eastAsia="zh-CN"/>
              </w:rPr>
              <w:t>0.9</w:t>
            </w:r>
            <w:r>
              <w:rPr>
                <w:rFonts w:hint="eastAsia" w:ascii="Times New Roman" w:hAnsi="Times New Roman" w:eastAsia="宋体" w:cs="Times New Roman"/>
                <w:color w:val="auto"/>
                <w:spacing w:val="0"/>
                <w:sz w:val="24"/>
                <w:szCs w:val="24"/>
                <w:highlight w:val="none"/>
                <w:lang w:val="en-US" w:eastAsia="zh-CN"/>
              </w:rPr>
              <w:t>t/a</w:t>
            </w:r>
          </w:p>
        </w:tc>
        <w:tc>
          <w:tcPr>
            <w:tcW w:w="1527" w:type="dxa"/>
            <w:noWrap w:val="0"/>
            <w:vAlign w:val="center"/>
          </w:tcPr>
          <w:p w14:paraId="4A9A1D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sz w:val="24"/>
                <w:szCs w:val="24"/>
                <w:highlight w:val="none"/>
                <w:lang w:val="en-US" w:eastAsia="zh-CN"/>
              </w:rPr>
            </w:pPr>
            <w:r>
              <w:rPr>
                <w:rFonts w:hint="eastAsia" w:cs="Times New Roman"/>
                <w:b w:val="0"/>
                <w:bCs w:val="0"/>
                <w:smallCaps w:val="0"/>
                <w:color w:val="auto"/>
                <w:spacing w:val="0"/>
                <w:position w:val="0"/>
                <w:sz w:val="24"/>
                <w:szCs w:val="24"/>
                <w:highlight w:val="none"/>
                <w:vertAlign w:val="baseline"/>
                <w:lang w:val="en-US" w:eastAsia="zh-CN"/>
              </w:rPr>
              <w:t>/</w:t>
            </w:r>
          </w:p>
        </w:tc>
        <w:tc>
          <w:tcPr>
            <w:tcW w:w="1610" w:type="dxa"/>
            <w:shd w:val="clear" w:color="auto" w:fill="auto"/>
            <w:noWrap w:val="0"/>
            <w:vAlign w:val="center"/>
          </w:tcPr>
          <w:p w14:paraId="2125B5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sz w:val="24"/>
                <w:szCs w:val="24"/>
                <w:highlight w:val="none"/>
                <w:lang w:val="en-US" w:eastAsia="zh-CN" w:bidi="ar-SA"/>
              </w:rPr>
            </w:pPr>
            <w:r>
              <w:rPr>
                <w:rFonts w:hint="eastAsia" w:cs="Times New Roman"/>
                <w:color w:val="auto"/>
                <w:spacing w:val="0"/>
                <w:sz w:val="24"/>
                <w:szCs w:val="24"/>
                <w:highlight w:val="none"/>
                <w:lang w:val="en-US" w:eastAsia="zh-CN"/>
              </w:rPr>
              <w:t>0.9</w:t>
            </w:r>
            <w:r>
              <w:rPr>
                <w:rFonts w:hint="eastAsia" w:ascii="Times New Roman" w:hAnsi="Times New Roman" w:eastAsia="宋体" w:cs="Times New Roman"/>
                <w:color w:val="auto"/>
                <w:spacing w:val="0"/>
                <w:sz w:val="24"/>
                <w:szCs w:val="24"/>
                <w:highlight w:val="none"/>
                <w:lang w:val="en-US" w:eastAsia="zh-CN"/>
              </w:rPr>
              <w:t>t/a</w:t>
            </w:r>
          </w:p>
        </w:tc>
        <w:tc>
          <w:tcPr>
            <w:tcW w:w="1416" w:type="dxa"/>
            <w:shd w:val="clear" w:color="auto" w:fill="auto"/>
            <w:noWrap w:val="0"/>
            <w:vAlign w:val="center"/>
          </w:tcPr>
          <w:p w14:paraId="77DE8A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sz w:val="24"/>
                <w:szCs w:val="24"/>
                <w:highlight w:val="none"/>
                <w:lang w:val="en-US" w:eastAsia="zh-CN" w:bidi="ar-SA"/>
              </w:rPr>
            </w:pPr>
            <w:r>
              <w:rPr>
                <w:rFonts w:hint="eastAsia" w:cs="Times New Roman"/>
                <w:color w:val="auto"/>
                <w:spacing w:val="0"/>
                <w:sz w:val="24"/>
                <w:szCs w:val="24"/>
                <w:highlight w:val="none"/>
                <w:lang w:val="en-US" w:eastAsia="zh-CN"/>
              </w:rPr>
              <w:t>+0.9</w:t>
            </w:r>
            <w:r>
              <w:rPr>
                <w:rFonts w:hint="eastAsia" w:ascii="Times New Roman" w:hAnsi="Times New Roman" w:eastAsia="宋体" w:cs="Times New Roman"/>
                <w:color w:val="auto"/>
                <w:spacing w:val="0"/>
                <w:sz w:val="24"/>
                <w:szCs w:val="24"/>
                <w:highlight w:val="none"/>
                <w:lang w:val="en-US" w:eastAsia="zh-CN"/>
              </w:rPr>
              <w:t>t/a</w:t>
            </w:r>
          </w:p>
        </w:tc>
      </w:tr>
    </w:tbl>
    <w:p w14:paraId="40233606">
      <w:pPr>
        <w:jc w:val="left"/>
        <w:rPr>
          <w:color w:val="auto"/>
          <w:sz w:val="24"/>
          <w:szCs w:val="24"/>
          <w:highlight w:val="none"/>
        </w:rPr>
      </w:pPr>
      <w:r>
        <w:rPr>
          <w:rFonts w:hAnsi="宋体"/>
          <w:snapToGrid w:val="0"/>
          <w:color w:val="auto"/>
          <w:kern w:val="21"/>
          <w:sz w:val="24"/>
          <w:szCs w:val="24"/>
          <w:highlight w:val="none"/>
        </w:rPr>
        <w:t>注：</w:t>
      </w:r>
      <w:r>
        <w:rPr>
          <w:rFonts w:hAnsi="宋体"/>
          <w:snapToGrid w:val="0"/>
          <w:color w:val="auto"/>
          <w:spacing w:val="-16"/>
          <w:kern w:val="21"/>
          <w:sz w:val="24"/>
          <w:szCs w:val="24"/>
          <w:highlight w:val="none"/>
        </w:rPr>
        <w:fldChar w:fldCharType="begin"/>
      </w:r>
      <w:r>
        <w:rPr>
          <w:rFonts w:hAnsi="宋体"/>
          <w:snapToGrid w:val="0"/>
          <w:color w:val="auto"/>
          <w:spacing w:val="-16"/>
          <w:kern w:val="21"/>
          <w:sz w:val="24"/>
          <w:szCs w:val="24"/>
          <w:highlight w:val="none"/>
        </w:rPr>
        <w:instrText xml:space="preserve"> = 6 \* GB3 \* MERGEFORMAT </w:instrText>
      </w:r>
      <w:r>
        <w:rPr>
          <w:rFonts w:hAnsi="宋体"/>
          <w:snapToGrid w:val="0"/>
          <w:color w:val="auto"/>
          <w:spacing w:val="-16"/>
          <w:kern w:val="21"/>
          <w:sz w:val="24"/>
          <w:szCs w:val="24"/>
          <w:highlight w:val="none"/>
        </w:rPr>
        <w:fldChar w:fldCharType="separate"/>
      </w:r>
      <w:r>
        <w:rPr>
          <w:rFonts w:hint="eastAsia" w:hAnsi="宋体"/>
          <w:color w:val="auto"/>
          <w:sz w:val="24"/>
          <w:szCs w:val="24"/>
          <w:highlight w:val="none"/>
        </w:rPr>
        <w:t>⑥</w:t>
      </w:r>
      <w:r>
        <w:rPr>
          <w:rFonts w:hAnsi="宋体"/>
          <w:snapToGrid w:val="0"/>
          <w:color w:val="auto"/>
          <w:spacing w:val="-16"/>
          <w:kern w:val="21"/>
          <w:sz w:val="24"/>
          <w:szCs w:val="24"/>
          <w:highlight w:val="none"/>
        </w:rPr>
        <w:fldChar w:fldCharType="end"/>
      </w:r>
      <w:r>
        <w:rPr>
          <w:rFonts w:hAnsi="宋体"/>
          <w:snapToGrid w:val="0"/>
          <w:color w:val="auto"/>
          <w:spacing w:val="-1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1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①</w:t>
      </w:r>
      <w:r>
        <w:rPr>
          <w:rFonts w:hAnsi="宋体"/>
          <w:snapToGrid w:val="0"/>
          <w:color w:val="auto"/>
          <w:spacing w:val="-6"/>
          <w:kern w:val="21"/>
          <w:sz w:val="24"/>
          <w:szCs w:val="24"/>
          <w:highlight w:val="none"/>
        </w:rPr>
        <w:fldChar w:fldCharType="end"/>
      </w:r>
      <w:r>
        <w:rPr>
          <w:rFonts w:hAnsi="宋体"/>
          <w:snapToGrid w:val="0"/>
          <w:color w:val="auto"/>
          <w:spacing w:val="-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3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③</w:t>
      </w:r>
      <w:r>
        <w:rPr>
          <w:rFonts w:hAnsi="宋体"/>
          <w:snapToGrid w:val="0"/>
          <w:color w:val="auto"/>
          <w:spacing w:val="-6"/>
          <w:kern w:val="21"/>
          <w:sz w:val="24"/>
          <w:szCs w:val="24"/>
          <w:highlight w:val="none"/>
        </w:rPr>
        <w:fldChar w:fldCharType="end"/>
      </w:r>
      <w:r>
        <w:rPr>
          <w:rFonts w:hAnsi="宋体"/>
          <w:snapToGrid w:val="0"/>
          <w:color w:val="auto"/>
          <w:spacing w:val="-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4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④</w:t>
      </w:r>
      <w:r>
        <w:rPr>
          <w:rFonts w:hAnsi="宋体"/>
          <w:snapToGrid w:val="0"/>
          <w:color w:val="auto"/>
          <w:spacing w:val="-6"/>
          <w:kern w:val="21"/>
          <w:sz w:val="24"/>
          <w:szCs w:val="24"/>
          <w:highlight w:val="none"/>
        </w:rPr>
        <w:fldChar w:fldCharType="end"/>
      </w:r>
      <w:r>
        <w:rPr>
          <w:rFonts w:hAnsi="宋体"/>
          <w:snapToGrid w:val="0"/>
          <w:color w:val="auto"/>
          <w:spacing w:val="-6"/>
          <w:kern w:val="21"/>
          <w:sz w:val="24"/>
          <w:szCs w:val="24"/>
          <w:highlight w:val="none"/>
        </w:rPr>
        <w:t>-</w:t>
      </w:r>
      <w:r>
        <w:rPr>
          <w:rFonts w:hAnsi="宋体"/>
          <w:snapToGrid w:val="0"/>
          <w:color w:val="auto"/>
          <w:spacing w:val="-16"/>
          <w:kern w:val="21"/>
          <w:sz w:val="24"/>
          <w:szCs w:val="24"/>
          <w:highlight w:val="none"/>
        </w:rPr>
        <w:fldChar w:fldCharType="begin"/>
      </w:r>
      <w:r>
        <w:rPr>
          <w:rFonts w:hAnsi="宋体"/>
          <w:snapToGrid w:val="0"/>
          <w:color w:val="auto"/>
          <w:spacing w:val="-16"/>
          <w:kern w:val="21"/>
          <w:sz w:val="24"/>
          <w:szCs w:val="24"/>
          <w:highlight w:val="none"/>
        </w:rPr>
        <w:instrText xml:space="preserve"> = 5 \* GB3 \* MERGEFORMAT </w:instrText>
      </w:r>
      <w:r>
        <w:rPr>
          <w:rFonts w:hAnsi="宋体"/>
          <w:snapToGrid w:val="0"/>
          <w:color w:val="auto"/>
          <w:spacing w:val="-16"/>
          <w:kern w:val="21"/>
          <w:sz w:val="24"/>
          <w:szCs w:val="24"/>
          <w:highlight w:val="none"/>
        </w:rPr>
        <w:fldChar w:fldCharType="separate"/>
      </w:r>
      <w:r>
        <w:rPr>
          <w:rFonts w:hint="eastAsia" w:hAnsi="宋体"/>
          <w:color w:val="auto"/>
          <w:sz w:val="24"/>
          <w:szCs w:val="24"/>
          <w:highlight w:val="none"/>
        </w:rPr>
        <w:t>⑤</w:t>
      </w:r>
      <w:r>
        <w:rPr>
          <w:rFonts w:hAnsi="宋体"/>
          <w:snapToGrid w:val="0"/>
          <w:color w:val="auto"/>
          <w:spacing w:val="-16"/>
          <w:kern w:val="21"/>
          <w:sz w:val="24"/>
          <w:szCs w:val="24"/>
          <w:highlight w:val="none"/>
        </w:rPr>
        <w:fldChar w:fldCharType="end"/>
      </w:r>
      <w:r>
        <w:rPr>
          <w:rFonts w:hAnsi="宋体"/>
          <w:snapToGrid w:val="0"/>
          <w:color w:val="auto"/>
          <w:spacing w:val="-1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7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⑦</w:t>
      </w:r>
      <w:r>
        <w:rPr>
          <w:rFonts w:hAnsi="宋体"/>
          <w:snapToGrid w:val="0"/>
          <w:color w:val="auto"/>
          <w:spacing w:val="-6"/>
          <w:kern w:val="21"/>
          <w:sz w:val="24"/>
          <w:szCs w:val="24"/>
          <w:highlight w:val="none"/>
        </w:rPr>
        <w:fldChar w:fldCharType="end"/>
      </w:r>
      <w:r>
        <w:rPr>
          <w:rFonts w:hAnsi="宋体"/>
          <w:snapToGrid w:val="0"/>
          <w:color w:val="auto"/>
          <w:spacing w:val="-6"/>
          <w:kern w:val="21"/>
          <w:sz w:val="24"/>
          <w:szCs w:val="24"/>
          <w:highlight w:val="none"/>
        </w:rPr>
        <w:t>=</w:t>
      </w:r>
      <w:r>
        <w:rPr>
          <w:rFonts w:hAnsi="宋体"/>
          <w:snapToGrid w:val="0"/>
          <w:color w:val="auto"/>
          <w:spacing w:val="-16"/>
          <w:kern w:val="21"/>
          <w:sz w:val="24"/>
          <w:szCs w:val="24"/>
          <w:highlight w:val="none"/>
        </w:rPr>
        <w:fldChar w:fldCharType="begin"/>
      </w:r>
      <w:r>
        <w:rPr>
          <w:rFonts w:hAnsi="宋体"/>
          <w:snapToGrid w:val="0"/>
          <w:color w:val="auto"/>
          <w:spacing w:val="-16"/>
          <w:kern w:val="21"/>
          <w:sz w:val="24"/>
          <w:szCs w:val="24"/>
          <w:highlight w:val="none"/>
        </w:rPr>
        <w:instrText xml:space="preserve"> = 6 \* GB3 \* MERGEFORMAT </w:instrText>
      </w:r>
      <w:r>
        <w:rPr>
          <w:rFonts w:hAnsi="宋体"/>
          <w:snapToGrid w:val="0"/>
          <w:color w:val="auto"/>
          <w:spacing w:val="-16"/>
          <w:kern w:val="21"/>
          <w:sz w:val="24"/>
          <w:szCs w:val="24"/>
          <w:highlight w:val="none"/>
        </w:rPr>
        <w:fldChar w:fldCharType="separate"/>
      </w:r>
      <w:r>
        <w:rPr>
          <w:rFonts w:hint="eastAsia" w:hAnsi="宋体"/>
          <w:color w:val="auto"/>
          <w:sz w:val="24"/>
          <w:szCs w:val="24"/>
          <w:highlight w:val="none"/>
        </w:rPr>
        <w:t>⑥</w:t>
      </w:r>
      <w:r>
        <w:rPr>
          <w:rFonts w:hAnsi="宋体"/>
          <w:snapToGrid w:val="0"/>
          <w:color w:val="auto"/>
          <w:spacing w:val="-16"/>
          <w:kern w:val="21"/>
          <w:sz w:val="24"/>
          <w:szCs w:val="24"/>
          <w:highlight w:val="none"/>
        </w:rPr>
        <w:fldChar w:fldCharType="end"/>
      </w:r>
      <w:r>
        <w:rPr>
          <w:rFonts w:hAnsi="宋体"/>
          <w:snapToGrid w:val="0"/>
          <w:color w:val="auto"/>
          <w:spacing w:val="-16"/>
          <w:kern w:val="21"/>
          <w:sz w:val="24"/>
          <w:szCs w:val="24"/>
          <w:highlight w:val="none"/>
        </w:rPr>
        <w:t>-</w:t>
      </w:r>
      <w:r>
        <w:rPr>
          <w:rFonts w:hAnsi="宋体"/>
          <w:snapToGrid w:val="0"/>
          <w:color w:val="auto"/>
          <w:spacing w:val="-6"/>
          <w:kern w:val="21"/>
          <w:sz w:val="24"/>
          <w:szCs w:val="24"/>
          <w:highlight w:val="none"/>
        </w:rPr>
        <w:fldChar w:fldCharType="begin"/>
      </w:r>
      <w:r>
        <w:rPr>
          <w:rFonts w:hAnsi="宋体"/>
          <w:snapToGrid w:val="0"/>
          <w:color w:val="auto"/>
          <w:spacing w:val="-6"/>
          <w:kern w:val="21"/>
          <w:sz w:val="24"/>
          <w:szCs w:val="24"/>
          <w:highlight w:val="none"/>
        </w:rPr>
        <w:instrText xml:space="preserve"> = 1 \* GB3 \* MERGEFORMAT </w:instrText>
      </w:r>
      <w:r>
        <w:rPr>
          <w:rFonts w:hAnsi="宋体"/>
          <w:snapToGrid w:val="0"/>
          <w:color w:val="auto"/>
          <w:spacing w:val="-6"/>
          <w:kern w:val="21"/>
          <w:sz w:val="24"/>
          <w:szCs w:val="24"/>
          <w:highlight w:val="none"/>
        </w:rPr>
        <w:fldChar w:fldCharType="separate"/>
      </w:r>
      <w:r>
        <w:rPr>
          <w:rFonts w:hint="eastAsia" w:hAnsi="宋体"/>
          <w:color w:val="auto"/>
          <w:sz w:val="24"/>
          <w:szCs w:val="24"/>
          <w:highlight w:val="none"/>
        </w:rPr>
        <w:t>①</w:t>
      </w:r>
      <w:r>
        <w:rPr>
          <w:rFonts w:hAnsi="宋体"/>
          <w:snapToGrid w:val="0"/>
          <w:color w:val="auto"/>
          <w:spacing w:val="-6"/>
          <w:kern w:val="21"/>
          <w:sz w:val="24"/>
          <w:szCs w:val="24"/>
          <w:highlight w:val="none"/>
        </w:rPr>
        <w:fldChar w:fldCharType="end"/>
      </w:r>
    </w:p>
    <w:sectPr>
      <w:pgSz w:w="16838" w:h="11906" w:orient="landscape"/>
      <w:pgMar w:top="1417" w:right="1440" w:bottom="1247" w:left="1440" w:header="851" w:footer="992" w:gutter="0"/>
      <w:pgBorders>
        <w:top w:val="none" w:sz="0" w:space="0"/>
        <w:left w:val="none" w:sz="0" w:space="0"/>
        <w:bottom w:val="none" w:sz="0" w:space="0"/>
        <w:right w:val="none" w:sz="0" w:space="0"/>
      </w:pgBorders>
      <w:pgNumType w:fmt="decimal"/>
      <w:cols w:space="0" w:num="1"/>
      <w:rtlGutter w:val="0"/>
      <w:docGrid w:type="lines" w:linePitch="330" w:charSpace="0"/>
    </w:sectPr>
  </w:body>
</w:document>
</file>

<file path=word/customizations.xml><?xml version="1.0" encoding="utf-8"?>
<wne:tcg xmlns:r="http://schemas.openxmlformats.org/officeDocument/2006/relationships" xmlns:wne="http://schemas.microsoft.com/office/word/2006/wordml">
  <wne:keymaps>
    <wne:keymap wne:kcmPrimary="0234">
      <wne:acd wne:acdName="acd0"/>
    </wne:keymap>
  </wne:keymaps>
  <wne:acds>
    <wne:acd wne:argValue="AQAAAAE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1D831CF6-A6BF-421C-98A8-302CAC6D419A}"/>
  </w:font>
  <w:font w:name="Arial">
    <w:panose1 w:val="020B0604020202020204"/>
    <w:charset w:val="01"/>
    <w:family w:val="swiss"/>
    <w:pitch w:val="default"/>
    <w:sig w:usb0="E0002EFF" w:usb1="C000785B" w:usb2="00000009" w:usb3="00000000" w:csb0="400001FF" w:csb1="FFFF0000"/>
    <w:embedRegular r:id="rId2" w:fontKey="{38344190-868B-45CB-9749-FB3C5C4038CD}"/>
  </w:font>
  <w:font w:name="黑体">
    <w:panose1 w:val="02010609060101010101"/>
    <w:charset w:val="86"/>
    <w:family w:val="auto"/>
    <w:pitch w:val="default"/>
    <w:sig w:usb0="800002BF" w:usb1="38CF7CFA" w:usb2="00000016" w:usb3="00000000" w:csb0="00040001" w:csb1="00000000"/>
    <w:embedRegular r:id="rId3" w:fontKey="{685D73AB-732D-4F16-AC34-0B6C728940C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ngLiU-ExtB">
    <w:panose1 w:val="02020500000000000000"/>
    <w:charset w:val="88"/>
    <w:family w:val="auto"/>
    <w:pitch w:val="default"/>
    <w:sig w:usb0="8000002F" w:usb1="02000008" w:usb2="00000000" w:usb3="00000000" w:csb0="00100001" w:csb1="00000000"/>
  </w:font>
  <w:font w:name="Mongolian Baiti">
    <w:panose1 w:val="03000500000000000000"/>
    <w:charset w:val="00"/>
    <w:family w:val="auto"/>
    <w:pitch w:val="default"/>
    <w:sig w:usb0="80000023" w:usb1="00000000" w:usb2="00020000" w:usb3="00000000" w:csb0="00000001" w:csb1="00000000"/>
  </w:font>
  <w:font w:name="方正仿宋_GB2312">
    <w:panose1 w:val="02000000000000000000"/>
    <w:charset w:val="86"/>
    <w:family w:val="auto"/>
    <w:pitch w:val="default"/>
    <w:sig w:usb0="A00002BF" w:usb1="184F6CFA" w:usb2="00000012" w:usb3="00000000" w:csb0="00040001" w:csb1="00000000"/>
    <w:embedRegular r:id="rId4" w:fontKey="{A44885DC-A89F-4313-B615-79E01124CD0E}"/>
  </w:font>
  <w:font w:name="方正楷体_GB2312">
    <w:panose1 w:val="02000000000000000000"/>
    <w:charset w:val="86"/>
    <w:family w:val="auto"/>
    <w:pitch w:val="default"/>
    <w:sig w:usb0="A00002BF" w:usb1="184F6CFA" w:usb2="00000012" w:usb3="00000000" w:csb0="00040001" w:csb1="00000000"/>
    <w:embedRegular r:id="rId5" w:fontKey="{576DF357-B511-4EF4-B30F-85F4F57CFEEA}"/>
  </w:font>
  <w:font w:name="华文仿宋">
    <w:panose1 w:val="02010600040101010101"/>
    <w:charset w:val="86"/>
    <w:family w:val="auto"/>
    <w:pitch w:val="default"/>
    <w:sig w:usb0="00000287" w:usb1="080F0000" w:usb2="00000000" w:usb3="00000000" w:csb0="0004009F" w:csb1="DFD70000"/>
    <w:embedRegular r:id="rId6" w:fontKey="{56179857-A5BF-41FD-9C89-0398C19F0F16}"/>
  </w:font>
  <w:font w:name="仿宋">
    <w:panose1 w:val="02010609060101010101"/>
    <w:charset w:val="86"/>
    <w:family w:val="auto"/>
    <w:pitch w:val="default"/>
    <w:sig w:usb0="800002BF" w:usb1="38CF7CFA" w:usb2="00000016" w:usb3="00000000" w:csb0="00040001" w:csb1="00000000"/>
    <w:embedRegular r:id="rId7" w:fontKey="{BDD5EC9C-C448-4D97-83C8-816D23411FD1}"/>
  </w:font>
  <w:font w:name="楷体">
    <w:panose1 w:val="02010609060101010101"/>
    <w:charset w:val="86"/>
    <w:family w:val="auto"/>
    <w:pitch w:val="default"/>
    <w:sig w:usb0="800002BF" w:usb1="38CF7CFA" w:usb2="00000016" w:usb3="00000000" w:csb0="00040001" w:csb1="00000000"/>
    <w:embedRegular r:id="rId8" w:fontKey="{08584B33-9D57-4917-BA8E-0F3A54A0BE84}"/>
  </w:font>
  <w:font w:name="方正小标宋_GBK">
    <w:panose1 w:val="02000000000000000000"/>
    <w:charset w:val="86"/>
    <w:family w:val="script"/>
    <w:pitch w:val="default"/>
    <w:sig w:usb0="A00002BF" w:usb1="38CF7CFA" w:usb2="00082016" w:usb3="00000000" w:csb0="00040001" w:csb1="00000000"/>
    <w:embedRegular r:id="rId9" w:fontKey="{39074E6A-3FDA-420E-898C-F124083A2C71}"/>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86821">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92E0D">
    <w:pPr>
      <w:pStyle w:val="18"/>
      <w:framePr w:wrap="around" w:vAnchor="text" w:hAnchor="margin" w:xAlign="center" w:y="1"/>
      <w:rPr>
        <w:rStyle w:val="33"/>
      </w:rPr>
    </w:pPr>
    <w:r>
      <w:fldChar w:fldCharType="begin"/>
    </w:r>
    <w:r>
      <w:rPr>
        <w:rStyle w:val="33"/>
      </w:rPr>
      <w:instrText xml:space="preserve">PAGE  </w:instrText>
    </w:r>
    <w:r>
      <w:fldChar w:fldCharType="end"/>
    </w:r>
  </w:p>
  <w:p w14:paraId="3C1AB471">
    <w:pPr>
      <w:pStyle w:val="1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4905D">
    <w:pPr>
      <w:pStyle w:val="18"/>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8E272">
    <w:pPr>
      <w:pStyle w:val="18"/>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CA4D6">
    <w:pPr>
      <w:pStyle w:val="18"/>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080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5080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17A1B">
                          <w:pPr>
                            <w:pStyle w:val="18"/>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40pt;mso-position-horizontal:center;mso-position-horizontal-relative:margin;z-index:251659264;mso-width-relative:page;mso-height-relative:page;" filled="f" stroked="f" coordsize="21600,21600" o:gfxdata="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KHOPN0gAAAAQBAAAPAAAAAAAAAAEAIAAAACIAAABkcnMvZG93bnJldi54bWxQ&#10;SwECFAAUAAAACACHTuJA2UWmIjYCAABiBAAADgAAAAAAAAABACAAAAAhAQAAZHJzL2Uyb0RvYy54&#10;bWxQSwUGAAAAAAYABgBZAQAAyQUAAAAA&#10;">
              <v:fill on="f" focussize="0,0"/>
              <v:stroke on="f" weight="0.5pt"/>
              <v:imagedata o:title=""/>
              <o:lock v:ext="edit" aspectratio="f"/>
              <v:textbox inset="0mm,0mm,0mm,0mm" style="mso-fit-shape-to-text:t;">
                <w:txbxContent>
                  <w:p w14:paraId="18917A1B">
                    <w:pPr>
                      <w:pStyle w:val="18"/>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DD8DB"/>
    <w:multiLevelType w:val="singleLevel"/>
    <w:tmpl w:val="83ADD8DB"/>
    <w:lvl w:ilvl="0" w:tentative="0">
      <w:start w:val="1"/>
      <w:numFmt w:val="decimal"/>
      <w:suff w:val="nothing"/>
      <w:lvlText w:val="表1-%1  "/>
      <w:lvlJc w:val="left"/>
      <w:pPr>
        <w:tabs>
          <w:tab w:val="left" w:pos="0"/>
        </w:tabs>
        <w:ind w:left="0" w:firstLine="0"/>
      </w:pPr>
      <w:rPr>
        <w:rFonts w:hint="default"/>
        <w:b/>
        <w:bCs/>
        <w:sz w:val="21"/>
        <w:szCs w:val="21"/>
      </w:rPr>
    </w:lvl>
  </w:abstractNum>
  <w:abstractNum w:abstractNumId="1">
    <w:nsid w:val="88B9FD09"/>
    <w:multiLevelType w:val="singleLevel"/>
    <w:tmpl w:val="88B9FD09"/>
    <w:lvl w:ilvl="0" w:tentative="0">
      <w:start w:val="1"/>
      <w:numFmt w:val="decimal"/>
      <w:suff w:val="nothing"/>
      <w:lvlText w:val="%1"/>
      <w:lvlJc w:val="center"/>
      <w:pPr>
        <w:tabs>
          <w:tab w:val="left" w:pos="0"/>
        </w:tabs>
        <w:ind w:left="0" w:firstLine="0"/>
      </w:pPr>
      <w:rPr>
        <w:rFonts w:hint="default"/>
      </w:rPr>
    </w:lvl>
  </w:abstractNum>
  <w:abstractNum w:abstractNumId="2">
    <w:nsid w:val="99AB842A"/>
    <w:multiLevelType w:val="singleLevel"/>
    <w:tmpl w:val="99AB842A"/>
    <w:lvl w:ilvl="0" w:tentative="0">
      <w:start w:val="1"/>
      <w:numFmt w:val="decimal"/>
      <w:suff w:val="nothing"/>
      <w:lvlText w:val="图2-%1  "/>
      <w:lvlJc w:val="left"/>
      <w:pPr>
        <w:tabs>
          <w:tab w:val="left" w:pos="0"/>
        </w:tabs>
        <w:ind w:left="0" w:firstLine="0"/>
      </w:pPr>
      <w:rPr>
        <w:rFonts w:hint="default"/>
        <w:b/>
        <w:bCs/>
        <w:sz w:val="21"/>
        <w:szCs w:val="21"/>
      </w:rPr>
    </w:lvl>
  </w:abstractNum>
  <w:abstractNum w:abstractNumId="3">
    <w:nsid w:val="A17621E5"/>
    <w:multiLevelType w:val="singleLevel"/>
    <w:tmpl w:val="A17621E5"/>
    <w:lvl w:ilvl="0" w:tentative="0">
      <w:start w:val="1"/>
      <w:numFmt w:val="decimal"/>
      <w:suff w:val="space"/>
      <w:lvlText w:val="%1"/>
      <w:lvlJc w:val="left"/>
      <w:pPr>
        <w:tabs>
          <w:tab w:val="left" w:pos="0"/>
        </w:tabs>
      </w:pPr>
      <w:rPr>
        <w:rFonts w:hint="default"/>
      </w:rPr>
    </w:lvl>
  </w:abstractNum>
  <w:abstractNum w:abstractNumId="4">
    <w:nsid w:val="ACB79A88"/>
    <w:multiLevelType w:val="singleLevel"/>
    <w:tmpl w:val="ACB79A88"/>
    <w:lvl w:ilvl="0" w:tentative="0">
      <w:start w:val="1"/>
      <w:numFmt w:val="decimal"/>
      <w:suff w:val="nothing"/>
      <w:lvlText w:val="表4-%1  "/>
      <w:lvlJc w:val="left"/>
      <w:pPr>
        <w:tabs>
          <w:tab w:val="left" w:pos="0"/>
        </w:tabs>
        <w:ind w:left="0" w:firstLine="0"/>
      </w:pPr>
      <w:rPr>
        <w:rFonts w:hint="default"/>
        <w:color w:val="auto"/>
        <w:sz w:val="21"/>
        <w:szCs w:val="21"/>
      </w:rPr>
    </w:lvl>
  </w:abstractNum>
  <w:abstractNum w:abstractNumId="5">
    <w:nsid w:val="B1AE4892"/>
    <w:multiLevelType w:val="singleLevel"/>
    <w:tmpl w:val="B1AE4892"/>
    <w:lvl w:ilvl="0" w:tentative="0">
      <w:start w:val="4"/>
      <w:numFmt w:val="chineseCounting"/>
      <w:suff w:val="nothing"/>
      <w:lvlText w:val="%1、"/>
      <w:lvlJc w:val="left"/>
      <w:rPr>
        <w:rFonts w:hint="eastAsia"/>
      </w:rPr>
    </w:lvl>
  </w:abstractNum>
  <w:abstractNum w:abstractNumId="6">
    <w:nsid w:val="B2CA2DE6"/>
    <w:multiLevelType w:val="singleLevel"/>
    <w:tmpl w:val="B2CA2DE6"/>
    <w:lvl w:ilvl="0" w:tentative="0">
      <w:start w:val="1"/>
      <w:numFmt w:val="decimal"/>
      <w:suff w:val="nothing"/>
      <w:lvlText w:val="（%1）"/>
      <w:lvlJc w:val="left"/>
    </w:lvl>
  </w:abstractNum>
  <w:abstractNum w:abstractNumId="7">
    <w:nsid w:val="B601D6CF"/>
    <w:multiLevelType w:val="singleLevel"/>
    <w:tmpl w:val="B601D6CF"/>
    <w:lvl w:ilvl="0" w:tentative="0">
      <w:start w:val="1"/>
      <w:numFmt w:val="decimal"/>
      <w:suff w:val="nothing"/>
      <w:lvlText w:val="%1"/>
      <w:lvlJc w:val="center"/>
      <w:pPr>
        <w:tabs>
          <w:tab w:val="left" w:pos="0"/>
        </w:tabs>
        <w:ind w:left="0" w:firstLine="0"/>
      </w:pPr>
      <w:rPr>
        <w:rFonts w:hint="default" w:ascii="Times New Roman" w:hAnsi="Times New Roman" w:eastAsia="宋体" w:cs="宋体"/>
      </w:rPr>
    </w:lvl>
  </w:abstractNum>
  <w:abstractNum w:abstractNumId="8">
    <w:nsid w:val="BA6E5116"/>
    <w:multiLevelType w:val="singleLevel"/>
    <w:tmpl w:val="BA6E5116"/>
    <w:lvl w:ilvl="0" w:tentative="0">
      <w:start w:val="1"/>
      <w:numFmt w:val="decimal"/>
      <w:suff w:val="nothing"/>
      <w:lvlText w:val="%1"/>
      <w:lvlJc w:val="center"/>
      <w:pPr>
        <w:ind w:left="0" w:firstLine="0"/>
      </w:pPr>
      <w:rPr>
        <w:rFonts w:hint="default"/>
      </w:rPr>
    </w:lvl>
  </w:abstractNum>
  <w:abstractNum w:abstractNumId="9">
    <w:nsid w:val="DBB0CB17"/>
    <w:multiLevelType w:val="singleLevel"/>
    <w:tmpl w:val="DBB0CB17"/>
    <w:lvl w:ilvl="0" w:tentative="0">
      <w:start w:val="1"/>
      <w:numFmt w:val="decimal"/>
      <w:suff w:val="nothing"/>
      <w:lvlText w:val="图1-%1  "/>
      <w:lvlJc w:val="left"/>
      <w:pPr>
        <w:ind w:left="0" w:firstLine="0"/>
      </w:pPr>
      <w:rPr>
        <w:rFonts w:hint="default"/>
        <w:b/>
        <w:bCs/>
        <w:sz w:val="21"/>
        <w:szCs w:val="21"/>
      </w:rPr>
    </w:lvl>
  </w:abstractNum>
  <w:abstractNum w:abstractNumId="10">
    <w:nsid w:val="EBCC5D85"/>
    <w:multiLevelType w:val="singleLevel"/>
    <w:tmpl w:val="EBCC5D85"/>
    <w:lvl w:ilvl="0" w:tentative="0">
      <w:start w:val="1"/>
      <w:numFmt w:val="decimal"/>
      <w:suff w:val="nothing"/>
      <w:lvlText w:val="表4-%1  "/>
      <w:lvlJc w:val="left"/>
      <w:pPr>
        <w:ind w:left="0" w:firstLine="0"/>
      </w:pPr>
      <w:rPr>
        <w:rFonts w:hint="default"/>
        <w:sz w:val="21"/>
        <w:szCs w:val="21"/>
      </w:rPr>
    </w:lvl>
  </w:abstractNum>
  <w:abstractNum w:abstractNumId="11">
    <w:nsid w:val="FA363BDF"/>
    <w:multiLevelType w:val="singleLevel"/>
    <w:tmpl w:val="FA363BDF"/>
    <w:lvl w:ilvl="0" w:tentative="0">
      <w:start w:val="1"/>
      <w:numFmt w:val="decimal"/>
      <w:suff w:val="nothing"/>
      <w:lvlText w:val="（%1）"/>
      <w:lvlJc w:val="left"/>
    </w:lvl>
  </w:abstractNum>
  <w:abstractNum w:abstractNumId="12">
    <w:nsid w:val="FA48203D"/>
    <w:multiLevelType w:val="singleLevel"/>
    <w:tmpl w:val="FA48203D"/>
    <w:lvl w:ilvl="0" w:tentative="0">
      <w:start w:val="1"/>
      <w:numFmt w:val="decimal"/>
      <w:suff w:val="nothing"/>
      <w:lvlText w:val="（%1）"/>
      <w:lvlJc w:val="left"/>
    </w:lvl>
  </w:abstractNum>
  <w:abstractNum w:abstractNumId="13">
    <w:nsid w:val="FD8CF2A6"/>
    <w:multiLevelType w:val="singleLevel"/>
    <w:tmpl w:val="FD8CF2A6"/>
    <w:lvl w:ilvl="0" w:tentative="0">
      <w:start w:val="1"/>
      <w:numFmt w:val="decimal"/>
      <w:suff w:val="nothing"/>
      <w:lvlText w:val="%1"/>
      <w:lvlJc w:val="center"/>
      <w:pPr>
        <w:ind w:left="0" w:firstLine="0"/>
      </w:pPr>
      <w:rPr>
        <w:rFonts w:hint="default"/>
      </w:rPr>
    </w:lvl>
  </w:abstractNum>
  <w:abstractNum w:abstractNumId="14">
    <w:nsid w:val="08FB494E"/>
    <w:multiLevelType w:val="singleLevel"/>
    <w:tmpl w:val="08FB494E"/>
    <w:lvl w:ilvl="0" w:tentative="0">
      <w:start w:val="1"/>
      <w:numFmt w:val="decimal"/>
      <w:suff w:val="nothing"/>
      <w:lvlText w:val="%1"/>
      <w:lvlJc w:val="center"/>
      <w:pPr>
        <w:tabs>
          <w:tab w:val="left" w:pos="0"/>
        </w:tabs>
        <w:ind w:left="0" w:firstLine="0"/>
      </w:pPr>
      <w:rPr>
        <w:rFonts w:hint="default" w:ascii="Times New Roman" w:hAnsi="Times New Roman" w:eastAsia="宋体" w:cs="宋体"/>
      </w:rPr>
    </w:lvl>
  </w:abstractNum>
  <w:abstractNum w:abstractNumId="15">
    <w:nsid w:val="0BBBFB51"/>
    <w:multiLevelType w:val="singleLevel"/>
    <w:tmpl w:val="0BBBFB51"/>
    <w:lvl w:ilvl="0" w:tentative="0">
      <w:start w:val="1"/>
      <w:numFmt w:val="decimal"/>
      <w:suff w:val="nothing"/>
      <w:lvlText w:val="（%1）"/>
      <w:lvlJc w:val="left"/>
      <w:pPr>
        <w:ind w:left="240"/>
      </w:pPr>
      <w:rPr>
        <w:rFonts w:hint="default"/>
        <w:color w:val="auto"/>
      </w:rPr>
    </w:lvl>
  </w:abstractNum>
  <w:abstractNum w:abstractNumId="16">
    <w:nsid w:val="111A9F6A"/>
    <w:multiLevelType w:val="singleLevel"/>
    <w:tmpl w:val="111A9F6A"/>
    <w:lvl w:ilvl="0" w:tentative="0">
      <w:start w:val="1"/>
      <w:numFmt w:val="decimal"/>
      <w:suff w:val="nothing"/>
      <w:lvlText w:val="%1."/>
      <w:lvlJc w:val="left"/>
      <w:pPr>
        <w:tabs>
          <w:tab w:val="left" w:pos="312"/>
        </w:tabs>
      </w:pPr>
      <w:rPr>
        <w:rFonts w:hint="default"/>
      </w:rPr>
    </w:lvl>
  </w:abstractNum>
  <w:abstractNum w:abstractNumId="17">
    <w:nsid w:val="12C10F95"/>
    <w:multiLevelType w:val="singleLevel"/>
    <w:tmpl w:val="12C10F95"/>
    <w:lvl w:ilvl="0" w:tentative="0">
      <w:start w:val="1"/>
      <w:numFmt w:val="decimal"/>
      <w:suff w:val="nothing"/>
      <w:lvlText w:val="（%1）"/>
      <w:lvlJc w:val="left"/>
    </w:lvl>
  </w:abstractNum>
  <w:abstractNum w:abstractNumId="18">
    <w:nsid w:val="171A0426"/>
    <w:multiLevelType w:val="singleLevel"/>
    <w:tmpl w:val="171A0426"/>
    <w:lvl w:ilvl="0" w:tentative="0">
      <w:start w:val="1"/>
      <w:numFmt w:val="decimal"/>
      <w:suff w:val="nothing"/>
      <w:lvlText w:val="%1."/>
      <w:lvlJc w:val="left"/>
      <w:pPr>
        <w:tabs>
          <w:tab w:val="left" w:pos="312"/>
        </w:tabs>
      </w:pPr>
      <w:rPr>
        <w:rFonts w:hint="default"/>
      </w:rPr>
    </w:lvl>
  </w:abstractNum>
  <w:abstractNum w:abstractNumId="19">
    <w:nsid w:val="1A87EF48"/>
    <w:multiLevelType w:val="singleLevel"/>
    <w:tmpl w:val="1A87EF48"/>
    <w:lvl w:ilvl="0" w:tentative="0">
      <w:start w:val="2"/>
      <w:numFmt w:val="decimal"/>
      <w:suff w:val="nothing"/>
      <w:lvlText w:val="%1、"/>
      <w:lvlJc w:val="left"/>
    </w:lvl>
  </w:abstractNum>
  <w:abstractNum w:abstractNumId="20">
    <w:nsid w:val="1C347AF3"/>
    <w:multiLevelType w:val="singleLevel"/>
    <w:tmpl w:val="1C347AF3"/>
    <w:lvl w:ilvl="0" w:tentative="0">
      <w:start w:val="1"/>
      <w:numFmt w:val="decimal"/>
      <w:suff w:val="nothing"/>
      <w:lvlText w:val="%1"/>
      <w:lvlJc w:val="center"/>
      <w:pPr>
        <w:tabs>
          <w:tab w:val="left" w:pos="0"/>
        </w:tabs>
        <w:ind w:left="0" w:firstLine="0"/>
      </w:pPr>
      <w:rPr>
        <w:rFonts w:hint="default"/>
      </w:rPr>
    </w:lvl>
  </w:abstractNum>
  <w:abstractNum w:abstractNumId="21">
    <w:nsid w:val="25FC3D31"/>
    <w:multiLevelType w:val="singleLevel"/>
    <w:tmpl w:val="25FC3D31"/>
    <w:lvl w:ilvl="0" w:tentative="0">
      <w:start w:val="1"/>
      <w:numFmt w:val="decimal"/>
      <w:suff w:val="nothing"/>
      <w:lvlText w:val="%1"/>
      <w:lvlJc w:val="center"/>
      <w:pPr>
        <w:tabs>
          <w:tab w:val="left" w:pos="0"/>
        </w:tabs>
        <w:ind w:left="0" w:firstLine="0"/>
      </w:pPr>
      <w:rPr>
        <w:rFonts w:hint="default" w:ascii="Times New Roman" w:hAnsi="Times New Roman" w:eastAsia="宋体" w:cs="宋体"/>
      </w:rPr>
    </w:lvl>
  </w:abstractNum>
  <w:abstractNum w:abstractNumId="22">
    <w:nsid w:val="2AFE5C89"/>
    <w:multiLevelType w:val="singleLevel"/>
    <w:tmpl w:val="2AFE5C89"/>
    <w:lvl w:ilvl="0" w:tentative="0">
      <w:start w:val="1"/>
      <w:numFmt w:val="decimal"/>
      <w:suff w:val="nothing"/>
      <w:lvlText w:val="（%1）"/>
      <w:lvlJc w:val="left"/>
    </w:lvl>
  </w:abstractNum>
  <w:abstractNum w:abstractNumId="23">
    <w:nsid w:val="2CB4C44B"/>
    <w:multiLevelType w:val="singleLevel"/>
    <w:tmpl w:val="2CB4C44B"/>
    <w:lvl w:ilvl="0" w:tentative="0">
      <w:start w:val="1"/>
      <w:numFmt w:val="decimal"/>
      <w:suff w:val="nothing"/>
      <w:lvlText w:val="%1"/>
      <w:lvlJc w:val="center"/>
      <w:pPr>
        <w:ind w:left="0" w:firstLine="0"/>
      </w:pPr>
      <w:rPr>
        <w:rFonts w:hint="default"/>
      </w:rPr>
    </w:lvl>
  </w:abstractNum>
  <w:abstractNum w:abstractNumId="24">
    <w:nsid w:val="31A18D11"/>
    <w:multiLevelType w:val="singleLevel"/>
    <w:tmpl w:val="31A18D11"/>
    <w:lvl w:ilvl="0" w:tentative="0">
      <w:start w:val="1"/>
      <w:numFmt w:val="decimal"/>
      <w:suff w:val="nothing"/>
      <w:lvlText w:val="表2-%1  "/>
      <w:lvlJc w:val="left"/>
      <w:pPr>
        <w:tabs>
          <w:tab w:val="left" w:pos="0"/>
        </w:tabs>
        <w:ind w:left="0" w:firstLine="0"/>
      </w:pPr>
      <w:rPr>
        <w:rFonts w:hint="default"/>
        <w:color w:val="auto"/>
        <w:sz w:val="21"/>
        <w:szCs w:val="21"/>
      </w:rPr>
    </w:lvl>
  </w:abstractNum>
  <w:abstractNum w:abstractNumId="25">
    <w:nsid w:val="32A71D73"/>
    <w:multiLevelType w:val="singleLevel"/>
    <w:tmpl w:val="32A71D73"/>
    <w:lvl w:ilvl="0" w:tentative="0">
      <w:start w:val="1"/>
      <w:numFmt w:val="decimal"/>
      <w:suff w:val="nothing"/>
      <w:lvlText w:val="表3-%1  "/>
      <w:lvlJc w:val="left"/>
      <w:pPr>
        <w:tabs>
          <w:tab w:val="left" w:pos="0"/>
        </w:tabs>
        <w:ind w:left="0" w:firstLine="0"/>
      </w:pPr>
      <w:rPr>
        <w:rFonts w:hint="default"/>
        <w:color w:val="auto"/>
        <w:sz w:val="21"/>
        <w:szCs w:val="21"/>
      </w:rPr>
    </w:lvl>
  </w:abstractNum>
  <w:abstractNum w:abstractNumId="26">
    <w:nsid w:val="36970A70"/>
    <w:multiLevelType w:val="multilevel"/>
    <w:tmpl w:val="36970A70"/>
    <w:lvl w:ilvl="0" w:tentative="0">
      <w:start w:val="1"/>
      <w:numFmt w:val="decimal"/>
      <w:pStyle w:val="74"/>
      <w:lvlText w:val="表%1 "/>
      <w:lvlJc w:val="left"/>
      <w:pPr>
        <w:ind w:left="4105" w:hanging="420"/>
      </w:pPr>
      <w:rPr>
        <w:rFonts w:hint="default" w:ascii="Times New Roman" w:hAnsi="Times New Roman" w:cs="Times New Roman"/>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37A5720E"/>
    <w:multiLevelType w:val="singleLevel"/>
    <w:tmpl w:val="37A5720E"/>
    <w:lvl w:ilvl="0" w:tentative="0">
      <w:start w:val="1"/>
      <w:numFmt w:val="decimal"/>
      <w:suff w:val="nothing"/>
      <w:lvlText w:val="（%1）"/>
      <w:lvlJc w:val="left"/>
    </w:lvl>
  </w:abstractNum>
  <w:abstractNum w:abstractNumId="28">
    <w:nsid w:val="381AFE64"/>
    <w:multiLevelType w:val="singleLevel"/>
    <w:tmpl w:val="381AFE64"/>
    <w:lvl w:ilvl="0" w:tentative="0">
      <w:start w:val="1"/>
      <w:numFmt w:val="decimal"/>
      <w:suff w:val="nothing"/>
      <w:lvlText w:val="%1"/>
      <w:lvlJc w:val="center"/>
      <w:pPr>
        <w:ind w:left="0" w:firstLine="0"/>
      </w:pPr>
      <w:rPr>
        <w:rFonts w:hint="default"/>
      </w:rPr>
    </w:lvl>
  </w:abstractNum>
  <w:abstractNum w:abstractNumId="29">
    <w:nsid w:val="38CC3A25"/>
    <w:multiLevelType w:val="singleLevel"/>
    <w:tmpl w:val="38CC3A25"/>
    <w:lvl w:ilvl="0" w:tentative="0">
      <w:start w:val="2"/>
      <w:numFmt w:val="decimal"/>
      <w:suff w:val="nothing"/>
      <w:lvlText w:val="（%1）"/>
      <w:lvlJc w:val="left"/>
    </w:lvl>
  </w:abstractNum>
  <w:abstractNum w:abstractNumId="30">
    <w:nsid w:val="3CEE1F50"/>
    <w:multiLevelType w:val="singleLevel"/>
    <w:tmpl w:val="3CEE1F50"/>
    <w:lvl w:ilvl="0" w:tentative="0">
      <w:start w:val="1"/>
      <w:numFmt w:val="decimal"/>
      <w:suff w:val="nothing"/>
      <w:lvlText w:val="（%1）"/>
      <w:lvlJc w:val="left"/>
      <w:pPr>
        <w:tabs>
          <w:tab w:val="left" w:pos="420"/>
        </w:tabs>
      </w:pPr>
      <w:rPr>
        <w:rFonts w:hint="default"/>
      </w:rPr>
    </w:lvl>
  </w:abstractNum>
  <w:abstractNum w:abstractNumId="31">
    <w:nsid w:val="42231711"/>
    <w:multiLevelType w:val="singleLevel"/>
    <w:tmpl w:val="42231711"/>
    <w:lvl w:ilvl="0" w:tentative="0">
      <w:start w:val="1"/>
      <w:numFmt w:val="decimal"/>
      <w:suff w:val="nothing"/>
      <w:lvlText w:val="%1"/>
      <w:lvlJc w:val="center"/>
      <w:pPr>
        <w:ind w:left="0" w:firstLine="0"/>
      </w:pPr>
      <w:rPr>
        <w:rFonts w:hint="default"/>
      </w:rPr>
    </w:lvl>
  </w:abstractNum>
  <w:abstractNum w:abstractNumId="32">
    <w:nsid w:val="43A89F74"/>
    <w:multiLevelType w:val="singleLevel"/>
    <w:tmpl w:val="43A89F74"/>
    <w:lvl w:ilvl="0" w:tentative="0">
      <w:start w:val="1"/>
      <w:numFmt w:val="decimal"/>
      <w:suff w:val="nothing"/>
      <w:lvlText w:val="%1"/>
      <w:lvlJc w:val="center"/>
      <w:pPr>
        <w:ind w:left="0" w:firstLine="0"/>
      </w:pPr>
      <w:rPr>
        <w:rFonts w:hint="default"/>
      </w:rPr>
    </w:lvl>
  </w:abstractNum>
  <w:abstractNum w:abstractNumId="33">
    <w:nsid w:val="4D560BFE"/>
    <w:multiLevelType w:val="singleLevel"/>
    <w:tmpl w:val="4D560BFE"/>
    <w:lvl w:ilvl="0" w:tentative="0">
      <w:start w:val="1"/>
      <w:numFmt w:val="decimal"/>
      <w:suff w:val="nothing"/>
      <w:lvlText w:val="%1"/>
      <w:lvlJc w:val="center"/>
      <w:pPr>
        <w:ind w:left="0" w:firstLine="0"/>
      </w:pPr>
      <w:rPr>
        <w:rFonts w:hint="default"/>
      </w:rPr>
    </w:lvl>
  </w:abstractNum>
  <w:abstractNum w:abstractNumId="34">
    <w:nsid w:val="5A6B000B"/>
    <w:multiLevelType w:val="singleLevel"/>
    <w:tmpl w:val="5A6B000B"/>
    <w:lvl w:ilvl="0" w:tentative="0">
      <w:start w:val="1"/>
      <w:numFmt w:val="decimal"/>
      <w:suff w:val="nothing"/>
      <w:lvlText w:val="%1"/>
      <w:lvlJc w:val="center"/>
      <w:pPr>
        <w:tabs>
          <w:tab w:val="left" w:pos="0"/>
        </w:tabs>
        <w:ind w:left="0" w:firstLine="0"/>
      </w:pPr>
      <w:rPr>
        <w:rFonts w:hint="default" w:ascii="Times New Roman" w:hAnsi="Times New Roman" w:eastAsia="宋体" w:cs="宋体"/>
      </w:rPr>
    </w:lvl>
  </w:abstractNum>
  <w:abstractNum w:abstractNumId="35">
    <w:nsid w:val="6D0ED997"/>
    <w:multiLevelType w:val="singleLevel"/>
    <w:tmpl w:val="6D0ED997"/>
    <w:lvl w:ilvl="0" w:tentative="0">
      <w:start w:val="12"/>
      <w:numFmt w:val="decimal"/>
      <w:suff w:val="nothing"/>
      <w:lvlText w:val="%1、"/>
      <w:lvlJc w:val="left"/>
    </w:lvl>
  </w:abstractNum>
  <w:abstractNum w:abstractNumId="36">
    <w:nsid w:val="76E3ED71"/>
    <w:multiLevelType w:val="singleLevel"/>
    <w:tmpl w:val="76E3ED71"/>
    <w:lvl w:ilvl="0" w:tentative="0">
      <w:start w:val="1"/>
      <w:numFmt w:val="decimal"/>
      <w:suff w:val="nothing"/>
      <w:lvlText w:val="（%1）"/>
      <w:lvlJc w:val="left"/>
    </w:lvl>
  </w:abstractNum>
  <w:abstractNum w:abstractNumId="37">
    <w:nsid w:val="7E153059"/>
    <w:multiLevelType w:val="singleLevel"/>
    <w:tmpl w:val="7E153059"/>
    <w:lvl w:ilvl="0" w:tentative="0">
      <w:start w:val="1"/>
      <w:numFmt w:val="bullet"/>
      <w:pStyle w:val="15"/>
      <w:lvlText w:val=""/>
      <w:lvlJc w:val="left"/>
      <w:pPr>
        <w:tabs>
          <w:tab w:val="left" w:pos="2040"/>
        </w:tabs>
        <w:ind w:left="2040" w:hanging="360"/>
      </w:pPr>
      <w:rPr>
        <w:rFonts w:hint="default" w:ascii="Wingdings" w:hAnsi="Wingdings"/>
      </w:rPr>
    </w:lvl>
  </w:abstractNum>
  <w:num w:numId="1">
    <w:abstractNumId w:val="37"/>
  </w:num>
  <w:num w:numId="2">
    <w:abstractNumId w:val="26"/>
  </w:num>
  <w:num w:numId="3">
    <w:abstractNumId w:val="0"/>
  </w:num>
  <w:num w:numId="4">
    <w:abstractNumId w:val="28"/>
  </w:num>
  <w:num w:numId="5">
    <w:abstractNumId w:val="31"/>
  </w:num>
  <w:num w:numId="6">
    <w:abstractNumId w:val="16"/>
  </w:num>
  <w:num w:numId="7">
    <w:abstractNumId w:val="18"/>
  </w:num>
  <w:num w:numId="8">
    <w:abstractNumId w:val="23"/>
  </w:num>
  <w:num w:numId="9">
    <w:abstractNumId w:val="34"/>
  </w:num>
  <w:num w:numId="10">
    <w:abstractNumId w:val="21"/>
  </w:num>
  <w:num w:numId="11">
    <w:abstractNumId w:val="9"/>
  </w:num>
  <w:num w:numId="12">
    <w:abstractNumId w:val="24"/>
  </w:num>
  <w:num w:numId="13">
    <w:abstractNumId w:val="14"/>
  </w:num>
  <w:num w:numId="14">
    <w:abstractNumId w:val="7"/>
  </w:num>
  <w:num w:numId="15">
    <w:abstractNumId w:val="33"/>
  </w:num>
  <w:num w:numId="16">
    <w:abstractNumId w:val="8"/>
  </w:num>
  <w:num w:numId="17">
    <w:abstractNumId w:val="2"/>
  </w:num>
  <w:num w:numId="18">
    <w:abstractNumId w:val="29"/>
  </w:num>
  <w:num w:numId="19">
    <w:abstractNumId w:val="35"/>
  </w:num>
  <w:num w:numId="20">
    <w:abstractNumId w:val="19"/>
  </w:num>
  <w:num w:numId="21">
    <w:abstractNumId w:val="25"/>
  </w:num>
  <w:num w:numId="22">
    <w:abstractNumId w:val="22"/>
  </w:num>
  <w:num w:numId="23">
    <w:abstractNumId w:val="17"/>
  </w:num>
  <w:num w:numId="24">
    <w:abstractNumId w:val="27"/>
  </w:num>
  <w:num w:numId="25">
    <w:abstractNumId w:val="15"/>
  </w:num>
  <w:num w:numId="26">
    <w:abstractNumId w:val="5"/>
  </w:num>
  <w:num w:numId="27">
    <w:abstractNumId w:val="10"/>
  </w:num>
  <w:num w:numId="28">
    <w:abstractNumId w:val="20"/>
  </w:num>
  <w:num w:numId="29">
    <w:abstractNumId w:val="11"/>
  </w:num>
  <w:num w:numId="30">
    <w:abstractNumId w:val="12"/>
  </w:num>
  <w:num w:numId="31">
    <w:abstractNumId w:val="4"/>
  </w:num>
  <w:num w:numId="32">
    <w:abstractNumId w:val="32"/>
  </w:num>
  <w:num w:numId="33">
    <w:abstractNumId w:val="30"/>
  </w:num>
  <w:num w:numId="34">
    <w:abstractNumId w:val="3"/>
  </w:num>
  <w:num w:numId="35">
    <w:abstractNumId w:val="1"/>
  </w:num>
  <w:num w:numId="36">
    <w:abstractNumId w:val="36"/>
  </w:num>
  <w:num w:numId="37">
    <w:abstractNumId w:val="13"/>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mYTg0YzVjNjAxZWFiMGM2NjdlMjY5NmE2ODdiMTkifQ=="/>
  </w:docVars>
  <w:rsids>
    <w:rsidRoot w:val="00172A27"/>
    <w:rsid w:val="005C0CC0"/>
    <w:rsid w:val="005F3E1E"/>
    <w:rsid w:val="00A566D5"/>
    <w:rsid w:val="01016C60"/>
    <w:rsid w:val="010B2AF9"/>
    <w:rsid w:val="010D427B"/>
    <w:rsid w:val="013438C9"/>
    <w:rsid w:val="014402DC"/>
    <w:rsid w:val="01565A20"/>
    <w:rsid w:val="015A60C5"/>
    <w:rsid w:val="01A809AA"/>
    <w:rsid w:val="01AD7280"/>
    <w:rsid w:val="01B16EB4"/>
    <w:rsid w:val="01BC7932"/>
    <w:rsid w:val="01D33E62"/>
    <w:rsid w:val="01EB7BB3"/>
    <w:rsid w:val="0232266D"/>
    <w:rsid w:val="025657AD"/>
    <w:rsid w:val="02652AE0"/>
    <w:rsid w:val="02734583"/>
    <w:rsid w:val="027B124C"/>
    <w:rsid w:val="028D1F0F"/>
    <w:rsid w:val="02987B74"/>
    <w:rsid w:val="02A10A50"/>
    <w:rsid w:val="02CC42FC"/>
    <w:rsid w:val="02CF694C"/>
    <w:rsid w:val="03011BBD"/>
    <w:rsid w:val="034F0B7A"/>
    <w:rsid w:val="03B629A7"/>
    <w:rsid w:val="03CA2248"/>
    <w:rsid w:val="03D33559"/>
    <w:rsid w:val="04296581"/>
    <w:rsid w:val="042F62B6"/>
    <w:rsid w:val="04436E0D"/>
    <w:rsid w:val="04667D54"/>
    <w:rsid w:val="046F14D4"/>
    <w:rsid w:val="04781A0B"/>
    <w:rsid w:val="04857D83"/>
    <w:rsid w:val="04E40066"/>
    <w:rsid w:val="04E9555B"/>
    <w:rsid w:val="04FC6D77"/>
    <w:rsid w:val="050A0837"/>
    <w:rsid w:val="0535602A"/>
    <w:rsid w:val="05692E73"/>
    <w:rsid w:val="057E3481"/>
    <w:rsid w:val="059304F6"/>
    <w:rsid w:val="05A224EF"/>
    <w:rsid w:val="05B73EBA"/>
    <w:rsid w:val="05D11D1B"/>
    <w:rsid w:val="05E52328"/>
    <w:rsid w:val="06016833"/>
    <w:rsid w:val="06053772"/>
    <w:rsid w:val="064707DC"/>
    <w:rsid w:val="067B3A34"/>
    <w:rsid w:val="06900D73"/>
    <w:rsid w:val="06A331C9"/>
    <w:rsid w:val="06AE32EE"/>
    <w:rsid w:val="06C23411"/>
    <w:rsid w:val="06F54A59"/>
    <w:rsid w:val="06F9676B"/>
    <w:rsid w:val="07061550"/>
    <w:rsid w:val="076A3DB7"/>
    <w:rsid w:val="07803439"/>
    <w:rsid w:val="079B6F2B"/>
    <w:rsid w:val="07C71BFD"/>
    <w:rsid w:val="07D6545A"/>
    <w:rsid w:val="0808754A"/>
    <w:rsid w:val="080D5E6A"/>
    <w:rsid w:val="084314D4"/>
    <w:rsid w:val="084A1910"/>
    <w:rsid w:val="084F45FD"/>
    <w:rsid w:val="08E81855"/>
    <w:rsid w:val="08EC3D7C"/>
    <w:rsid w:val="099646D7"/>
    <w:rsid w:val="09E81BB0"/>
    <w:rsid w:val="09F558AC"/>
    <w:rsid w:val="0A0A5175"/>
    <w:rsid w:val="0A351C43"/>
    <w:rsid w:val="0A55597F"/>
    <w:rsid w:val="0A5B1BB3"/>
    <w:rsid w:val="0A5D64AC"/>
    <w:rsid w:val="0A8A2498"/>
    <w:rsid w:val="0A9357F1"/>
    <w:rsid w:val="0A9C56BA"/>
    <w:rsid w:val="0AD8541E"/>
    <w:rsid w:val="0B014771"/>
    <w:rsid w:val="0B512FB6"/>
    <w:rsid w:val="0B534FF2"/>
    <w:rsid w:val="0B566063"/>
    <w:rsid w:val="0B7A4561"/>
    <w:rsid w:val="0B971296"/>
    <w:rsid w:val="0BAB4CD0"/>
    <w:rsid w:val="0BD36718"/>
    <w:rsid w:val="0BD95C00"/>
    <w:rsid w:val="0BDF0E68"/>
    <w:rsid w:val="0C8A7D71"/>
    <w:rsid w:val="0CB50740"/>
    <w:rsid w:val="0CCA621C"/>
    <w:rsid w:val="0D0F3D60"/>
    <w:rsid w:val="0D126D7A"/>
    <w:rsid w:val="0D407ACF"/>
    <w:rsid w:val="0D470B14"/>
    <w:rsid w:val="0D4D5AB3"/>
    <w:rsid w:val="0DC65B4F"/>
    <w:rsid w:val="0E3E1231"/>
    <w:rsid w:val="0E725033"/>
    <w:rsid w:val="0EA45C72"/>
    <w:rsid w:val="0EF7400C"/>
    <w:rsid w:val="0F44530B"/>
    <w:rsid w:val="0F4B4170"/>
    <w:rsid w:val="0F655250"/>
    <w:rsid w:val="0F7979F3"/>
    <w:rsid w:val="0F956474"/>
    <w:rsid w:val="0F983D1F"/>
    <w:rsid w:val="0F997807"/>
    <w:rsid w:val="0FA1450C"/>
    <w:rsid w:val="0FB95BF6"/>
    <w:rsid w:val="0FC30926"/>
    <w:rsid w:val="0FC900E6"/>
    <w:rsid w:val="0FCA6835"/>
    <w:rsid w:val="102B229E"/>
    <w:rsid w:val="10357E4D"/>
    <w:rsid w:val="10656BA8"/>
    <w:rsid w:val="107C63BF"/>
    <w:rsid w:val="109E0DDB"/>
    <w:rsid w:val="10A7047B"/>
    <w:rsid w:val="10A973C7"/>
    <w:rsid w:val="10B150DA"/>
    <w:rsid w:val="10CD30DE"/>
    <w:rsid w:val="10D95F27"/>
    <w:rsid w:val="10FE58C3"/>
    <w:rsid w:val="11036B00"/>
    <w:rsid w:val="11094917"/>
    <w:rsid w:val="11130AA6"/>
    <w:rsid w:val="112160A6"/>
    <w:rsid w:val="11262600"/>
    <w:rsid w:val="113C4314"/>
    <w:rsid w:val="118253F2"/>
    <w:rsid w:val="11A062F6"/>
    <w:rsid w:val="11BF336F"/>
    <w:rsid w:val="11C31526"/>
    <w:rsid w:val="11F0764E"/>
    <w:rsid w:val="1228572E"/>
    <w:rsid w:val="123D2B5C"/>
    <w:rsid w:val="12537AE6"/>
    <w:rsid w:val="126E583A"/>
    <w:rsid w:val="12E8656E"/>
    <w:rsid w:val="12F02D86"/>
    <w:rsid w:val="132900D9"/>
    <w:rsid w:val="136C6F72"/>
    <w:rsid w:val="13F02712"/>
    <w:rsid w:val="14BF3920"/>
    <w:rsid w:val="14C51DEA"/>
    <w:rsid w:val="14ED7F17"/>
    <w:rsid w:val="150A4901"/>
    <w:rsid w:val="151150D5"/>
    <w:rsid w:val="1544544F"/>
    <w:rsid w:val="15486C9E"/>
    <w:rsid w:val="154F6DCF"/>
    <w:rsid w:val="15AB7276"/>
    <w:rsid w:val="15BB6C05"/>
    <w:rsid w:val="15F03D40"/>
    <w:rsid w:val="161673F1"/>
    <w:rsid w:val="16171241"/>
    <w:rsid w:val="164331A2"/>
    <w:rsid w:val="16931D8B"/>
    <w:rsid w:val="169E246E"/>
    <w:rsid w:val="16AD3796"/>
    <w:rsid w:val="16FB6BF7"/>
    <w:rsid w:val="17232A14"/>
    <w:rsid w:val="17527304"/>
    <w:rsid w:val="177B39CF"/>
    <w:rsid w:val="177F6BB1"/>
    <w:rsid w:val="17854E13"/>
    <w:rsid w:val="17B03AFE"/>
    <w:rsid w:val="17E41FF3"/>
    <w:rsid w:val="18932ED9"/>
    <w:rsid w:val="18BD1C8B"/>
    <w:rsid w:val="18BF1D7D"/>
    <w:rsid w:val="18F64A17"/>
    <w:rsid w:val="190979B7"/>
    <w:rsid w:val="19130E4D"/>
    <w:rsid w:val="19193365"/>
    <w:rsid w:val="191A22E3"/>
    <w:rsid w:val="192B246C"/>
    <w:rsid w:val="19704F4F"/>
    <w:rsid w:val="197B6838"/>
    <w:rsid w:val="198F6232"/>
    <w:rsid w:val="1990028A"/>
    <w:rsid w:val="19935AE9"/>
    <w:rsid w:val="1999096E"/>
    <w:rsid w:val="19A075E2"/>
    <w:rsid w:val="19CA500E"/>
    <w:rsid w:val="19CF6119"/>
    <w:rsid w:val="19DF7A04"/>
    <w:rsid w:val="19EA6BB7"/>
    <w:rsid w:val="1A0147F9"/>
    <w:rsid w:val="1A0B3494"/>
    <w:rsid w:val="1A1C1556"/>
    <w:rsid w:val="1A313033"/>
    <w:rsid w:val="1A656CE8"/>
    <w:rsid w:val="1AB538AA"/>
    <w:rsid w:val="1B0C390B"/>
    <w:rsid w:val="1B375D24"/>
    <w:rsid w:val="1B5878E8"/>
    <w:rsid w:val="1B803B6F"/>
    <w:rsid w:val="1B9211AC"/>
    <w:rsid w:val="1BEF2B65"/>
    <w:rsid w:val="1C1730EA"/>
    <w:rsid w:val="1C3C359F"/>
    <w:rsid w:val="1C5E2B8B"/>
    <w:rsid w:val="1C647764"/>
    <w:rsid w:val="1C6D02DA"/>
    <w:rsid w:val="1C8C0F7C"/>
    <w:rsid w:val="1C935BFC"/>
    <w:rsid w:val="1CBB2FBA"/>
    <w:rsid w:val="1CCC6A8C"/>
    <w:rsid w:val="1CD01B0A"/>
    <w:rsid w:val="1CD1579A"/>
    <w:rsid w:val="1CEC6602"/>
    <w:rsid w:val="1D0B56BA"/>
    <w:rsid w:val="1D3C24A7"/>
    <w:rsid w:val="1D7901E7"/>
    <w:rsid w:val="1D807436"/>
    <w:rsid w:val="1DB16262"/>
    <w:rsid w:val="1DB9648E"/>
    <w:rsid w:val="1DC22AC6"/>
    <w:rsid w:val="1E0B147A"/>
    <w:rsid w:val="1E0C2DE7"/>
    <w:rsid w:val="1E194005"/>
    <w:rsid w:val="1E250D9E"/>
    <w:rsid w:val="1E322697"/>
    <w:rsid w:val="1E3554E8"/>
    <w:rsid w:val="1E380731"/>
    <w:rsid w:val="1E773BDB"/>
    <w:rsid w:val="1EAB76B3"/>
    <w:rsid w:val="1EC31475"/>
    <w:rsid w:val="1EFF2FFD"/>
    <w:rsid w:val="1F6B63C2"/>
    <w:rsid w:val="1F6C0729"/>
    <w:rsid w:val="1F6F551D"/>
    <w:rsid w:val="1F7312F5"/>
    <w:rsid w:val="1F7A40AF"/>
    <w:rsid w:val="1F8538B5"/>
    <w:rsid w:val="1FC03BE2"/>
    <w:rsid w:val="1FC67D7A"/>
    <w:rsid w:val="1FCB7383"/>
    <w:rsid w:val="1FE766DA"/>
    <w:rsid w:val="20087EC3"/>
    <w:rsid w:val="201B6347"/>
    <w:rsid w:val="2020147D"/>
    <w:rsid w:val="20516552"/>
    <w:rsid w:val="20521868"/>
    <w:rsid w:val="205B427C"/>
    <w:rsid w:val="20924822"/>
    <w:rsid w:val="20991403"/>
    <w:rsid w:val="20B118A3"/>
    <w:rsid w:val="20B3763C"/>
    <w:rsid w:val="20BA2A49"/>
    <w:rsid w:val="20C94288"/>
    <w:rsid w:val="214D115B"/>
    <w:rsid w:val="214F0431"/>
    <w:rsid w:val="217C68FB"/>
    <w:rsid w:val="21C115EE"/>
    <w:rsid w:val="21E13260"/>
    <w:rsid w:val="22702B26"/>
    <w:rsid w:val="22743D02"/>
    <w:rsid w:val="22A706A0"/>
    <w:rsid w:val="22AD4B1E"/>
    <w:rsid w:val="22EA75CE"/>
    <w:rsid w:val="22F24E88"/>
    <w:rsid w:val="230D6ABB"/>
    <w:rsid w:val="23114793"/>
    <w:rsid w:val="231D006A"/>
    <w:rsid w:val="232020E2"/>
    <w:rsid w:val="232C0139"/>
    <w:rsid w:val="233B6A56"/>
    <w:rsid w:val="233F6F74"/>
    <w:rsid w:val="23A3664D"/>
    <w:rsid w:val="23E463A4"/>
    <w:rsid w:val="23ED4D26"/>
    <w:rsid w:val="23EF1F03"/>
    <w:rsid w:val="23FE0BB4"/>
    <w:rsid w:val="24042E63"/>
    <w:rsid w:val="241E361C"/>
    <w:rsid w:val="24364576"/>
    <w:rsid w:val="244C5ECA"/>
    <w:rsid w:val="244F47D6"/>
    <w:rsid w:val="246965D1"/>
    <w:rsid w:val="2476535F"/>
    <w:rsid w:val="24A03751"/>
    <w:rsid w:val="24EC6DEC"/>
    <w:rsid w:val="2511326E"/>
    <w:rsid w:val="252545A3"/>
    <w:rsid w:val="255665B8"/>
    <w:rsid w:val="25733D33"/>
    <w:rsid w:val="257F4864"/>
    <w:rsid w:val="25884CB8"/>
    <w:rsid w:val="25B70DB8"/>
    <w:rsid w:val="25B85CB3"/>
    <w:rsid w:val="25D85E19"/>
    <w:rsid w:val="25DB004C"/>
    <w:rsid w:val="25DF1831"/>
    <w:rsid w:val="25E76D2B"/>
    <w:rsid w:val="25F62C69"/>
    <w:rsid w:val="25FF3FA1"/>
    <w:rsid w:val="2604539D"/>
    <w:rsid w:val="260A5198"/>
    <w:rsid w:val="262E04D9"/>
    <w:rsid w:val="266722D5"/>
    <w:rsid w:val="26786E6D"/>
    <w:rsid w:val="267B4F87"/>
    <w:rsid w:val="26950AE4"/>
    <w:rsid w:val="26BB7131"/>
    <w:rsid w:val="26CC5249"/>
    <w:rsid w:val="27053594"/>
    <w:rsid w:val="271433BD"/>
    <w:rsid w:val="274D306F"/>
    <w:rsid w:val="277F0CF8"/>
    <w:rsid w:val="27A553BA"/>
    <w:rsid w:val="27AA3862"/>
    <w:rsid w:val="27AF30E6"/>
    <w:rsid w:val="27CD7645"/>
    <w:rsid w:val="27FA3C0E"/>
    <w:rsid w:val="283C0E1E"/>
    <w:rsid w:val="283C72B8"/>
    <w:rsid w:val="28BC0508"/>
    <w:rsid w:val="28F95D99"/>
    <w:rsid w:val="290A6070"/>
    <w:rsid w:val="29483AEE"/>
    <w:rsid w:val="294F7644"/>
    <w:rsid w:val="297F5466"/>
    <w:rsid w:val="29B57848"/>
    <w:rsid w:val="29DF1706"/>
    <w:rsid w:val="29E12EF9"/>
    <w:rsid w:val="29E305CF"/>
    <w:rsid w:val="29F3036F"/>
    <w:rsid w:val="2A185F8F"/>
    <w:rsid w:val="2A266EC0"/>
    <w:rsid w:val="2A585C2C"/>
    <w:rsid w:val="2A5B0BE2"/>
    <w:rsid w:val="2A68171A"/>
    <w:rsid w:val="2A924FCC"/>
    <w:rsid w:val="2A9A1E2C"/>
    <w:rsid w:val="2A9C2B2F"/>
    <w:rsid w:val="2AC131A7"/>
    <w:rsid w:val="2AD73AF1"/>
    <w:rsid w:val="2B261911"/>
    <w:rsid w:val="2B727C26"/>
    <w:rsid w:val="2B99684E"/>
    <w:rsid w:val="2BCF1380"/>
    <w:rsid w:val="2BF31029"/>
    <w:rsid w:val="2BF65788"/>
    <w:rsid w:val="2C164A61"/>
    <w:rsid w:val="2C2476D3"/>
    <w:rsid w:val="2C296EA4"/>
    <w:rsid w:val="2C536A9B"/>
    <w:rsid w:val="2C730B86"/>
    <w:rsid w:val="2C8D7E9A"/>
    <w:rsid w:val="2C8F75FC"/>
    <w:rsid w:val="2C9A2ABC"/>
    <w:rsid w:val="2CBF352B"/>
    <w:rsid w:val="2CBF5B79"/>
    <w:rsid w:val="2CE41E97"/>
    <w:rsid w:val="2CE428D4"/>
    <w:rsid w:val="2D0363AE"/>
    <w:rsid w:val="2D12594D"/>
    <w:rsid w:val="2D162420"/>
    <w:rsid w:val="2D315373"/>
    <w:rsid w:val="2D985463"/>
    <w:rsid w:val="2DED0AD4"/>
    <w:rsid w:val="2E04418C"/>
    <w:rsid w:val="2E121E9C"/>
    <w:rsid w:val="2E374F65"/>
    <w:rsid w:val="2F401220"/>
    <w:rsid w:val="2F5C1DA5"/>
    <w:rsid w:val="2F682F49"/>
    <w:rsid w:val="2F6A2DC2"/>
    <w:rsid w:val="2F6B2953"/>
    <w:rsid w:val="2F7C4F0A"/>
    <w:rsid w:val="2F923308"/>
    <w:rsid w:val="2FCD4A51"/>
    <w:rsid w:val="2FF32A4A"/>
    <w:rsid w:val="3020393C"/>
    <w:rsid w:val="30446AC1"/>
    <w:rsid w:val="3068110A"/>
    <w:rsid w:val="30784073"/>
    <w:rsid w:val="307D4B3A"/>
    <w:rsid w:val="309334AF"/>
    <w:rsid w:val="309E19D2"/>
    <w:rsid w:val="30BC19C5"/>
    <w:rsid w:val="30C9339C"/>
    <w:rsid w:val="30E572D3"/>
    <w:rsid w:val="30FC431F"/>
    <w:rsid w:val="31560EF9"/>
    <w:rsid w:val="31644F41"/>
    <w:rsid w:val="31707707"/>
    <w:rsid w:val="31707DDD"/>
    <w:rsid w:val="3178338B"/>
    <w:rsid w:val="319020B1"/>
    <w:rsid w:val="319C645D"/>
    <w:rsid w:val="31B278EC"/>
    <w:rsid w:val="31B41DD4"/>
    <w:rsid w:val="32370010"/>
    <w:rsid w:val="3252505F"/>
    <w:rsid w:val="32812E2B"/>
    <w:rsid w:val="33035B9E"/>
    <w:rsid w:val="333E1891"/>
    <w:rsid w:val="333F443E"/>
    <w:rsid w:val="337A0A4C"/>
    <w:rsid w:val="33977850"/>
    <w:rsid w:val="339A2E9C"/>
    <w:rsid w:val="33A62018"/>
    <w:rsid w:val="33A855B9"/>
    <w:rsid w:val="33B97416"/>
    <w:rsid w:val="33C135AC"/>
    <w:rsid w:val="340C2DE2"/>
    <w:rsid w:val="346A6F41"/>
    <w:rsid w:val="34B7500A"/>
    <w:rsid w:val="34C861EB"/>
    <w:rsid w:val="34E56399"/>
    <w:rsid w:val="34FF6EA9"/>
    <w:rsid w:val="351E4989"/>
    <w:rsid w:val="354A1F0C"/>
    <w:rsid w:val="354F40A1"/>
    <w:rsid w:val="35866DA0"/>
    <w:rsid w:val="35876621"/>
    <w:rsid w:val="3599016C"/>
    <w:rsid w:val="35BF4421"/>
    <w:rsid w:val="35F11697"/>
    <w:rsid w:val="36333725"/>
    <w:rsid w:val="369A5D50"/>
    <w:rsid w:val="36CF2454"/>
    <w:rsid w:val="36EA627A"/>
    <w:rsid w:val="36F12692"/>
    <w:rsid w:val="37180CA8"/>
    <w:rsid w:val="37474C07"/>
    <w:rsid w:val="375A1F88"/>
    <w:rsid w:val="37864F82"/>
    <w:rsid w:val="379F6E9C"/>
    <w:rsid w:val="37AE5A9A"/>
    <w:rsid w:val="37B05B56"/>
    <w:rsid w:val="37EF3FB4"/>
    <w:rsid w:val="380E4754"/>
    <w:rsid w:val="3820289D"/>
    <w:rsid w:val="382375D4"/>
    <w:rsid w:val="38645286"/>
    <w:rsid w:val="38B5651C"/>
    <w:rsid w:val="38BB18EB"/>
    <w:rsid w:val="38BB7E19"/>
    <w:rsid w:val="3902576C"/>
    <w:rsid w:val="39027571"/>
    <w:rsid w:val="390E5EBF"/>
    <w:rsid w:val="39423DBA"/>
    <w:rsid w:val="394E4794"/>
    <w:rsid w:val="39521B0D"/>
    <w:rsid w:val="39580388"/>
    <w:rsid w:val="39A95418"/>
    <w:rsid w:val="39D1036D"/>
    <w:rsid w:val="39D4535A"/>
    <w:rsid w:val="39EA4C3C"/>
    <w:rsid w:val="39EC0540"/>
    <w:rsid w:val="39F06DAC"/>
    <w:rsid w:val="3A5123C7"/>
    <w:rsid w:val="3A541FF7"/>
    <w:rsid w:val="3A6D1D67"/>
    <w:rsid w:val="3A775CE5"/>
    <w:rsid w:val="3AE07D2F"/>
    <w:rsid w:val="3B012A92"/>
    <w:rsid w:val="3B035637"/>
    <w:rsid w:val="3B1B6035"/>
    <w:rsid w:val="3B44540C"/>
    <w:rsid w:val="3B653D90"/>
    <w:rsid w:val="3B6C321E"/>
    <w:rsid w:val="3BA13CE3"/>
    <w:rsid w:val="3BAB7A7C"/>
    <w:rsid w:val="3BC0017B"/>
    <w:rsid w:val="3BC14AEB"/>
    <w:rsid w:val="3BDB6C3F"/>
    <w:rsid w:val="3BF66C71"/>
    <w:rsid w:val="3BFF5B03"/>
    <w:rsid w:val="3C0E4317"/>
    <w:rsid w:val="3C24288E"/>
    <w:rsid w:val="3C68306B"/>
    <w:rsid w:val="3C7052B5"/>
    <w:rsid w:val="3C776471"/>
    <w:rsid w:val="3C7C5835"/>
    <w:rsid w:val="3C920BB5"/>
    <w:rsid w:val="3CA2064A"/>
    <w:rsid w:val="3CAF5C0A"/>
    <w:rsid w:val="3CC12831"/>
    <w:rsid w:val="3CDE029E"/>
    <w:rsid w:val="3CE26CE4"/>
    <w:rsid w:val="3D21306E"/>
    <w:rsid w:val="3D2A2933"/>
    <w:rsid w:val="3D2C012D"/>
    <w:rsid w:val="3D300B95"/>
    <w:rsid w:val="3D391B04"/>
    <w:rsid w:val="3D3B124C"/>
    <w:rsid w:val="3D4A1958"/>
    <w:rsid w:val="3D7D3613"/>
    <w:rsid w:val="3D832F64"/>
    <w:rsid w:val="3D930346"/>
    <w:rsid w:val="3DB363E2"/>
    <w:rsid w:val="3DB64A21"/>
    <w:rsid w:val="3DCB26A6"/>
    <w:rsid w:val="3DDD4CCC"/>
    <w:rsid w:val="3DE84A23"/>
    <w:rsid w:val="3DF106B1"/>
    <w:rsid w:val="3E022F63"/>
    <w:rsid w:val="3EC57B21"/>
    <w:rsid w:val="3EE93801"/>
    <w:rsid w:val="3F081FA8"/>
    <w:rsid w:val="3F3E206B"/>
    <w:rsid w:val="3F593C0C"/>
    <w:rsid w:val="3F6B1650"/>
    <w:rsid w:val="3F984EDF"/>
    <w:rsid w:val="3F9B2DCE"/>
    <w:rsid w:val="3FB259C0"/>
    <w:rsid w:val="3FCC7AFF"/>
    <w:rsid w:val="40166EF8"/>
    <w:rsid w:val="402C30CE"/>
    <w:rsid w:val="40482307"/>
    <w:rsid w:val="40497270"/>
    <w:rsid w:val="4057303E"/>
    <w:rsid w:val="406D7358"/>
    <w:rsid w:val="409A0980"/>
    <w:rsid w:val="40F30643"/>
    <w:rsid w:val="411F10BF"/>
    <w:rsid w:val="41237DB3"/>
    <w:rsid w:val="413873A0"/>
    <w:rsid w:val="41B06A88"/>
    <w:rsid w:val="41C17A3A"/>
    <w:rsid w:val="42002A64"/>
    <w:rsid w:val="421877CE"/>
    <w:rsid w:val="421C3148"/>
    <w:rsid w:val="42245DC9"/>
    <w:rsid w:val="422D5F11"/>
    <w:rsid w:val="42322164"/>
    <w:rsid w:val="4235270E"/>
    <w:rsid w:val="424464DA"/>
    <w:rsid w:val="42474FC4"/>
    <w:rsid w:val="427712E5"/>
    <w:rsid w:val="42DA5D46"/>
    <w:rsid w:val="42DA731F"/>
    <w:rsid w:val="43094B03"/>
    <w:rsid w:val="43146073"/>
    <w:rsid w:val="432A5FEB"/>
    <w:rsid w:val="433A4E84"/>
    <w:rsid w:val="43452E25"/>
    <w:rsid w:val="43685444"/>
    <w:rsid w:val="4374370A"/>
    <w:rsid w:val="43AF029E"/>
    <w:rsid w:val="43B71689"/>
    <w:rsid w:val="43CD3B8F"/>
    <w:rsid w:val="43E3410B"/>
    <w:rsid w:val="440B77C2"/>
    <w:rsid w:val="443133A9"/>
    <w:rsid w:val="4434011A"/>
    <w:rsid w:val="44E40A2E"/>
    <w:rsid w:val="451C1963"/>
    <w:rsid w:val="4537221B"/>
    <w:rsid w:val="454A54E2"/>
    <w:rsid w:val="45677B80"/>
    <w:rsid w:val="456B537A"/>
    <w:rsid w:val="458C1A14"/>
    <w:rsid w:val="45E00BE3"/>
    <w:rsid w:val="45F86E8E"/>
    <w:rsid w:val="45FE688F"/>
    <w:rsid w:val="460D086C"/>
    <w:rsid w:val="461E4136"/>
    <w:rsid w:val="466C70E1"/>
    <w:rsid w:val="46723085"/>
    <w:rsid w:val="46A460B4"/>
    <w:rsid w:val="46CD7F58"/>
    <w:rsid w:val="471A6376"/>
    <w:rsid w:val="47500654"/>
    <w:rsid w:val="47565A99"/>
    <w:rsid w:val="4779499C"/>
    <w:rsid w:val="4795234F"/>
    <w:rsid w:val="47B64B9B"/>
    <w:rsid w:val="47D66741"/>
    <w:rsid w:val="47DC187E"/>
    <w:rsid w:val="47EA6100"/>
    <w:rsid w:val="48167B60"/>
    <w:rsid w:val="4851401A"/>
    <w:rsid w:val="4862500A"/>
    <w:rsid w:val="48CC011E"/>
    <w:rsid w:val="48F97DF7"/>
    <w:rsid w:val="491004AC"/>
    <w:rsid w:val="492808A0"/>
    <w:rsid w:val="49506BE7"/>
    <w:rsid w:val="498126DD"/>
    <w:rsid w:val="49844749"/>
    <w:rsid w:val="49895E52"/>
    <w:rsid w:val="49A81551"/>
    <w:rsid w:val="49AB3AAA"/>
    <w:rsid w:val="49BC2B41"/>
    <w:rsid w:val="49D97612"/>
    <w:rsid w:val="49E3742F"/>
    <w:rsid w:val="49E60792"/>
    <w:rsid w:val="4A0A10E2"/>
    <w:rsid w:val="4A2856F8"/>
    <w:rsid w:val="4A297E99"/>
    <w:rsid w:val="4A3B47FE"/>
    <w:rsid w:val="4A523576"/>
    <w:rsid w:val="4A615BCF"/>
    <w:rsid w:val="4A6E17F6"/>
    <w:rsid w:val="4A8B696A"/>
    <w:rsid w:val="4AAF3799"/>
    <w:rsid w:val="4AD10361"/>
    <w:rsid w:val="4B162845"/>
    <w:rsid w:val="4B17602B"/>
    <w:rsid w:val="4B4E2A92"/>
    <w:rsid w:val="4B59106A"/>
    <w:rsid w:val="4BA460A8"/>
    <w:rsid w:val="4BD05255"/>
    <w:rsid w:val="4BD07EF1"/>
    <w:rsid w:val="4BD27220"/>
    <w:rsid w:val="4C080E93"/>
    <w:rsid w:val="4C093EF4"/>
    <w:rsid w:val="4C6E2B7E"/>
    <w:rsid w:val="4C796A7F"/>
    <w:rsid w:val="4C8E40A3"/>
    <w:rsid w:val="4CD10F6A"/>
    <w:rsid w:val="4CD977C3"/>
    <w:rsid w:val="4CF84A64"/>
    <w:rsid w:val="4D2A496C"/>
    <w:rsid w:val="4D2E492A"/>
    <w:rsid w:val="4E022280"/>
    <w:rsid w:val="4E0302C9"/>
    <w:rsid w:val="4E0C0682"/>
    <w:rsid w:val="4E0F25C0"/>
    <w:rsid w:val="4E164FFE"/>
    <w:rsid w:val="4E171562"/>
    <w:rsid w:val="4E3C6544"/>
    <w:rsid w:val="4E4B3EEE"/>
    <w:rsid w:val="4E54216E"/>
    <w:rsid w:val="4E5B5CFD"/>
    <w:rsid w:val="4E6039A2"/>
    <w:rsid w:val="4E761A8C"/>
    <w:rsid w:val="4E794186"/>
    <w:rsid w:val="4E836C7A"/>
    <w:rsid w:val="4E847623"/>
    <w:rsid w:val="4E9B4754"/>
    <w:rsid w:val="4ECE6959"/>
    <w:rsid w:val="4F0E0906"/>
    <w:rsid w:val="4F134B35"/>
    <w:rsid w:val="4F367053"/>
    <w:rsid w:val="4F600F28"/>
    <w:rsid w:val="4F83017E"/>
    <w:rsid w:val="4F8E13AE"/>
    <w:rsid w:val="4FA458EB"/>
    <w:rsid w:val="4FB4124D"/>
    <w:rsid w:val="4FBC6BBF"/>
    <w:rsid w:val="4FF640C3"/>
    <w:rsid w:val="50401429"/>
    <w:rsid w:val="5067575D"/>
    <w:rsid w:val="506D39BB"/>
    <w:rsid w:val="508769D7"/>
    <w:rsid w:val="50A55DCA"/>
    <w:rsid w:val="50DB6B76"/>
    <w:rsid w:val="50F608E7"/>
    <w:rsid w:val="50FD59A5"/>
    <w:rsid w:val="513229EE"/>
    <w:rsid w:val="5160711D"/>
    <w:rsid w:val="51737A5C"/>
    <w:rsid w:val="51784C19"/>
    <w:rsid w:val="519E1F24"/>
    <w:rsid w:val="51B5126B"/>
    <w:rsid w:val="51DB76E8"/>
    <w:rsid w:val="51FC4BA9"/>
    <w:rsid w:val="520E011F"/>
    <w:rsid w:val="52492943"/>
    <w:rsid w:val="52642B9B"/>
    <w:rsid w:val="52894B8D"/>
    <w:rsid w:val="529C5A87"/>
    <w:rsid w:val="52A643B2"/>
    <w:rsid w:val="52AB18AD"/>
    <w:rsid w:val="52D36CFA"/>
    <w:rsid w:val="52ED4D9B"/>
    <w:rsid w:val="53574128"/>
    <w:rsid w:val="53581422"/>
    <w:rsid w:val="535D1533"/>
    <w:rsid w:val="53A44BEF"/>
    <w:rsid w:val="53AC1956"/>
    <w:rsid w:val="53BF0089"/>
    <w:rsid w:val="53C1284C"/>
    <w:rsid w:val="53F00B8B"/>
    <w:rsid w:val="54021A6D"/>
    <w:rsid w:val="54056B7B"/>
    <w:rsid w:val="540944F6"/>
    <w:rsid w:val="541B79F7"/>
    <w:rsid w:val="5429048E"/>
    <w:rsid w:val="54555305"/>
    <w:rsid w:val="54F66C07"/>
    <w:rsid w:val="55125438"/>
    <w:rsid w:val="55472A2C"/>
    <w:rsid w:val="557D644E"/>
    <w:rsid w:val="55C91693"/>
    <w:rsid w:val="55F74AC2"/>
    <w:rsid w:val="55F935FB"/>
    <w:rsid w:val="561672A7"/>
    <w:rsid w:val="561D3B7C"/>
    <w:rsid w:val="562E5AB0"/>
    <w:rsid w:val="56561334"/>
    <w:rsid w:val="56602110"/>
    <w:rsid w:val="567C0C5D"/>
    <w:rsid w:val="56977921"/>
    <w:rsid w:val="56D461E8"/>
    <w:rsid w:val="56E30139"/>
    <w:rsid w:val="56F02C50"/>
    <w:rsid w:val="570B4AF4"/>
    <w:rsid w:val="57166039"/>
    <w:rsid w:val="57206DBB"/>
    <w:rsid w:val="578C69EF"/>
    <w:rsid w:val="57B411CF"/>
    <w:rsid w:val="57CF3558"/>
    <w:rsid w:val="57D1482F"/>
    <w:rsid w:val="57DA1F20"/>
    <w:rsid w:val="57F031DE"/>
    <w:rsid w:val="58112577"/>
    <w:rsid w:val="58186C82"/>
    <w:rsid w:val="583D1240"/>
    <w:rsid w:val="583F3CCF"/>
    <w:rsid w:val="58433FB5"/>
    <w:rsid w:val="58722F86"/>
    <w:rsid w:val="587329E5"/>
    <w:rsid w:val="58823D7B"/>
    <w:rsid w:val="58840E20"/>
    <w:rsid w:val="58A4148B"/>
    <w:rsid w:val="58AC719D"/>
    <w:rsid w:val="58B02697"/>
    <w:rsid w:val="58B475AE"/>
    <w:rsid w:val="58B61F23"/>
    <w:rsid w:val="58DA48A0"/>
    <w:rsid w:val="58F95A7C"/>
    <w:rsid w:val="5924007D"/>
    <w:rsid w:val="595B6AA6"/>
    <w:rsid w:val="59745DBA"/>
    <w:rsid w:val="598C22B9"/>
    <w:rsid w:val="598D7958"/>
    <w:rsid w:val="59D87D6A"/>
    <w:rsid w:val="59FA1335"/>
    <w:rsid w:val="5A4E3441"/>
    <w:rsid w:val="5A66774F"/>
    <w:rsid w:val="5A6A1991"/>
    <w:rsid w:val="5A89085D"/>
    <w:rsid w:val="5A9D28FB"/>
    <w:rsid w:val="5ABC3575"/>
    <w:rsid w:val="5B2E3D74"/>
    <w:rsid w:val="5B667480"/>
    <w:rsid w:val="5B887691"/>
    <w:rsid w:val="5BD13050"/>
    <w:rsid w:val="5BE408A5"/>
    <w:rsid w:val="5C1E4B4F"/>
    <w:rsid w:val="5C2C5FA1"/>
    <w:rsid w:val="5C6519E1"/>
    <w:rsid w:val="5C6848F0"/>
    <w:rsid w:val="5C80191A"/>
    <w:rsid w:val="5C82434A"/>
    <w:rsid w:val="5C835BEE"/>
    <w:rsid w:val="5C8F27B1"/>
    <w:rsid w:val="5CFA4828"/>
    <w:rsid w:val="5D007338"/>
    <w:rsid w:val="5D284EF1"/>
    <w:rsid w:val="5D556EAE"/>
    <w:rsid w:val="5D6F1B04"/>
    <w:rsid w:val="5D720862"/>
    <w:rsid w:val="5D746389"/>
    <w:rsid w:val="5D7F0087"/>
    <w:rsid w:val="5D9E058D"/>
    <w:rsid w:val="5DA545EC"/>
    <w:rsid w:val="5DBC16B3"/>
    <w:rsid w:val="5DC70A8D"/>
    <w:rsid w:val="5DEC06A6"/>
    <w:rsid w:val="5DED613B"/>
    <w:rsid w:val="5E1014CA"/>
    <w:rsid w:val="5E5373B1"/>
    <w:rsid w:val="5E6F582C"/>
    <w:rsid w:val="5E8C325E"/>
    <w:rsid w:val="5EF442F3"/>
    <w:rsid w:val="5F223BF9"/>
    <w:rsid w:val="5F294F51"/>
    <w:rsid w:val="5F3307BF"/>
    <w:rsid w:val="5F3D00C3"/>
    <w:rsid w:val="5F5556C9"/>
    <w:rsid w:val="5F935253"/>
    <w:rsid w:val="5FAD406B"/>
    <w:rsid w:val="5FBD7995"/>
    <w:rsid w:val="5FDB09F9"/>
    <w:rsid w:val="5FED664A"/>
    <w:rsid w:val="603A2965"/>
    <w:rsid w:val="605552F9"/>
    <w:rsid w:val="60621077"/>
    <w:rsid w:val="60680F20"/>
    <w:rsid w:val="60783253"/>
    <w:rsid w:val="60890154"/>
    <w:rsid w:val="60A32AE1"/>
    <w:rsid w:val="60DB2CC5"/>
    <w:rsid w:val="60EC092C"/>
    <w:rsid w:val="61363448"/>
    <w:rsid w:val="614C6159"/>
    <w:rsid w:val="61596B36"/>
    <w:rsid w:val="61831861"/>
    <w:rsid w:val="61AE52F7"/>
    <w:rsid w:val="61BC3CA7"/>
    <w:rsid w:val="61E04960"/>
    <w:rsid w:val="61EF0587"/>
    <w:rsid w:val="623F10A0"/>
    <w:rsid w:val="626745FF"/>
    <w:rsid w:val="626B2088"/>
    <w:rsid w:val="626B3D79"/>
    <w:rsid w:val="628833C7"/>
    <w:rsid w:val="628A29E4"/>
    <w:rsid w:val="629E1644"/>
    <w:rsid w:val="62A0552A"/>
    <w:rsid w:val="62A80882"/>
    <w:rsid w:val="62C1664D"/>
    <w:rsid w:val="62D022B3"/>
    <w:rsid w:val="62D87BCD"/>
    <w:rsid w:val="62DA00CF"/>
    <w:rsid w:val="62E47B0C"/>
    <w:rsid w:val="62F67840"/>
    <w:rsid w:val="63053CDA"/>
    <w:rsid w:val="63082191"/>
    <w:rsid w:val="630E2DDB"/>
    <w:rsid w:val="633C2B0D"/>
    <w:rsid w:val="6343065F"/>
    <w:rsid w:val="634675E7"/>
    <w:rsid w:val="63610695"/>
    <w:rsid w:val="63627211"/>
    <w:rsid w:val="63A6062F"/>
    <w:rsid w:val="63F64CD6"/>
    <w:rsid w:val="640056BA"/>
    <w:rsid w:val="64032C65"/>
    <w:rsid w:val="64096609"/>
    <w:rsid w:val="64684969"/>
    <w:rsid w:val="646857AC"/>
    <w:rsid w:val="649F70A5"/>
    <w:rsid w:val="64AD3F2E"/>
    <w:rsid w:val="64B476AF"/>
    <w:rsid w:val="64C57C3D"/>
    <w:rsid w:val="64D20B23"/>
    <w:rsid w:val="64D325A5"/>
    <w:rsid w:val="64F41B5D"/>
    <w:rsid w:val="655E299E"/>
    <w:rsid w:val="65AF62ED"/>
    <w:rsid w:val="65B53D84"/>
    <w:rsid w:val="65D063A8"/>
    <w:rsid w:val="65D5403D"/>
    <w:rsid w:val="65D823BD"/>
    <w:rsid w:val="65E36238"/>
    <w:rsid w:val="65F8526B"/>
    <w:rsid w:val="66652406"/>
    <w:rsid w:val="668D2269"/>
    <w:rsid w:val="66AD6051"/>
    <w:rsid w:val="66F226E9"/>
    <w:rsid w:val="66FA059B"/>
    <w:rsid w:val="67732A52"/>
    <w:rsid w:val="678B0C3C"/>
    <w:rsid w:val="67902011"/>
    <w:rsid w:val="6799430C"/>
    <w:rsid w:val="67A21D44"/>
    <w:rsid w:val="67CC6DC1"/>
    <w:rsid w:val="67DC4069"/>
    <w:rsid w:val="67F165FD"/>
    <w:rsid w:val="6813045E"/>
    <w:rsid w:val="681F03EE"/>
    <w:rsid w:val="68646FD6"/>
    <w:rsid w:val="68703BF0"/>
    <w:rsid w:val="68795138"/>
    <w:rsid w:val="6882322C"/>
    <w:rsid w:val="68935799"/>
    <w:rsid w:val="68A2131F"/>
    <w:rsid w:val="68C1500C"/>
    <w:rsid w:val="68C74A8B"/>
    <w:rsid w:val="68CD18DB"/>
    <w:rsid w:val="68DD3617"/>
    <w:rsid w:val="68FB41DC"/>
    <w:rsid w:val="69181CC6"/>
    <w:rsid w:val="69263EE5"/>
    <w:rsid w:val="695A0B28"/>
    <w:rsid w:val="69605006"/>
    <w:rsid w:val="69CB5582"/>
    <w:rsid w:val="69CE7168"/>
    <w:rsid w:val="6A100433"/>
    <w:rsid w:val="6A2829D5"/>
    <w:rsid w:val="6A4609EB"/>
    <w:rsid w:val="6A5601F1"/>
    <w:rsid w:val="6A647492"/>
    <w:rsid w:val="6A7C14DB"/>
    <w:rsid w:val="6AAD6A36"/>
    <w:rsid w:val="6ABC41C4"/>
    <w:rsid w:val="6ACA7D81"/>
    <w:rsid w:val="6AE01E94"/>
    <w:rsid w:val="6AF05909"/>
    <w:rsid w:val="6B034C51"/>
    <w:rsid w:val="6B075F5C"/>
    <w:rsid w:val="6B17192C"/>
    <w:rsid w:val="6B1977FA"/>
    <w:rsid w:val="6B237882"/>
    <w:rsid w:val="6B7B7D93"/>
    <w:rsid w:val="6B8665E2"/>
    <w:rsid w:val="6B886970"/>
    <w:rsid w:val="6BA42804"/>
    <w:rsid w:val="6BA828E4"/>
    <w:rsid w:val="6BB62445"/>
    <w:rsid w:val="6BE76017"/>
    <w:rsid w:val="6C151087"/>
    <w:rsid w:val="6C175A98"/>
    <w:rsid w:val="6C1D5E3D"/>
    <w:rsid w:val="6C4675BD"/>
    <w:rsid w:val="6C8334CA"/>
    <w:rsid w:val="6D193357"/>
    <w:rsid w:val="6D1A34B5"/>
    <w:rsid w:val="6D4839B0"/>
    <w:rsid w:val="6D54588F"/>
    <w:rsid w:val="6D5C3B1B"/>
    <w:rsid w:val="6D6C2BD8"/>
    <w:rsid w:val="6D90162E"/>
    <w:rsid w:val="6D9B128F"/>
    <w:rsid w:val="6DD34B5E"/>
    <w:rsid w:val="6DEF320B"/>
    <w:rsid w:val="6E2E1681"/>
    <w:rsid w:val="6E3D1FD3"/>
    <w:rsid w:val="6E4D7798"/>
    <w:rsid w:val="6E60197D"/>
    <w:rsid w:val="6E663B0E"/>
    <w:rsid w:val="6E953587"/>
    <w:rsid w:val="6EB7319D"/>
    <w:rsid w:val="6ED6553F"/>
    <w:rsid w:val="6ED8429D"/>
    <w:rsid w:val="6EE60E0C"/>
    <w:rsid w:val="6F1B6D2D"/>
    <w:rsid w:val="6F257809"/>
    <w:rsid w:val="6F3510A3"/>
    <w:rsid w:val="6F540B15"/>
    <w:rsid w:val="6F697C94"/>
    <w:rsid w:val="6F826A4C"/>
    <w:rsid w:val="6F847BB3"/>
    <w:rsid w:val="6FB852F9"/>
    <w:rsid w:val="6FBB565A"/>
    <w:rsid w:val="6FCD5990"/>
    <w:rsid w:val="6FED0EA1"/>
    <w:rsid w:val="6FF57D4B"/>
    <w:rsid w:val="70013516"/>
    <w:rsid w:val="703025E3"/>
    <w:rsid w:val="70324099"/>
    <w:rsid w:val="70401314"/>
    <w:rsid w:val="70683AFD"/>
    <w:rsid w:val="707408F7"/>
    <w:rsid w:val="708446DD"/>
    <w:rsid w:val="708B7819"/>
    <w:rsid w:val="71033854"/>
    <w:rsid w:val="710918E9"/>
    <w:rsid w:val="712437CA"/>
    <w:rsid w:val="712D191E"/>
    <w:rsid w:val="712D787C"/>
    <w:rsid w:val="713D6FB0"/>
    <w:rsid w:val="71467BE4"/>
    <w:rsid w:val="715100D4"/>
    <w:rsid w:val="715C1214"/>
    <w:rsid w:val="71675528"/>
    <w:rsid w:val="71722787"/>
    <w:rsid w:val="718633AD"/>
    <w:rsid w:val="719C5B1D"/>
    <w:rsid w:val="71D869F8"/>
    <w:rsid w:val="71DB42A0"/>
    <w:rsid w:val="720C2BD8"/>
    <w:rsid w:val="721C178C"/>
    <w:rsid w:val="72222D6D"/>
    <w:rsid w:val="724751FF"/>
    <w:rsid w:val="724C7C4B"/>
    <w:rsid w:val="72580C48"/>
    <w:rsid w:val="727A4670"/>
    <w:rsid w:val="728819E6"/>
    <w:rsid w:val="7291580B"/>
    <w:rsid w:val="7292309B"/>
    <w:rsid w:val="72A64B4A"/>
    <w:rsid w:val="72B47365"/>
    <w:rsid w:val="72E9309C"/>
    <w:rsid w:val="732664B1"/>
    <w:rsid w:val="738778C9"/>
    <w:rsid w:val="73A225C1"/>
    <w:rsid w:val="73C0072B"/>
    <w:rsid w:val="73C3265B"/>
    <w:rsid w:val="73EB1FC5"/>
    <w:rsid w:val="73F17E73"/>
    <w:rsid w:val="73F209CF"/>
    <w:rsid w:val="74031DBD"/>
    <w:rsid w:val="74151720"/>
    <w:rsid w:val="74166C50"/>
    <w:rsid w:val="74195D13"/>
    <w:rsid w:val="743404F4"/>
    <w:rsid w:val="744D740D"/>
    <w:rsid w:val="746B31AB"/>
    <w:rsid w:val="749361F1"/>
    <w:rsid w:val="74996569"/>
    <w:rsid w:val="74D21440"/>
    <w:rsid w:val="74E4574A"/>
    <w:rsid w:val="75524DAA"/>
    <w:rsid w:val="755C32D8"/>
    <w:rsid w:val="75720FA8"/>
    <w:rsid w:val="75735A9C"/>
    <w:rsid w:val="75A462CB"/>
    <w:rsid w:val="75EC00A0"/>
    <w:rsid w:val="762177B0"/>
    <w:rsid w:val="766D176F"/>
    <w:rsid w:val="766E4285"/>
    <w:rsid w:val="768768FB"/>
    <w:rsid w:val="76947A08"/>
    <w:rsid w:val="769515F9"/>
    <w:rsid w:val="769A0BB7"/>
    <w:rsid w:val="76B31878"/>
    <w:rsid w:val="76C837E8"/>
    <w:rsid w:val="77043E82"/>
    <w:rsid w:val="771858D9"/>
    <w:rsid w:val="7764123C"/>
    <w:rsid w:val="778215F9"/>
    <w:rsid w:val="779542EB"/>
    <w:rsid w:val="77AF0658"/>
    <w:rsid w:val="77BC6B2A"/>
    <w:rsid w:val="77EC1DB4"/>
    <w:rsid w:val="781E7167"/>
    <w:rsid w:val="781F6F72"/>
    <w:rsid w:val="78316ED2"/>
    <w:rsid w:val="783E7E0B"/>
    <w:rsid w:val="78526484"/>
    <w:rsid w:val="788A001C"/>
    <w:rsid w:val="78B2790D"/>
    <w:rsid w:val="78BA3373"/>
    <w:rsid w:val="78C8581A"/>
    <w:rsid w:val="78DC6E75"/>
    <w:rsid w:val="78F82E0B"/>
    <w:rsid w:val="78FE2B52"/>
    <w:rsid w:val="792C64A4"/>
    <w:rsid w:val="79311D67"/>
    <w:rsid w:val="79883022"/>
    <w:rsid w:val="79967215"/>
    <w:rsid w:val="79DC06E9"/>
    <w:rsid w:val="79EA1975"/>
    <w:rsid w:val="79FC627C"/>
    <w:rsid w:val="7A0C00F4"/>
    <w:rsid w:val="7A1A144A"/>
    <w:rsid w:val="7A394DCB"/>
    <w:rsid w:val="7A75197B"/>
    <w:rsid w:val="7A914E6A"/>
    <w:rsid w:val="7A97325F"/>
    <w:rsid w:val="7ACE6D2F"/>
    <w:rsid w:val="7AF21AB6"/>
    <w:rsid w:val="7B29460F"/>
    <w:rsid w:val="7B2B25BE"/>
    <w:rsid w:val="7B4E0760"/>
    <w:rsid w:val="7B696138"/>
    <w:rsid w:val="7BBC250F"/>
    <w:rsid w:val="7BD32392"/>
    <w:rsid w:val="7BDB70F7"/>
    <w:rsid w:val="7C193EA4"/>
    <w:rsid w:val="7C264A87"/>
    <w:rsid w:val="7C370157"/>
    <w:rsid w:val="7C3C4D9E"/>
    <w:rsid w:val="7C745CE9"/>
    <w:rsid w:val="7C9723A3"/>
    <w:rsid w:val="7CDB5685"/>
    <w:rsid w:val="7CE704CD"/>
    <w:rsid w:val="7CFB59AB"/>
    <w:rsid w:val="7D136216"/>
    <w:rsid w:val="7D217FDA"/>
    <w:rsid w:val="7D2D5A89"/>
    <w:rsid w:val="7D741635"/>
    <w:rsid w:val="7D9558DE"/>
    <w:rsid w:val="7DC205F3"/>
    <w:rsid w:val="7DC80377"/>
    <w:rsid w:val="7DCD0A4D"/>
    <w:rsid w:val="7DDA1DE0"/>
    <w:rsid w:val="7DE21845"/>
    <w:rsid w:val="7E013869"/>
    <w:rsid w:val="7E677B0F"/>
    <w:rsid w:val="7E6949C0"/>
    <w:rsid w:val="7E7A4B80"/>
    <w:rsid w:val="7E8B46EC"/>
    <w:rsid w:val="7ED951DA"/>
    <w:rsid w:val="7EE011E6"/>
    <w:rsid w:val="7F016EF9"/>
    <w:rsid w:val="7F037115"/>
    <w:rsid w:val="7F086945"/>
    <w:rsid w:val="7F120989"/>
    <w:rsid w:val="7F2D3532"/>
    <w:rsid w:val="7F4E4A23"/>
    <w:rsid w:val="7F912D0E"/>
    <w:rsid w:val="7FA31D45"/>
    <w:rsid w:val="7FA636ED"/>
    <w:rsid w:val="7FC537B7"/>
    <w:rsid w:val="7FED104B"/>
    <w:rsid w:val="7FF84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480" w:lineRule="exact"/>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autoRedefine/>
    <w:qFormat/>
    <w:uiPriority w:val="0"/>
    <w:pPr>
      <w:keepNext/>
      <w:keepLines/>
      <w:adjustRightInd w:val="0"/>
      <w:snapToGrid w:val="0"/>
      <w:spacing w:beforeAutospacing="1" w:afterAutospacing="1" w:line="480" w:lineRule="exact"/>
      <w:ind w:firstLine="0" w:firstLineChars="0"/>
      <w:jc w:val="center"/>
      <w:outlineLvl w:val="0"/>
    </w:pPr>
    <w:rPr>
      <w:rFonts w:ascii="Times New Roman" w:hAnsi="Times New Roman" w:eastAsia="黑体"/>
      <w:bCs/>
      <w:kern w:val="44"/>
      <w:sz w:val="30"/>
      <w:szCs w:val="30"/>
    </w:rPr>
  </w:style>
  <w:style w:type="paragraph" w:styleId="3">
    <w:name w:val="heading 2"/>
    <w:basedOn w:val="1"/>
    <w:next w:val="1"/>
    <w:unhideWhenUsed/>
    <w:qFormat/>
    <w:uiPriority w:val="0"/>
    <w:pPr>
      <w:keepNext/>
      <w:keepLines/>
      <w:adjustRightInd w:val="0"/>
      <w:snapToGrid w:val="0"/>
      <w:spacing w:line="480" w:lineRule="exact"/>
      <w:ind w:firstLine="0" w:firstLineChars="0"/>
      <w:outlineLvl w:val="1"/>
    </w:pPr>
    <w:rPr>
      <w:rFonts w:ascii="Times New Roman" w:hAnsi="Times New Roman" w:eastAsia="宋体"/>
      <w:b/>
      <w:bCs/>
      <w:sz w:val="30"/>
      <w:szCs w:val="30"/>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5">
    <w:name w:val="heading 4"/>
    <w:basedOn w:val="1"/>
    <w:next w:val="1"/>
    <w:autoRedefine/>
    <w:qFormat/>
    <w:uiPriority w:val="0"/>
    <w:pPr>
      <w:tabs>
        <w:tab w:val="left" w:pos="360"/>
        <w:tab w:val="left" w:pos="2207"/>
      </w:tabs>
      <w:spacing w:line="480" w:lineRule="exact"/>
      <w:ind w:firstLine="0" w:firstLineChars="0"/>
      <w:outlineLvl w:val="3"/>
    </w:pPr>
    <w:rPr>
      <w:rFonts w:ascii="宋体" w:hAnsi="宋体"/>
      <w:b/>
      <w:snapToGrid/>
      <w:color w:val="000000"/>
      <w:sz w:val="24"/>
    </w:rPr>
  </w:style>
  <w:style w:type="paragraph" w:styleId="6">
    <w:name w:val="heading 5"/>
    <w:basedOn w:val="1"/>
    <w:next w:val="1"/>
    <w:autoRedefine/>
    <w:unhideWhenUsed/>
    <w:qFormat/>
    <w:uiPriority w:val="0"/>
    <w:pPr>
      <w:keepNext w:val="0"/>
      <w:keepLines w:val="0"/>
      <w:adjustRightInd w:val="0"/>
      <w:snapToGrid w:val="0"/>
      <w:spacing w:beforeLines="0" w:beforeAutospacing="0" w:afterLines="0" w:afterAutospacing="0" w:line="240" w:lineRule="auto"/>
      <w:ind w:firstLine="0" w:firstLineChars="0"/>
      <w:jc w:val="center"/>
      <w:outlineLvl w:val="4"/>
    </w:pPr>
    <w:rPr>
      <w:rFonts w:ascii="Times New Roman" w:hAnsi="Times New Roman"/>
      <w:b/>
      <w:sz w:val="21"/>
      <w:szCs w:val="24"/>
    </w:rPr>
  </w:style>
  <w:style w:type="character" w:default="1" w:styleId="31">
    <w:name w:val="Default Paragraph Font"/>
    <w:autoRedefine/>
    <w:semiHidden/>
    <w:qFormat/>
    <w:uiPriority w:val="0"/>
  </w:style>
  <w:style w:type="table" w:default="1" w:styleId="29">
    <w:name w:val="Normal Table"/>
    <w:autoRedefine/>
    <w:semiHidden/>
    <w:qFormat/>
    <w:uiPriority w:val="0"/>
    <w:tblPr>
      <w:tblCellMar>
        <w:top w:w="0" w:type="dxa"/>
        <w:left w:w="108" w:type="dxa"/>
        <w:bottom w:w="0" w:type="dxa"/>
        <w:right w:w="108" w:type="dxa"/>
      </w:tblCellMar>
    </w:tblPr>
  </w:style>
  <w:style w:type="paragraph" w:styleId="7">
    <w:name w:val="Normal Indent"/>
    <w:basedOn w:val="1"/>
    <w:next w:val="5"/>
    <w:autoRedefine/>
    <w:qFormat/>
    <w:uiPriority w:val="0"/>
    <w:pPr>
      <w:ind w:firstLine="420" w:firstLineChars="200"/>
    </w:pPr>
    <w:rPr>
      <w:rFonts w:ascii="Times New Roman" w:hAnsi="Times New Roman"/>
      <w:szCs w:val="24"/>
    </w:rPr>
  </w:style>
  <w:style w:type="paragraph" w:styleId="8">
    <w:name w:val="caption"/>
    <w:basedOn w:val="1"/>
    <w:next w:val="1"/>
    <w:autoRedefine/>
    <w:qFormat/>
    <w:uiPriority w:val="35"/>
    <w:pPr>
      <w:spacing w:before="120" w:after="120" w:line="480" w:lineRule="exact"/>
      <w:ind w:firstLine="688" w:firstLineChars="200"/>
      <w:jc w:val="center"/>
    </w:pPr>
    <w:rPr>
      <w:rFonts w:eastAsia="Arial" w:cs="黑体"/>
      <w:sz w:val="24"/>
    </w:rPr>
  </w:style>
  <w:style w:type="paragraph" w:styleId="9">
    <w:name w:val="index 5"/>
    <w:basedOn w:val="1"/>
    <w:next w:val="1"/>
    <w:autoRedefine/>
    <w:qFormat/>
    <w:uiPriority w:val="0"/>
    <w:pPr>
      <w:ind w:left="800" w:leftChars="800"/>
    </w:pPr>
  </w:style>
  <w:style w:type="paragraph" w:styleId="10">
    <w:name w:val="toa heading"/>
    <w:basedOn w:val="1"/>
    <w:next w:val="1"/>
    <w:autoRedefine/>
    <w:semiHidden/>
    <w:qFormat/>
    <w:uiPriority w:val="0"/>
    <w:pPr>
      <w:spacing w:before="120"/>
    </w:pPr>
    <w:rPr>
      <w:rFonts w:ascii="Arial" w:hAnsi="宋体" w:cs="宋体"/>
    </w:rPr>
  </w:style>
  <w:style w:type="paragraph" w:styleId="11">
    <w:name w:val="annotation text"/>
    <w:basedOn w:val="1"/>
    <w:autoRedefine/>
    <w:semiHidden/>
    <w:qFormat/>
    <w:uiPriority w:val="0"/>
    <w:pPr>
      <w:jc w:val="left"/>
    </w:pPr>
    <w:rPr>
      <w:kern w:val="0"/>
      <w:sz w:val="24"/>
      <w:szCs w:val="20"/>
    </w:rPr>
  </w:style>
  <w:style w:type="paragraph" w:styleId="12">
    <w:name w:val="Body Text"/>
    <w:basedOn w:val="1"/>
    <w:next w:val="1"/>
    <w:autoRedefine/>
    <w:qFormat/>
    <w:uiPriority w:val="0"/>
    <w:pPr>
      <w:widowControl/>
      <w:snapToGrid w:val="0"/>
      <w:spacing w:before="60" w:after="160" w:line="259" w:lineRule="auto"/>
      <w:ind w:right="113"/>
    </w:pPr>
    <w:rPr>
      <w:kern w:val="0"/>
      <w:sz w:val="18"/>
      <w:szCs w:val="20"/>
    </w:rPr>
  </w:style>
  <w:style w:type="paragraph" w:styleId="13">
    <w:name w:val="Body Text Indent"/>
    <w:basedOn w:val="1"/>
    <w:autoRedefine/>
    <w:qFormat/>
    <w:uiPriority w:val="0"/>
    <w:pPr>
      <w:spacing w:after="120"/>
      <w:ind w:left="420" w:leftChars="200"/>
    </w:pPr>
    <w:rPr>
      <w:kern w:val="0"/>
      <w:sz w:val="24"/>
      <w:szCs w:val="20"/>
    </w:rPr>
  </w:style>
  <w:style w:type="paragraph" w:styleId="14">
    <w:name w:val="Block Text"/>
    <w:basedOn w:val="1"/>
    <w:next w:val="1"/>
    <w:autoRedefine/>
    <w:unhideWhenUsed/>
    <w:qFormat/>
    <w:uiPriority w:val="0"/>
    <w:pPr>
      <w:spacing w:after="120"/>
      <w:ind w:left="1440" w:leftChars="700" w:right="1440" w:rightChars="700"/>
    </w:pPr>
  </w:style>
  <w:style w:type="paragraph" w:styleId="15">
    <w:name w:val="List Bullet 5"/>
    <w:basedOn w:val="1"/>
    <w:autoRedefine/>
    <w:qFormat/>
    <w:uiPriority w:val="0"/>
    <w:pPr>
      <w:numPr>
        <w:ilvl w:val="0"/>
        <w:numId w:val="1"/>
      </w:numPr>
    </w:pPr>
  </w:style>
  <w:style w:type="paragraph" w:styleId="16">
    <w:name w:val="Body Text Indent 2"/>
    <w:basedOn w:val="1"/>
    <w:autoRedefine/>
    <w:qFormat/>
    <w:uiPriority w:val="0"/>
    <w:pPr>
      <w:spacing w:before="120" w:beforeLines="0"/>
      <w:ind w:right="113" w:firstLine="570"/>
    </w:pPr>
    <w:rPr>
      <w:kern w:val="24"/>
      <w:sz w:val="28"/>
      <w:szCs w:val="20"/>
    </w:rPr>
  </w:style>
  <w:style w:type="paragraph" w:styleId="17">
    <w:name w:val="endnote text"/>
    <w:basedOn w:val="1"/>
    <w:autoRedefine/>
    <w:semiHidden/>
    <w:qFormat/>
    <w:uiPriority w:val="99"/>
    <w:pPr>
      <w:snapToGrid w:val="0"/>
      <w:jc w:val="left"/>
    </w:pPr>
    <w:rPr>
      <w:rFonts w:ascii="Calibri" w:hAnsi="Calibri" w:cs="Calibri"/>
      <w:sz w:val="24"/>
      <w:szCs w:val="24"/>
    </w:rPr>
  </w:style>
  <w:style w:type="paragraph" w:styleId="18">
    <w:name w:val="footer"/>
    <w:basedOn w:val="1"/>
    <w:autoRedefine/>
    <w:qFormat/>
    <w:uiPriority w:val="99"/>
    <w:pPr>
      <w:tabs>
        <w:tab w:val="center" w:pos="4153"/>
        <w:tab w:val="right" w:pos="8306"/>
      </w:tabs>
      <w:snapToGrid w:val="0"/>
      <w:jc w:val="left"/>
    </w:pPr>
    <w:rPr>
      <w:kern w:val="0"/>
      <w:sz w:val="18"/>
      <w:szCs w:val="20"/>
    </w:rPr>
  </w:style>
  <w:style w:type="paragraph" w:styleId="19">
    <w:name w:val="header"/>
    <w:basedOn w:val="1"/>
    <w:next w:val="20"/>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20">
    <w:name w:val="样式5"/>
    <w:basedOn w:val="21"/>
    <w:next w:val="17"/>
    <w:autoRedefine/>
    <w:qFormat/>
    <w:uiPriority w:val="99"/>
    <w:pPr>
      <w:spacing w:line="460" w:lineRule="exact"/>
      <w:textAlignment w:val="baseline"/>
    </w:pPr>
    <w:rPr>
      <w:rFonts w:ascii="Arial" w:hAnsi="Arial" w:cs="Arial"/>
    </w:rPr>
  </w:style>
  <w:style w:type="paragraph" w:customStyle="1" w:styleId="21">
    <w:name w:val="正文1"/>
    <w:basedOn w:val="1"/>
    <w:next w:val="1"/>
    <w:autoRedefine/>
    <w:qFormat/>
    <w:uiPriority w:val="0"/>
    <w:pPr>
      <w:spacing w:before="78" w:after="78" w:line="360" w:lineRule="auto"/>
      <w:ind w:firstLine="480"/>
    </w:pPr>
    <w:rPr>
      <w:kern w:val="1"/>
      <w:sz w:val="24"/>
    </w:rPr>
  </w:style>
  <w:style w:type="paragraph" w:styleId="22">
    <w:name w:val="toc 1"/>
    <w:basedOn w:val="1"/>
    <w:next w:val="1"/>
    <w:autoRedefine/>
    <w:qFormat/>
    <w:uiPriority w:val="39"/>
    <w:pPr>
      <w:tabs>
        <w:tab w:val="right" w:leader="dot" w:pos="8296"/>
      </w:tabs>
      <w:ind w:firstLine="0" w:firstLineChars="0"/>
      <w:jc w:val="center"/>
    </w:pPr>
    <w:rPr>
      <w:rFonts w:ascii="Times New Roman" w:hAnsi="Times New Roman" w:eastAsia="宋体"/>
      <w:szCs w:val="30"/>
    </w:rPr>
  </w:style>
  <w:style w:type="paragraph" w:styleId="23">
    <w:name w:val="Subtitle"/>
    <w:basedOn w:val="1"/>
    <w:next w:val="1"/>
    <w:autoRedefine/>
    <w:qFormat/>
    <w:uiPriority w:val="0"/>
    <w:pPr>
      <w:ind w:firstLine="0" w:firstLineChars="0"/>
      <w:jc w:val="center"/>
    </w:pPr>
    <w:rPr>
      <w:b/>
      <w:sz w:val="21"/>
    </w:rPr>
  </w:style>
  <w:style w:type="paragraph" w:styleId="24">
    <w:name w:val="toc 2"/>
    <w:basedOn w:val="1"/>
    <w:next w:val="1"/>
    <w:qFormat/>
    <w:uiPriority w:val="0"/>
  </w:style>
  <w:style w:type="paragraph" w:styleId="25">
    <w:name w:val="HTML Preformatted"/>
    <w:basedOn w:val="1"/>
    <w:autoRedefine/>
    <w:unhideWhenUsed/>
    <w:qFormat/>
    <w:uiPriority w:val="99"/>
    <w:pPr>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default" w:ascii="微软雅黑" w:hAnsi="微软雅黑" w:eastAsia="微软雅黑" w:cs="微软雅黑"/>
      <w:kern w:val="0"/>
      <w:sz w:val="24"/>
      <w:szCs w:val="24"/>
      <w:lang w:val="en-US" w:eastAsia="zh-CN" w:bidi="ar"/>
    </w:rPr>
  </w:style>
  <w:style w:type="paragraph" w:styleId="26">
    <w:name w:val="Normal (Web)"/>
    <w:basedOn w:val="1"/>
    <w:autoRedefine/>
    <w:qFormat/>
    <w:uiPriority w:val="0"/>
    <w:pPr>
      <w:widowControl/>
      <w:spacing w:before="100" w:beforeAutospacing="1" w:after="100" w:afterAutospacing="1"/>
      <w:jc w:val="left"/>
    </w:pPr>
    <w:rPr>
      <w:rFonts w:ascii="宋体" w:hAnsi="宋体"/>
      <w:kern w:val="0"/>
      <w:sz w:val="24"/>
      <w:szCs w:val="20"/>
    </w:rPr>
  </w:style>
  <w:style w:type="paragraph" w:styleId="27">
    <w:name w:val="Body Text First Indent"/>
    <w:basedOn w:val="12"/>
    <w:next w:val="1"/>
    <w:autoRedefine/>
    <w:qFormat/>
    <w:uiPriority w:val="0"/>
    <w:pPr>
      <w:ind w:firstLine="420" w:firstLineChars="100"/>
    </w:pPr>
    <w:rPr>
      <w:szCs w:val="24"/>
    </w:rPr>
  </w:style>
  <w:style w:type="paragraph" w:styleId="28">
    <w:name w:val="Body Text First Indent 2"/>
    <w:basedOn w:val="13"/>
    <w:next w:val="1"/>
    <w:autoRedefine/>
    <w:qFormat/>
    <w:uiPriority w:val="0"/>
    <w:pPr>
      <w:keepNext w:val="0"/>
      <w:keepLines w:val="0"/>
      <w:widowControl w:val="0"/>
      <w:suppressLineNumbers w:val="0"/>
      <w:spacing w:before="0" w:beforeAutospacing="0" w:after="0" w:afterAutospacing="0"/>
      <w:ind w:left="0" w:right="0" w:firstLine="420" w:firstLineChars="200"/>
      <w:jc w:val="both"/>
    </w:pPr>
    <w:rPr>
      <w:rFonts w:ascii="Times New Roman" w:hAnsi="Times New Roman" w:eastAsia="宋体"/>
      <w:kern w:val="2"/>
      <w:sz w:val="21"/>
      <w:szCs w:val="24"/>
      <w:lang w:bidi="ar"/>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0"/>
    <w:rPr>
      <w:b/>
    </w:rPr>
  </w:style>
  <w:style w:type="character" w:styleId="33">
    <w:name w:val="page number"/>
    <w:basedOn w:val="31"/>
    <w:autoRedefine/>
    <w:qFormat/>
    <w:uiPriority w:val="0"/>
  </w:style>
  <w:style w:type="character" w:styleId="34">
    <w:name w:val="Hyperlink"/>
    <w:basedOn w:val="31"/>
    <w:autoRedefine/>
    <w:qFormat/>
    <w:uiPriority w:val="0"/>
    <w:rPr>
      <w:rFonts w:eastAsia="宋体"/>
      <w:color w:val="0000FF"/>
      <w:sz w:val="24"/>
      <w:szCs w:val="24"/>
      <w:u w:val="none"/>
    </w:rPr>
  </w:style>
  <w:style w:type="paragraph" w:customStyle="1" w:styleId="35">
    <w:name w:val="表格"/>
    <w:basedOn w:val="21"/>
    <w:next w:val="1"/>
    <w:autoRedefine/>
    <w:qFormat/>
    <w:uiPriority w:val="0"/>
    <w:pPr>
      <w:snapToGrid w:val="0"/>
      <w:spacing w:line="240" w:lineRule="auto"/>
      <w:ind w:firstLine="0" w:firstLineChars="0"/>
      <w:jc w:val="center"/>
    </w:pPr>
    <w:rPr>
      <w:sz w:val="21"/>
      <w:szCs w:val="21"/>
    </w:rPr>
  </w:style>
  <w:style w:type="paragraph" w:customStyle="1" w:styleId="36">
    <w:name w:val="表头"/>
    <w:basedOn w:val="1"/>
    <w:next w:val="1"/>
    <w:link w:val="37"/>
    <w:autoRedefine/>
    <w:qFormat/>
    <w:uiPriority w:val="0"/>
    <w:pPr>
      <w:ind w:firstLine="0" w:firstLineChars="0"/>
      <w:jc w:val="center"/>
    </w:pPr>
    <w:rPr>
      <w:rFonts w:ascii="Times New Roman" w:hAnsi="Times New Roman" w:eastAsia="宋体"/>
      <w:b/>
      <w:sz w:val="21"/>
      <w:szCs w:val="21"/>
    </w:rPr>
  </w:style>
  <w:style w:type="character" w:customStyle="1" w:styleId="37">
    <w:name w:val="表头 Char"/>
    <w:link w:val="36"/>
    <w:autoRedefine/>
    <w:qFormat/>
    <w:uiPriority w:val="0"/>
    <w:rPr>
      <w:rFonts w:ascii="Times New Roman" w:hAnsi="Times New Roman" w:eastAsia="宋体"/>
      <w:b/>
      <w:sz w:val="21"/>
      <w:szCs w:val="21"/>
    </w:rPr>
  </w:style>
  <w:style w:type="paragraph" w:customStyle="1" w:styleId="38">
    <w:name w:val="样式 正文文本缩进 + 行距: 1.5 倍行距"/>
    <w:basedOn w:val="1"/>
    <w:autoRedefine/>
    <w:qFormat/>
    <w:uiPriority w:val="0"/>
    <w:pPr>
      <w:spacing w:after="120" w:line="360" w:lineRule="auto"/>
      <w:ind w:left="90" w:leftChars="32" w:firstLine="560" w:firstLineChars="200"/>
    </w:pPr>
    <w:rPr>
      <w:rFonts w:ascii="Calibri" w:hAnsi="Calibri" w:cs="宋体"/>
      <w:szCs w:val="24"/>
    </w:rPr>
  </w:style>
  <w:style w:type="paragraph" w:customStyle="1" w:styleId="39">
    <w:name w:val="Default"/>
    <w:basedOn w:val="40"/>
    <w:next w:val="9"/>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纯文本1"/>
    <w:basedOn w:val="1"/>
    <w:autoRedefine/>
    <w:qFormat/>
    <w:uiPriority w:val="0"/>
    <w:pPr>
      <w:widowControl/>
      <w:spacing w:beforeLines="10" w:afterLines="10" w:line="360" w:lineRule="auto"/>
      <w:ind w:firstLine="200" w:firstLineChars="200"/>
      <w:jc w:val="left"/>
    </w:pPr>
    <w:rPr>
      <w:rFonts w:hAnsi="宋体" w:cs="宋体"/>
      <w:kern w:val="0"/>
      <w:sz w:val="24"/>
    </w:rPr>
  </w:style>
  <w:style w:type="paragraph" w:customStyle="1" w:styleId="41">
    <w:name w:val="[1]正文"/>
    <w:basedOn w:val="1"/>
    <w:autoRedefine/>
    <w:qFormat/>
    <w:uiPriority w:val="0"/>
    <w:pPr>
      <w:widowControl/>
      <w:snapToGrid w:val="0"/>
      <w:ind w:firstLine="200"/>
      <w:jc w:val="left"/>
    </w:pPr>
    <w:rPr>
      <w:szCs w:val="28"/>
    </w:rPr>
  </w:style>
  <w:style w:type="paragraph" w:customStyle="1" w:styleId="42">
    <w:name w:val="封皮"/>
    <w:basedOn w:val="1"/>
    <w:autoRedefine/>
    <w:qFormat/>
    <w:uiPriority w:val="0"/>
    <w:pPr>
      <w:spacing w:line="240" w:lineRule="auto"/>
      <w:ind w:firstLine="0" w:firstLineChars="0"/>
      <w:jc w:val="center"/>
    </w:pPr>
    <w:rPr>
      <w:b/>
      <w:sz w:val="72"/>
    </w:rPr>
  </w:style>
  <w:style w:type="paragraph" w:customStyle="1" w:styleId="43">
    <w:name w:val="Table Paragraph"/>
    <w:basedOn w:val="1"/>
    <w:autoRedefine/>
    <w:qFormat/>
    <w:uiPriority w:val="1"/>
    <w:pPr>
      <w:autoSpaceDE w:val="0"/>
      <w:autoSpaceDN w:val="0"/>
      <w:adjustRightInd w:val="0"/>
      <w:jc w:val="left"/>
    </w:pPr>
    <w:rPr>
      <w:kern w:val="0"/>
      <w:sz w:val="24"/>
    </w:rPr>
  </w:style>
  <w:style w:type="paragraph" w:styleId="44">
    <w:name w:val="List Paragraph"/>
    <w:basedOn w:val="1"/>
    <w:autoRedefine/>
    <w:qFormat/>
    <w:uiPriority w:val="34"/>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character" w:customStyle="1" w:styleId="45">
    <w:name w:val="正文文本 (2) + 9.5 pt"/>
    <w:autoRedefine/>
    <w:qFormat/>
    <w:uiPriority w:val="0"/>
    <w:rPr>
      <w:rFonts w:ascii="MingLiU-ExtB" w:hAnsi="MingLiU-ExtB" w:eastAsia="MingLiU-ExtB" w:cs="MingLiU-ExtB"/>
      <w:color w:val="000000"/>
      <w:spacing w:val="0"/>
      <w:w w:val="100"/>
      <w:position w:val="0"/>
      <w:sz w:val="19"/>
      <w:szCs w:val="19"/>
      <w:u w:val="none"/>
      <w:shd w:val="clear" w:color="auto" w:fill="FFFFFF"/>
      <w:lang w:val="zh-TW" w:eastAsia="zh-TW" w:bidi="zh-TW"/>
    </w:rPr>
  </w:style>
  <w:style w:type="character" w:customStyle="1" w:styleId="46">
    <w:name w:val="正文文本 (2) + AngsanaUPC"/>
    <w:autoRedefine/>
    <w:qFormat/>
    <w:uiPriority w:val="0"/>
    <w:rPr>
      <w:rFonts w:ascii="Mongolian Baiti" w:hAnsi="Mongolian Baiti" w:eastAsia="Mongolian Baiti" w:cs="Mongolian Baiti"/>
      <w:color w:val="000000"/>
      <w:spacing w:val="0"/>
      <w:w w:val="100"/>
      <w:position w:val="0"/>
      <w:sz w:val="32"/>
      <w:szCs w:val="32"/>
      <w:u w:val="none"/>
      <w:shd w:val="clear" w:color="auto" w:fill="FFFFFF"/>
      <w:lang w:val="en-US" w:eastAsia="en-US" w:bidi="en-US"/>
    </w:rPr>
  </w:style>
  <w:style w:type="character" w:customStyle="1" w:styleId="47">
    <w:name w:val="font31"/>
    <w:basedOn w:val="31"/>
    <w:autoRedefine/>
    <w:qFormat/>
    <w:uiPriority w:val="0"/>
    <w:rPr>
      <w:rFonts w:hint="eastAsia" w:ascii="宋体" w:hAnsi="宋体" w:eastAsia="宋体" w:cs="宋体"/>
      <w:color w:val="000000"/>
      <w:sz w:val="24"/>
      <w:szCs w:val="24"/>
      <w:u w:val="none"/>
    </w:rPr>
  </w:style>
  <w:style w:type="paragraph" w:customStyle="1" w:styleId="48">
    <w:name w:val="列出段落1"/>
    <w:basedOn w:val="1"/>
    <w:autoRedefine/>
    <w:qFormat/>
    <w:uiPriority w:val="0"/>
    <w:pPr>
      <w:ind w:firstLine="420" w:firstLineChars="200"/>
    </w:pPr>
    <w:rPr>
      <w:rFonts w:ascii="Calibri" w:hAnsi="Calibri" w:eastAsia="宋体"/>
    </w:rPr>
  </w:style>
  <w:style w:type="paragraph" w:customStyle="1" w:styleId="49">
    <w:name w:val="(.a表格内容"/>
    <w:basedOn w:val="50"/>
    <w:autoRedefine/>
    <w:qFormat/>
    <w:uiPriority w:val="0"/>
    <w:pPr>
      <w:spacing w:line="0" w:lineRule="atLeast"/>
      <w:jc w:val="center"/>
    </w:pPr>
    <w:rPr>
      <w:sz w:val="21"/>
    </w:rPr>
  </w:style>
  <w:style w:type="paragraph" w:customStyle="1" w:styleId="50">
    <w:name w:val="（.a正文"/>
    <w:autoRedefine/>
    <w:qFormat/>
    <w:uiPriority w:val="0"/>
    <w:pPr>
      <w:adjustRightInd w:val="0"/>
      <w:spacing w:line="480" w:lineRule="exact"/>
      <w:ind w:firstLine="200" w:firstLineChars="200"/>
      <w:jc w:val="both"/>
    </w:pPr>
    <w:rPr>
      <w:rFonts w:ascii="Times New Roman" w:hAnsi="Times New Roman" w:eastAsia="宋体" w:cs="Times New Roman"/>
      <w:bCs/>
      <w:kern w:val="2"/>
      <w:sz w:val="24"/>
      <w:szCs w:val="24"/>
      <w:lang w:val="en-US" w:eastAsia="zh-CN" w:bidi="ar-SA"/>
    </w:rPr>
  </w:style>
  <w:style w:type="paragraph" w:customStyle="1" w:styleId="51">
    <w:name w:val="我的表格"/>
    <w:basedOn w:val="52"/>
    <w:autoRedefine/>
    <w:qFormat/>
    <w:uiPriority w:val="0"/>
    <w:pPr>
      <w:spacing w:line="240" w:lineRule="auto"/>
      <w:ind w:firstLine="0" w:firstLineChars="0"/>
      <w:jc w:val="center"/>
    </w:pPr>
    <w:rPr>
      <w:rFonts w:ascii="Times New Roman" w:hAnsi="Times New Roman"/>
      <w:sz w:val="21"/>
      <w:szCs w:val="21"/>
    </w:rPr>
  </w:style>
  <w:style w:type="paragraph" w:customStyle="1" w:styleId="52">
    <w:name w:val="正常格式"/>
    <w:basedOn w:val="53"/>
    <w:autoRedefine/>
    <w:qFormat/>
    <w:uiPriority w:val="0"/>
    <w:pPr>
      <w:snapToGrid w:val="0"/>
      <w:spacing w:line="480" w:lineRule="exact"/>
      <w:ind w:firstLine="602"/>
    </w:pPr>
    <w:rPr>
      <w:rFonts w:ascii="Times New Roman" w:hAnsi="Times New Roman" w:eastAsia="方正仿宋_GB2312"/>
      <w:kern w:val="0"/>
      <w:szCs w:val="20"/>
    </w:rPr>
  </w:style>
  <w:style w:type="paragraph" w:customStyle="1" w:styleId="53">
    <w:name w:val="正文2"/>
    <w:basedOn w:val="54"/>
    <w:autoRedefine/>
    <w:qFormat/>
    <w:uiPriority w:val="0"/>
    <w:pPr>
      <w:spacing w:line="360" w:lineRule="auto"/>
      <w:ind w:firstLine="480" w:firstLineChars="200"/>
    </w:pPr>
    <w:rPr>
      <w:rFonts w:ascii="宋体" w:hAnsi="宋体"/>
      <w:sz w:val="24"/>
    </w:rPr>
  </w:style>
  <w:style w:type="paragraph" w:customStyle="1" w:styleId="54">
    <w:name w:val="Body Text 22"/>
    <w:autoRedefine/>
    <w:qFormat/>
    <w:uiPriority w:val="0"/>
    <w:pPr>
      <w:widowControl w:val="0"/>
      <w:adjustRightInd w:val="0"/>
      <w:spacing w:line="440" w:lineRule="atLeast"/>
      <w:ind w:firstLine="480"/>
      <w:jc w:val="both"/>
      <w:textAlignment w:val="baseline"/>
    </w:pPr>
    <w:rPr>
      <w:rFonts w:ascii="Times New Roman" w:hAnsi="Times New Roman" w:eastAsia="方正仿宋_GB2312" w:cs="Times New Roman"/>
      <w:kern w:val="2"/>
      <w:sz w:val="24"/>
      <w:szCs w:val="22"/>
      <w:lang w:val="en-US" w:eastAsia="zh-CN" w:bidi="ar-SA"/>
    </w:rPr>
  </w:style>
  <w:style w:type="paragraph" w:customStyle="1" w:styleId="55">
    <w:name w:val="正文文本 (2)"/>
    <w:autoRedefine/>
    <w:qFormat/>
    <w:uiPriority w:val="0"/>
    <w:pPr>
      <w:widowControl w:val="0"/>
      <w:shd w:val="clear" w:color="auto" w:fill="FFFFFF"/>
      <w:spacing w:before="420" w:after="360" w:line="0" w:lineRule="atLeast"/>
      <w:jc w:val="distribute"/>
    </w:pPr>
    <w:rPr>
      <w:rFonts w:ascii="MingLiU-ExtB" w:hAnsi="MingLiU-ExtB" w:eastAsia="MingLiU-ExtB" w:cs="MingLiU-ExtB"/>
      <w:sz w:val="26"/>
      <w:szCs w:val="26"/>
      <w:lang w:val="en-US" w:eastAsia="en-US" w:bidi="en-US"/>
    </w:rPr>
  </w:style>
  <w:style w:type="paragraph" w:customStyle="1" w:styleId="56">
    <w:name w:val="样式 正文文字 + 首行缩进:  2 字符 行距: 最小值 24 磅"/>
    <w:basedOn w:val="1"/>
    <w:autoRedefine/>
    <w:qFormat/>
    <w:uiPriority w:val="0"/>
    <w:pPr>
      <w:adjustRightInd w:val="0"/>
      <w:snapToGrid w:val="0"/>
      <w:spacing w:line="480" w:lineRule="atLeast"/>
      <w:ind w:firstLine="480" w:firstLineChars="200"/>
    </w:pPr>
    <w:rPr>
      <w:rFonts w:ascii="Times New Roman" w:hAnsi="Times New Roman" w:eastAsia="宋体" w:cs="宋体"/>
      <w:sz w:val="24"/>
      <w:szCs w:val="20"/>
    </w:rPr>
  </w:style>
  <w:style w:type="paragraph" w:customStyle="1" w:styleId="57">
    <w:name w:val="正"/>
    <w:basedOn w:val="1"/>
    <w:autoRedefine/>
    <w:qFormat/>
    <w:uiPriority w:val="0"/>
    <w:pPr>
      <w:ind w:firstLine="200"/>
    </w:pPr>
    <w:rPr>
      <w:rFonts w:ascii="Times New Roman" w:hAnsi="Times New Roman" w:eastAsia="宋体" w:cs="Times New Roman"/>
      <w:sz w:val="24"/>
    </w:rPr>
  </w:style>
  <w:style w:type="paragraph" w:customStyle="1" w:styleId="58">
    <w:name w:val="中文报告书样式"/>
    <w:basedOn w:val="1"/>
    <w:autoRedefine/>
    <w:qFormat/>
    <w:uiPriority w:val="0"/>
    <w:pPr>
      <w:adjustRightInd w:val="0"/>
      <w:spacing w:line="480" w:lineRule="atLeast"/>
      <w:ind w:firstLine="482"/>
      <w:textAlignment w:val="baseline"/>
    </w:pPr>
    <w:rPr>
      <w:rFonts w:ascii="Calibri" w:hAnsi="Calibri"/>
      <w:kern w:val="24"/>
      <w:sz w:val="24"/>
    </w:rPr>
  </w:style>
  <w:style w:type="paragraph" w:customStyle="1" w:styleId="59">
    <w:name w:val="样式10"/>
    <w:basedOn w:val="53"/>
    <w:autoRedefine/>
    <w:qFormat/>
    <w:uiPriority w:val="0"/>
    <w:pPr>
      <w:spacing w:line="480" w:lineRule="exact"/>
      <w:ind w:firstLine="600"/>
    </w:pPr>
  </w:style>
  <w:style w:type="paragraph" w:customStyle="1" w:styleId="60">
    <w:name w:val="河南表内"/>
    <w:basedOn w:val="1"/>
    <w:autoRedefine/>
    <w:qFormat/>
    <w:uiPriority w:val="0"/>
    <w:pPr>
      <w:spacing w:line="360" w:lineRule="exact"/>
      <w:jc w:val="center"/>
    </w:pPr>
    <w:rPr>
      <w:color w:val="000000"/>
      <w:szCs w:val="21"/>
    </w:rPr>
  </w:style>
  <w:style w:type="table" w:customStyle="1" w:styleId="61">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62">
    <w:name w:val="WPSOffice手动目录 1"/>
    <w:autoRedefine/>
    <w:qFormat/>
    <w:uiPriority w:val="0"/>
    <w:pPr>
      <w:ind w:leftChars="0"/>
    </w:pPr>
    <w:rPr>
      <w:rFonts w:ascii="Times New Roman" w:hAnsi="Times New Roman" w:eastAsia="宋体" w:cs="Times New Roman"/>
      <w:sz w:val="20"/>
      <w:szCs w:val="20"/>
    </w:rPr>
  </w:style>
  <w:style w:type="paragraph" w:customStyle="1" w:styleId="63">
    <w:name w:val="a)"/>
    <w:basedOn w:val="1"/>
    <w:autoRedefine/>
    <w:qFormat/>
    <w:uiPriority w:val="0"/>
    <w:pPr>
      <w:tabs>
        <w:tab w:val="left" w:pos="1134"/>
      </w:tabs>
      <w:adjustRightInd w:val="0"/>
      <w:spacing w:line="360" w:lineRule="auto"/>
      <w:ind w:firstLine="567"/>
      <w:textAlignment w:val="baseline"/>
    </w:pPr>
    <w:rPr>
      <w:rFonts w:ascii="Times New Roman"/>
      <w:spacing w:val="0"/>
      <w:kern w:val="0"/>
      <w:sz w:val="28"/>
      <w:szCs w:val="20"/>
    </w:rPr>
  </w:style>
  <w:style w:type="paragraph" w:customStyle="1" w:styleId="64">
    <w:name w:val="2.1.1"/>
    <w:basedOn w:val="1"/>
    <w:autoRedefine/>
    <w:qFormat/>
    <w:uiPriority w:val="0"/>
    <w:rPr>
      <w:rFonts w:ascii="Times New Roman"/>
      <w:sz w:val="24"/>
    </w:rPr>
  </w:style>
  <w:style w:type="character" w:customStyle="1" w:styleId="65">
    <w:name w:val="font41"/>
    <w:basedOn w:val="31"/>
    <w:autoRedefine/>
    <w:qFormat/>
    <w:uiPriority w:val="0"/>
    <w:rPr>
      <w:rFonts w:hint="eastAsia" w:ascii="宋体" w:hAnsi="宋体" w:eastAsia="宋体" w:cs="宋体"/>
      <w:color w:val="000000"/>
      <w:sz w:val="24"/>
      <w:szCs w:val="24"/>
      <w:u w:val="none"/>
    </w:rPr>
  </w:style>
  <w:style w:type="paragraph" w:customStyle="1" w:styleId="66">
    <w:name w:val="默认段落字体 Para Char Char Char Char Char Char Char Char Char Char"/>
    <w:basedOn w:val="4"/>
    <w:autoRedefine/>
    <w:qFormat/>
    <w:uiPriority w:val="0"/>
    <w:pPr>
      <w:tabs>
        <w:tab w:val="left" w:pos="360"/>
        <w:tab w:val="left" w:pos="900"/>
      </w:tabs>
      <w:snapToGrid w:val="0"/>
      <w:spacing w:before="120" w:after="120" w:line="360" w:lineRule="auto"/>
      <w:ind w:left="542" w:leftChars="-12" w:firstLine="200" w:firstLineChars="200"/>
      <w:jc w:val="left"/>
    </w:pPr>
    <w:rPr>
      <w:rFonts w:eastAsia="黑体"/>
      <w:b w:val="0"/>
      <w:bCs w:val="0"/>
      <w:snapToGrid w:val="0"/>
      <w:sz w:val="24"/>
      <w:szCs w:val="24"/>
    </w:rPr>
  </w:style>
  <w:style w:type="character" w:customStyle="1" w:styleId="67">
    <w:name w:val="font11"/>
    <w:basedOn w:val="31"/>
    <w:autoRedefine/>
    <w:qFormat/>
    <w:uiPriority w:val="0"/>
    <w:rPr>
      <w:rFonts w:hint="eastAsia" w:ascii="宋体" w:hAnsi="宋体" w:eastAsia="宋体" w:cs="宋体"/>
      <w:color w:val="000000"/>
      <w:sz w:val="22"/>
      <w:szCs w:val="22"/>
      <w:u w:val="none"/>
    </w:rPr>
  </w:style>
  <w:style w:type="character" w:customStyle="1" w:styleId="68">
    <w:name w:val="font21"/>
    <w:basedOn w:val="31"/>
    <w:autoRedefine/>
    <w:qFormat/>
    <w:uiPriority w:val="0"/>
    <w:rPr>
      <w:rFonts w:hint="eastAsia" w:ascii="宋体" w:hAnsi="宋体" w:eastAsia="宋体" w:cs="宋体"/>
      <w:color w:val="0000FF"/>
      <w:sz w:val="21"/>
      <w:szCs w:val="21"/>
      <w:u w:val="none"/>
    </w:rPr>
  </w:style>
  <w:style w:type="character" w:customStyle="1" w:styleId="69">
    <w:name w:val="正文文本 字符1"/>
    <w:basedOn w:val="31"/>
    <w:autoRedefine/>
    <w:semiHidden/>
    <w:qFormat/>
    <w:uiPriority w:val="0"/>
    <w:rPr>
      <w:rFonts w:ascii="Times New Roman" w:hAnsi="Times New Roman" w:eastAsia="宋体"/>
      <w:sz w:val="24"/>
    </w:rPr>
  </w:style>
  <w:style w:type="paragraph" w:customStyle="1" w:styleId="70">
    <w:name w:val="样式 首行缩进:  2 字符1"/>
    <w:basedOn w:val="1"/>
    <w:autoRedefine/>
    <w:qFormat/>
    <w:uiPriority w:val="0"/>
    <w:pPr>
      <w:spacing w:line="360" w:lineRule="exact"/>
      <w:ind w:left="-90" w:leftChars="-43"/>
      <w:jc w:val="center"/>
    </w:pPr>
    <w:rPr>
      <w:rFonts w:cs="宋体"/>
      <w:kern w:val="0"/>
      <w:szCs w:val="21"/>
    </w:rPr>
  </w:style>
  <w:style w:type="paragraph" w:customStyle="1" w:styleId="71">
    <w:name w:val="样式 四号 首行缩进:  2 字符"/>
    <w:basedOn w:val="1"/>
    <w:autoRedefine/>
    <w:qFormat/>
    <w:uiPriority w:val="0"/>
    <w:pPr>
      <w:spacing w:line="480" w:lineRule="atLeast"/>
      <w:ind w:firstLine="480" w:firstLineChars="200"/>
    </w:pPr>
    <w:rPr>
      <w:rFonts w:ascii="Times New Roman"/>
      <w:sz w:val="24"/>
    </w:rPr>
  </w:style>
  <w:style w:type="paragraph" w:customStyle="1" w:styleId="72">
    <w:name w:val="图图"/>
    <w:basedOn w:val="1"/>
    <w:autoRedefine/>
    <w:qFormat/>
    <w:uiPriority w:val="0"/>
    <w:pPr>
      <w:spacing w:line="240" w:lineRule="auto"/>
      <w:ind w:firstLine="0" w:firstLineChars="0"/>
      <w:jc w:val="center"/>
    </w:pPr>
    <w:rPr>
      <w:sz w:val="21"/>
    </w:rPr>
  </w:style>
  <w:style w:type="character" w:customStyle="1" w:styleId="73">
    <w:name w:val="NormalCharacter"/>
    <w:qFormat/>
    <w:uiPriority w:val="0"/>
  </w:style>
  <w:style w:type="paragraph" w:customStyle="1" w:styleId="74">
    <w:name w:val="lh-表题--报告表"/>
    <w:basedOn w:val="1"/>
    <w:qFormat/>
    <w:uiPriority w:val="0"/>
    <w:pPr>
      <w:keepNext/>
      <w:widowControl/>
      <w:numPr>
        <w:ilvl w:val="0"/>
        <w:numId w:val="2"/>
      </w:numPr>
      <w:spacing w:before="156" w:beforeLines="50"/>
      <w:ind w:left="0" w:firstLine="0"/>
      <w:jc w:val="center"/>
    </w:pPr>
    <w:rPr>
      <w:snapToGrid w:val="0"/>
      <w:kern w:val="0"/>
      <w:sz w:val="24"/>
      <w:szCs w:val="21"/>
    </w:rPr>
  </w:style>
  <w:style w:type="paragraph" w:customStyle="1" w:styleId="75">
    <w:name w:val="lh-表格文字-报告书"/>
    <w:qFormat/>
    <w:uiPriority w:val="0"/>
    <w:pPr>
      <w:jc w:val="center"/>
    </w:pPr>
    <w:rPr>
      <w:rFonts w:ascii="Times New Roman" w:hAnsi="Times New Roman" w:eastAsia="宋体" w:cs="Times New Roman"/>
      <w:snapToGrid w:val="0"/>
      <w:sz w:val="21"/>
      <w:szCs w:val="24"/>
      <w:lang w:val="en-US" w:eastAsia="zh-CN" w:bidi="ar-SA"/>
    </w:rPr>
  </w:style>
  <w:style w:type="paragraph" w:customStyle="1" w:styleId="76">
    <w:name w:val="lh-表格文字-报告表"/>
    <w:qFormat/>
    <w:uiPriority w:val="0"/>
    <w:pPr>
      <w:jc w:val="center"/>
    </w:pPr>
    <w:rPr>
      <w:rFonts w:ascii="Times New Roman" w:hAnsi="Times New Roman" w:eastAsia="宋体" w:cs="Times New Roman"/>
      <w:snapToGrid w:val="0"/>
      <w:sz w:val="21"/>
      <w:szCs w:val="24"/>
      <w:lang w:val="en-US" w:eastAsia="zh-CN" w:bidi="ar-SA"/>
    </w:rPr>
  </w:style>
  <w:style w:type="character" w:customStyle="1" w:styleId="77">
    <w:name w:val="fontstyle01"/>
    <w:qFormat/>
    <w:uiPriority w:val="0"/>
    <w:rPr>
      <w:rFonts w:hint="eastAsia" w:ascii="宋体" w:hAnsi="宋体" w:eastAsia="宋体"/>
      <w:color w:val="000000"/>
      <w:sz w:val="24"/>
      <w:szCs w:val="24"/>
    </w:rPr>
  </w:style>
  <w:style w:type="paragraph" w:styleId="78">
    <w:name w:val="No Spacing"/>
    <w:qFormat/>
    <w:uiPriority w:val="1"/>
    <w:pPr>
      <w:jc w:val="both"/>
    </w:pPr>
    <w:rPr>
      <w:rFonts w:ascii="Calibri" w:hAnsi="Calibri" w:eastAsia="宋体" w:cs="Times New Roman"/>
      <w:kern w:val="2"/>
      <w:sz w:val="21"/>
      <w:szCs w:val="22"/>
      <w:lang w:val="en-US" w:eastAsia="zh-CN" w:bidi="ar-SA"/>
    </w:rPr>
  </w:style>
  <w:style w:type="paragraph" w:customStyle="1" w:styleId="79">
    <w:name w:val="【表格】1"/>
    <w:next w:val="27"/>
    <w:autoRedefine/>
    <w:qFormat/>
    <w:uiPriority w:val="0"/>
    <w:pPr>
      <w:spacing w:line="0" w:lineRule="atLeast"/>
      <w:jc w:val="center"/>
    </w:pPr>
    <w:rPr>
      <w:rFonts w:ascii="Times New Roman" w:hAnsi="Times New Roman"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4" Type="http://schemas.openxmlformats.org/officeDocument/2006/relationships/fontTable" Target="fontTable.xml"/><Relationship Id="rId33" Type="http://schemas.microsoft.com/office/2006/relationships/keyMapCustomizations" Target="customizations.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3.wmf"/><Relationship Id="rId3" Type="http://schemas.openxmlformats.org/officeDocument/2006/relationships/footnotes" Target="footnotes.xml"/><Relationship Id="rId29" Type="http://schemas.openxmlformats.org/officeDocument/2006/relationships/oleObject" Target="embeddings/oleObject7.bin"/><Relationship Id="rId28" Type="http://schemas.openxmlformats.org/officeDocument/2006/relationships/image" Target="media/image12.wmf"/><Relationship Id="rId27" Type="http://schemas.openxmlformats.org/officeDocument/2006/relationships/oleObject" Target="embeddings/oleObject6.bin"/><Relationship Id="rId26" Type="http://schemas.openxmlformats.org/officeDocument/2006/relationships/image" Target="media/image11.wmf"/><Relationship Id="rId25" Type="http://schemas.openxmlformats.org/officeDocument/2006/relationships/oleObject" Target="embeddings/oleObject5.bin"/><Relationship Id="rId24" Type="http://schemas.openxmlformats.org/officeDocument/2006/relationships/image" Target="media/image10.wmf"/><Relationship Id="rId23" Type="http://schemas.openxmlformats.org/officeDocument/2006/relationships/oleObject" Target="embeddings/oleObject4.bin"/><Relationship Id="rId22" Type="http://schemas.openxmlformats.org/officeDocument/2006/relationships/image" Target="media/image9.wmf"/><Relationship Id="rId21" Type="http://schemas.openxmlformats.org/officeDocument/2006/relationships/oleObject" Target="embeddings/oleObject3.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7.wmf"/><Relationship Id="rId17" Type="http://schemas.openxmlformats.org/officeDocument/2006/relationships/oleObject" Target="embeddings/oleObject1.bin"/><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118</Pages>
  <Words>33618</Words>
  <Characters>35815</Characters>
  <Lines>0</Lines>
  <Paragraphs>0</Paragraphs>
  <TotalTime>3</TotalTime>
  <ScaleCrop>false</ScaleCrop>
  <LinksUpToDate>false</LinksUpToDate>
  <CharactersWithSpaces>35971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2021-12-08T03:54:00Z</dcterms:created>
  <dc:creator>Administrator</dc:creator>
  <cp:lastModifiedBy>李佳琪</cp:lastModifiedBy>
  <cp:lastPrinted>2026-09-10T08:15:00Z</cp:lastPrinted>
  <dcterms:modified xsi:type="dcterms:W3CDTF">2026-09-22T08:48:49Z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86BE00E93D57421BAA562EE56195EABA_13</vt:lpwstr>
  </property>
  <property fmtid="{D5CDD505-2E9C-101B-9397-08002B2CF9AE}" pid="4" name="commondata">
    <vt:lpwstr>eyJoZGlkIjoiMzA2ZWRmNjk0ODg1ZWNjODdiZDc1Nzk3YWZjMjJjYjQifQ==</vt:lpwstr>
  </property>
  <property fmtid="{D5CDD505-2E9C-101B-9397-08002B2CF9AE}" pid="5" name="KSOTemplateDocerSaveRecord">
    <vt:lpwstr>eyJoZGlkIjoiZDZlNDczMjY1NmU4NWFlMWJjNDA4MjhlMmU5N2FlYTAiLCJ1c2VySWQiOiIyNDA4MzgwOSJ9</vt:lpwstr>
  </property>
</Properties>
</file>