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51587F">
      <w:pPr>
        <w:pStyle w:val="3"/>
        <w:jc w:val="left"/>
        <w:rPr>
          <w:rFonts w:hint="eastAsia" w:ascii="黑体" w:hAnsi="黑体" w:eastAsia="黑体" w:cs="黑体"/>
          <w:i w:val="0"/>
          <w:caps w:val="0"/>
          <w:color w:val="000000"/>
          <w:spacing w:val="0"/>
          <w:sz w:val="28"/>
          <w:szCs w:val="28"/>
          <w:shd w:val="clear" w:color="auto" w:fill="FFFFFF"/>
          <w:lang w:val="en-US" w:eastAsia="zh-CN"/>
        </w:rPr>
      </w:pPr>
      <w:r>
        <w:rPr>
          <w:rFonts w:hint="eastAsia" w:ascii="黑体" w:hAnsi="黑体" w:eastAsia="黑体" w:cs="黑体"/>
          <w:i w:val="0"/>
          <w:caps w:val="0"/>
          <w:color w:val="000000"/>
          <w:spacing w:val="0"/>
          <w:sz w:val="28"/>
          <w:szCs w:val="28"/>
          <w:shd w:val="clear" w:color="auto" w:fill="FFFFFF"/>
          <w:lang w:val="en-US" w:eastAsia="zh-CN"/>
        </w:rPr>
        <w:t>附件5</w:t>
      </w:r>
    </w:p>
    <w:p w14:paraId="0EB8458D">
      <w:pPr>
        <w:pStyle w:val="3"/>
        <w:rPr>
          <w:rFonts w:hint="eastAsia" w:ascii="方正小标宋简体" w:hAnsi="方正小标宋简体" w:eastAsia="方正小标宋简体" w:cs="方正小标宋简体"/>
          <w:sz w:val="44"/>
          <w:szCs w:val="44"/>
          <w:lang w:val="en-US" w:eastAsia="zh-CN"/>
        </w:rPr>
      </w:pPr>
      <w:r>
        <w:rPr>
          <w:rFonts w:hint="eastAsia" w:ascii="方正黑体_GBK" w:hAnsi="方正黑体_GBK" w:eastAsia="方正黑体_GBK" w:cs="方正黑体_GBK"/>
          <w:i w:val="0"/>
          <w:caps w:val="0"/>
          <w:color w:val="000000"/>
          <w:spacing w:val="0"/>
          <w:sz w:val="44"/>
          <w:szCs w:val="44"/>
          <w:shd w:val="clear" w:color="auto" w:fill="FFFFFF"/>
          <w:lang w:val="en-US" w:eastAsia="zh-CN"/>
        </w:rPr>
        <w:t>唐山市</w:t>
      </w:r>
      <w:r>
        <w:rPr>
          <w:rFonts w:hint="eastAsia" w:ascii="方正小标宋简体" w:hAnsi="方正小标宋简体" w:eastAsia="方正小标宋简体" w:cs="方正小标宋简体"/>
          <w:i w:val="0"/>
          <w:caps w:val="0"/>
          <w:color w:val="000000"/>
          <w:spacing w:val="0"/>
          <w:sz w:val="44"/>
          <w:szCs w:val="44"/>
          <w:shd w:val="clear" w:color="auto" w:fill="FFFFFF"/>
          <w:lang w:val="en-US" w:eastAsia="zh-CN"/>
        </w:rPr>
        <w:t>生态环境领域《轻微违法行为包容免罚清单》（2026年版）</w:t>
      </w:r>
    </w:p>
    <w:tbl>
      <w:tblPr>
        <w:tblStyle w:val="8"/>
        <w:tblW w:w="0" w:type="auto"/>
        <w:tblInd w:w="0" w:type="dxa"/>
        <w:tblLayout w:type="fixed"/>
        <w:tblCellMar>
          <w:top w:w="0" w:type="dxa"/>
          <w:left w:w="0" w:type="dxa"/>
          <w:bottom w:w="0" w:type="dxa"/>
          <w:right w:w="0" w:type="dxa"/>
        </w:tblCellMar>
      </w:tblPr>
      <w:tblGrid>
        <w:gridCol w:w="528"/>
        <w:gridCol w:w="1379"/>
        <w:gridCol w:w="6937"/>
        <w:gridCol w:w="1425"/>
        <w:gridCol w:w="2425"/>
      </w:tblGrid>
      <w:tr w14:paraId="26696C7D">
        <w:trPr>
          <w:cantSplit/>
          <w:trHeight w:val="807" w:hRule="atLeast"/>
          <w:tblHeader/>
        </w:trPr>
        <w:tc>
          <w:tcPr>
            <w:tcW w:w="52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31177AB8">
            <w:pPr>
              <w:widowControl/>
              <w:spacing w:line="600" w:lineRule="exact"/>
              <w:jc w:val="center"/>
              <w:textAlignment w:val="center"/>
              <w:rPr>
                <w:rFonts w:ascii="宋体" w:hAnsi="宋体" w:eastAsia="方正黑体_GBK"/>
                <w:color w:val="000000"/>
                <w:sz w:val="21"/>
                <w:szCs w:val="21"/>
                <w:highlight w:val="none"/>
              </w:rPr>
            </w:pPr>
            <w:r>
              <w:rPr>
                <w:rFonts w:ascii="宋体" w:hAnsi="宋体" w:eastAsia="方正黑体_GBK"/>
                <w:color w:val="000000"/>
                <w:kern w:val="0"/>
                <w:sz w:val="21"/>
                <w:szCs w:val="21"/>
                <w:highlight w:val="none"/>
                <w:lang w:bidi="ar"/>
              </w:rPr>
              <w:t>序号</w:t>
            </w:r>
          </w:p>
        </w:tc>
        <w:tc>
          <w:tcPr>
            <w:tcW w:w="1379"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1EF8204B">
            <w:pPr>
              <w:widowControl/>
              <w:spacing w:line="600" w:lineRule="exact"/>
              <w:jc w:val="center"/>
              <w:textAlignment w:val="center"/>
              <w:rPr>
                <w:rFonts w:ascii="宋体" w:hAnsi="宋体" w:eastAsia="方正黑体_GBK"/>
                <w:color w:val="000000"/>
                <w:sz w:val="21"/>
                <w:szCs w:val="21"/>
                <w:highlight w:val="none"/>
              </w:rPr>
            </w:pPr>
            <w:r>
              <w:rPr>
                <w:rFonts w:ascii="宋体" w:hAnsi="宋体" w:eastAsia="方正黑体_GBK"/>
                <w:color w:val="000000"/>
                <w:kern w:val="0"/>
                <w:sz w:val="21"/>
                <w:szCs w:val="21"/>
                <w:highlight w:val="none"/>
                <w:lang w:bidi="ar"/>
              </w:rPr>
              <w:t>事项名称</w:t>
            </w:r>
          </w:p>
        </w:tc>
        <w:tc>
          <w:tcPr>
            <w:tcW w:w="6937" w:type="dxa"/>
            <w:tcBorders>
              <w:top w:val="single" w:color="000000" w:sz="4" w:space="0"/>
              <w:left w:val="single" w:color="000000" w:sz="4" w:space="0"/>
              <w:right w:val="single" w:color="000000" w:sz="4" w:space="0"/>
            </w:tcBorders>
            <w:shd w:val="clear" w:color="auto" w:fill="FFFFFF"/>
            <w:noWrap w:val="0"/>
            <w:tcMar>
              <w:top w:w="15" w:type="dxa"/>
              <w:left w:w="15" w:type="dxa"/>
              <w:right w:w="15" w:type="dxa"/>
            </w:tcMar>
            <w:vAlign w:val="center"/>
          </w:tcPr>
          <w:p w14:paraId="4EF1D7AB">
            <w:pPr>
              <w:widowControl/>
              <w:spacing w:line="600" w:lineRule="exact"/>
              <w:jc w:val="center"/>
              <w:textAlignment w:val="center"/>
              <w:rPr>
                <w:rFonts w:ascii="宋体" w:hAnsi="宋体" w:eastAsia="方正黑体_GBK"/>
                <w:color w:val="000000"/>
                <w:sz w:val="21"/>
                <w:szCs w:val="21"/>
                <w:highlight w:val="none"/>
              </w:rPr>
            </w:pPr>
            <w:r>
              <w:rPr>
                <w:rFonts w:ascii="宋体" w:hAnsi="宋体" w:eastAsia="方正黑体_GBK"/>
                <w:color w:val="000000"/>
                <w:kern w:val="0"/>
                <w:sz w:val="21"/>
                <w:szCs w:val="21"/>
                <w:highlight w:val="none"/>
                <w:lang w:bidi="ar"/>
              </w:rPr>
              <w:t>实施依据</w:t>
            </w:r>
          </w:p>
        </w:tc>
        <w:tc>
          <w:tcPr>
            <w:tcW w:w="14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7316BC4B">
            <w:pPr>
              <w:widowControl/>
              <w:spacing w:line="600" w:lineRule="exact"/>
              <w:jc w:val="center"/>
              <w:textAlignment w:val="center"/>
              <w:rPr>
                <w:rFonts w:hint="eastAsia" w:ascii="宋体" w:hAnsi="宋体" w:eastAsia="方正黑体_GBK"/>
                <w:color w:val="000000"/>
                <w:kern w:val="0"/>
                <w:sz w:val="21"/>
                <w:szCs w:val="21"/>
                <w:highlight w:val="none"/>
                <w:lang w:eastAsia="zh-CN" w:bidi="ar"/>
              </w:rPr>
            </w:pPr>
            <w:r>
              <w:rPr>
                <w:rFonts w:hint="eastAsia" w:ascii="宋体" w:hAnsi="宋体" w:eastAsia="方正黑体_GBK"/>
                <w:color w:val="000000"/>
                <w:kern w:val="0"/>
                <w:sz w:val="21"/>
                <w:szCs w:val="21"/>
                <w:highlight w:val="none"/>
                <w:lang w:eastAsia="zh-CN" w:bidi="ar"/>
              </w:rPr>
              <w:t>免罚情形</w:t>
            </w:r>
          </w:p>
        </w:tc>
        <w:tc>
          <w:tcPr>
            <w:tcW w:w="24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35EC6C4D">
            <w:pPr>
              <w:widowControl/>
              <w:spacing w:line="600" w:lineRule="exact"/>
              <w:jc w:val="center"/>
              <w:textAlignment w:val="center"/>
              <w:rPr>
                <w:rFonts w:ascii="宋体" w:hAnsi="宋体" w:eastAsia="方正黑体_GBK"/>
                <w:color w:val="000000"/>
                <w:sz w:val="21"/>
                <w:szCs w:val="21"/>
                <w:highlight w:val="none"/>
              </w:rPr>
            </w:pPr>
            <w:r>
              <w:rPr>
                <w:rFonts w:hint="eastAsia" w:ascii="宋体" w:hAnsi="宋体" w:eastAsia="方正黑体_GBK"/>
                <w:color w:val="000000"/>
                <w:kern w:val="0"/>
                <w:sz w:val="21"/>
                <w:szCs w:val="21"/>
                <w:highlight w:val="none"/>
                <w:lang w:eastAsia="zh-CN" w:bidi="ar"/>
              </w:rPr>
              <w:t>适用条件</w:t>
            </w:r>
          </w:p>
        </w:tc>
      </w:tr>
      <w:tr w14:paraId="64FABFCE">
        <w:tblPrEx>
          <w:tblCellMar>
            <w:top w:w="0" w:type="dxa"/>
            <w:left w:w="0" w:type="dxa"/>
            <w:bottom w:w="0" w:type="dxa"/>
            <w:right w:w="0" w:type="dxa"/>
          </w:tblCellMar>
        </w:tblPrEx>
        <w:trPr>
          <w:trHeight w:val="1346" w:hRule="atLeast"/>
        </w:trPr>
        <w:tc>
          <w:tcPr>
            <w:tcW w:w="52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4B52B074">
            <w:pPr>
              <w:keepNext w:val="0"/>
              <w:keepLines w:val="0"/>
              <w:pageBreakBefore w:val="0"/>
              <w:widowControl/>
              <w:kinsoku/>
              <w:wordWrap/>
              <w:overflowPunct/>
              <w:topLinePunct w:val="0"/>
              <w:autoSpaceDE/>
              <w:autoSpaceDN/>
              <w:bidi w:val="0"/>
              <w:adjustRightInd/>
              <w:snapToGrid/>
              <w:spacing w:line="260" w:lineRule="exact"/>
              <w:ind w:firstLine="210" w:firstLineChars="100"/>
              <w:jc w:val="both"/>
              <w:textAlignment w:val="center"/>
              <w:rPr>
                <w:rFonts w:hint="eastAsia" w:ascii="仿宋" w:hAnsi="仿宋" w:eastAsia="仿宋" w:cs="仿宋"/>
                <w:color w:val="auto"/>
                <w:kern w:val="0"/>
                <w:sz w:val="21"/>
                <w:szCs w:val="21"/>
                <w:lang w:val="en-US" w:eastAsia="zh-CN" w:bidi="ar"/>
              </w:rPr>
            </w:pPr>
            <w:bookmarkStart w:id="0" w:name="_GoBack"/>
            <w:bookmarkEnd w:id="0"/>
            <w:r>
              <w:rPr>
                <w:rFonts w:hint="eastAsia" w:ascii="仿宋" w:hAnsi="仿宋" w:eastAsia="仿宋" w:cs="仿宋"/>
                <w:color w:val="auto"/>
                <w:kern w:val="0"/>
                <w:sz w:val="21"/>
                <w:szCs w:val="21"/>
                <w:lang w:val="en-US" w:eastAsia="zh-CN" w:bidi="ar"/>
              </w:rPr>
              <w:t>1</w:t>
            </w:r>
          </w:p>
        </w:tc>
        <w:tc>
          <w:tcPr>
            <w:tcW w:w="1379"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477AE22C">
            <w:pPr>
              <w:keepNext w:val="0"/>
              <w:keepLines w:val="0"/>
              <w:pageBreakBefore w:val="0"/>
              <w:widowControl/>
              <w:kinsoku/>
              <w:wordWrap/>
              <w:overflowPunct/>
              <w:topLinePunct w:val="0"/>
              <w:autoSpaceDE/>
              <w:autoSpaceDN/>
              <w:bidi w:val="0"/>
              <w:adjustRightInd/>
              <w:snapToGrid/>
              <w:spacing w:line="260" w:lineRule="exact"/>
              <w:jc w:val="both"/>
              <w:textAlignment w:val="center"/>
              <w:rPr>
                <w:rFonts w:hint="eastAsia" w:ascii="仿宋" w:hAnsi="仿宋" w:eastAsia="仿宋" w:cs="仿宋"/>
                <w:color w:val="auto"/>
                <w:kern w:val="0"/>
                <w:sz w:val="21"/>
                <w:szCs w:val="21"/>
                <w:lang w:bidi="ar"/>
              </w:rPr>
            </w:pPr>
            <w:r>
              <w:rPr>
                <w:rFonts w:hint="eastAsia" w:ascii="仿宋" w:hAnsi="仿宋" w:eastAsia="仿宋" w:cs="仿宋"/>
                <w:color w:val="auto"/>
                <w:kern w:val="0"/>
                <w:sz w:val="21"/>
                <w:szCs w:val="21"/>
                <w:lang w:val="en-US" w:eastAsia="zh-CN" w:bidi="ar"/>
              </w:rPr>
              <w:t>建设单位未依法备案建设项目生态环境影响登记表的处罚</w:t>
            </w:r>
          </w:p>
          <w:p w14:paraId="55FBA62D">
            <w:pPr>
              <w:keepNext w:val="0"/>
              <w:keepLines w:val="0"/>
              <w:pageBreakBefore w:val="0"/>
              <w:widowControl/>
              <w:kinsoku/>
              <w:wordWrap/>
              <w:overflowPunct/>
              <w:topLinePunct w:val="0"/>
              <w:autoSpaceDE/>
              <w:autoSpaceDN/>
              <w:bidi w:val="0"/>
              <w:adjustRightInd/>
              <w:snapToGrid/>
              <w:spacing w:line="260" w:lineRule="exact"/>
              <w:jc w:val="both"/>
              <w:textAlignment w:val="center"/>
              <w:rPr>
                <w:rFonts w:hint="eastAsia" w:ascii="仿宋" w:hAnsi="仿宋" w:eastAsia="仿宋" w:cs="仿宋"/>
                <w:color w:val="auto"/>
                <w:kern w:val="0"/>
                <w:sz w:val="21"/>
                <w:szCs w:val="21"/>
                <w:lang w:val="en-US" w:eastAsia="zh-CN" w:bidi="ar"/>
              </w:rPr>
            </w:pPr>
          </w:p>
        </w:tc>
        <w:tc>
          <w:tcPr>
            <w:tcW w:w="6937"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46449E8E">
            <w:pPr>
              <w:keepNext w:val="0"/>
              <w:keepLines w:val="0"/>
              <w:pageBreakBefore w:val="0"/>
              <w:widowControl/>
              <w:kinsoku/>
              <w:wordWrap/>
              <w:overflowPunct/>
              <w:topLinePunct w:val="0"/>
              <w:autoSpaceDE/>
              <w:autoSpaceDN/>
              <w:bidi w:val="0"/>
              <w:adjustRightInd/>
              <w:snapToGrid/>
              <w:spacing w:line="260" w:lineRule="exact"/>
              <w:jc w:val="both"/>
              <w:textAlignment w:val="center"/>
              <w:rPr>
                <w:rFonts w:hint="eastAsia" w:ascii="仿宋" w:hAnsi="仿宋" w:eastAsia="仿宋" w:cs="仿宋"/>
                <w:color w:val="auto"/>
                <w:kern w:val="0"/>
                <w:sz w:val="21"/>
                <w:szCs w:val="21"/>
                <w:lang w:val="en-US" w:eastAsia="zh-CN" w:bidi="ar"/>
              </w:rPr>
            </w:pPr>
            <w:r>
              <w:rPr>
                <w:rFonts w:hint="eastAsia" w:ascii="仿宋" w:hAnsi="仿宋" w:eastAsia="仿宋" w:cs="仿宋"/>
                <w:color w:val="auto"/>
                <w:kern w:val="0"/>
                <w:sz w:val="21"/>
                <w:szCs w:val="21"/>
                <w:lang w:val="en-US" w:eastAsia="zh-CN" w:bidi="ar"/>
              </w:rPr>
              <w:t>《中华人民共和国生态环境法典》第一千零九十五条第三款、第四款：违反本法规定，建设单位未依法将建设项目生态环境影响登记表报生态环境主管部门备案的，由生态环境主管部门责令改正，可以处五万元以下的罚款。违反本法规定，核设施选址、建造、运行、退役和核技术、铀（钍）矿、伴生放射性矿开发利用中有第一款至第三款规定的违法情形的，适用第一款至第三款的规定予以处罚。</w:t>
            </w:r>
          </w:p>
          <w:p w14:paraId="7726A7C4">
            <w:pPr>
              <w:keepNext w:val="0"/>
              <w:keepLines w:val="0"/>
              <w:pageBreakBefore w:val="0"/>
              <w:widowControl/>
              <w:kinsoku/>
              <w:wordWrap/>
              <w:overflowPunct/>
              <w:topLinePunct w:val="0"/>
              <w:autoSpaceDE/>
              <w:autoSpaceDN/>
              <w:bidi w:val="0"/>
              <w:adjustRightInd/>
              <w:snapToGrid/>
              <w:spacing w:line="260" w:lineRule="exact"/>
              <w:jc w:val="both"/>
              <w:textAlignment w:val="center"/>
              <w:rPr>
                <w:rFonts w:hint="eastAsia" w:ascii="仿宋" w:hAnsi="仿宋" w:eastAsia="仿宋" w:cs="仿宋"/>
                <w:color w:val="auto"/>
                <w:kern w:val="0"/>
                <w:sz w:val="21"/>
                <w:szCs w:val="21"/>
                <w:lang w:val="en-US" w:eastAsia="zh-CN" w:bidi="ar"/>
              </w:rPr>
            </w:pPr>
          </w:p>
        </w:tc>
        <w:tc>
          <w:tcPr>
            <w:tcW w:w="14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3E74CB7A">
            <w:pPr>
              <w:keepNext w:val="0"/>
              <w:keepLines w:val="0"/>
              <w:pageBreakBefore w:val="0"/>
              <w:widowControl/>
              <w:kinsoku/>
              <w:wordWrap/>
              <w:overflowPunct/>
              <w:topLinePunct w:val="0"/>
              <w:autoSpaceDE/>
              <w:autoSpaceDN/>
              <w:bidi w:val="0"/>
              <w:adjustRightInd/>
              <w:snapToGrid/>
              <w:spacing w:line="260" w:lineRule="exact"/>
              <w:ind w:firstLine="210" w:firstLineChars="100"/>
              <w:jc w:val="both"/>
              <w:textAlignment w:val="center"/>
              <w:rPr>
                <w:rFonts w:hint="eastAsia" w:ascii="仿宋" w:hAnsi="仿宋" w:eastAsia="仿宋" w:cs="仿宋"/>
                <w:color w:val="auto"/>
                <w:kern w:val="0"/>
                <w:sz w:val="21"/>
                <w:szCs w:val="21"/>
                <w:lang w:val="en-US" w:eastAsia="zh-CN" w:bidi="ar"/>
              </w:rPr>
            </w:pPr>
            <w:r>
              <w:rPr>
                <w:rFonts w:hint="eastAsia" w:ascii="仿宋" w:hAnsi="仿宋" w:eastAsia="仿宋" w:cs="仿宋"/>
                <w:color w:val="auto"/>
                <w:kern w:val="0"/>
                <w:sz w:val="21"/>
                <w:szCs w:val="21"/>
                <w:lang w:val="en-US" w:eastAsia="zh-CN" w:bidi="ar"/>
              </w:rPr>
              <w:t>轻微不罚</w:t>
            </w:r>
          </w:p>
        </w:tc>
        <w:tc>
          <w:tcPr>
            <w:tcW w:w="24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6DF4912E">
            <w:pPr>
              <w:keepNext w:val="0"/>
              <w:keepLines w:val="0"/>
              <w:pageBreakBefore w:val="0"/>
              <w:widowControl/>
              <w:kinsoku/>
              <w:wordWrap/>
              <w:overflowPunct/>
              <w:topLinePunct w:val="0"/>
              <w:autoSpaceDE/>
              <w:autoSpaceDN/>
              <w:bidi w:val="0"/>
              <w:adjustRightInd/>
              <w:snapToGrid/>
              <w:spacing w:line="260" w:lineRule="exact"/>
              <w:jc w:val="both"/>
              <w:textAlignment w:val="center"/>
              <w:rPr>
                <w:rFonts w:hint="eastAsia" w:ascii="仿宋" w:hAnsi="仿宋" w:eastAsia="仿宋" w:cs="仿宋"/>
                <w:color w:val="auto"/>
                <w:kern w:val="0"/>
                <w:sz w:val="21"/>
                <w:szCs w:val="21"/>
                <w:lang w:val="en-US" w:eastAsia="zh-CN" w:bidi="ar"/>
              </w:rPr>
            </w:pPr>
            <w:r>
              <w:rPr>
                <w:rFonts w:hint="eastAsia" w:ascii="仿宋" w:hAnsi="仿宋" w:eastAsia="仿宋" w:cs="仿宋"/>
                <w:color w:val="auto"/>
                <w:kern w:val="0"/>
                <w:sz w:val="21"/>
                <w:szCs w:val="21"/>
                <w:lang w:val="en-US" w:eastAsia="zh-CN" w:bidi="ar"/>
              </w:rPr>
              <w:t>1. 违法行为轻微；</w:t>
            </w:r>
          </w:p>
          <w:p w14:paraId="2F345742">
            <w:pPr>
              <w:keepNext w:val="0"/>
              <w:keepLines w:val="0"/>
              <w:pageBreakBefore w:val="0"/>
              <w:widowControl/>
              <w:kinsoku/>
              <w:wordWrap/>
              <w:overflowPunct/>
              <w:topLinePunct w:val="0"/>
              <w:autoSpaceDE/>
              <w:autoSpaceDN/>
              <w:bidi w:val="0"/>
              <w:adjustRightInd/>
              <w:snapToGrid/>
              <w:spacing w:line="260" w:lineRule="exact"/>
              <w:jc w:val="both"/>
              <w:textAlignment w:val="center"/>
              <w:rPr>
                <w:rFonts w:hint="eastAsia" w:ascii="仿宋" w:hAnsi="仿宋" w:eastAsia="仿宋" w:cs="仿宋"/>
                <w:color w:val="auto"/>
                <w:kern w:val="0"/>
                <w:sz w:val="21"/>
                <w:szCs w:val="21"/>
                <w:lang w:val="en-US" w:eastAsia="zh-CN" w:bidi="ar"/>
              </w:rPr>
            </w:pPr>
            <w:r>
              <w:rPr>
                <w:rFonts w:hint="eastAsia" w:ascii="仿宋" w:hAnsi="仿宋" w:eastAsia="仿宋" w:cs="仿宋"/>
                <w:color w:val="auto"/>
                <w:kern w:val="0"/>
                <w:sz w:val="21"/>
                <w:szCs w:val="21"/>
                <w:lang w:val="en-US" w:eastAsia="zh-CN" w:bidi="ar"/>
              </w:rPr>
              <w:t>2. 自检查之日起 5 日内依法完成备案；</w:t>
            </w:r>
          </w:p>
          <w:p w14:paraId="5632F6A4">
            <w:pPr>
              <w:keepNext w:val="0"/>
              <w:keepLines w:val="0"/>
              <w:pageBreakBefore w:val="0"/>
              <w:widowControl/>
              <w:kinsoku/>
              <w:wordWrap/>
              <w:overflowPunct/>
              <w:topLinePunct w:val="0"/>
              <w:autoSpaceDE/>
              <w:autoSpaceDN/>
              <w:bidi w:val="0"/>
              <w:adjustRightInd/>
              <w:snapToGrid/>
              <w:spacing w:line="260" w:lineRule="exact"/>
              <w:jc w:val="both"/>
              <w:textAlignment w:val="center"/>
              <w:rPr>
                <w:rFonts w:hint="eastAsia" w:ascii="仿宋" w:hAnsi="仿宋" w:eastAsia="仿宋" w:cs="仿宋"/>
                <w:color w:val="auto"/>
                <w:kern w:val="0"/>
                <w:sz w:val="21"/>
                <w:szCs w:val="21"/>
                <w:lang w:val="en-US" w:eastAsia="zh-CN" w:bidi="ar"/>
              </w:rPr>
            </w:pPr>
            <w:r>
              <w:rPr>
                <w:rFonts w:hint="eastAsia" w:ascii="仿宋" w:hAnsi="仿宋" w:eastAsia="仿宋" w:cs="仿宋"/>
                <w:color w:val="auto"/>
                <w:kern w:val="0"/>
                <w:sz w:val="21"/>
                <w:szCs w:val="21"/>
                <w:lang w:val="en-US" w:eastAsia="zh-CN" w:bidi="ar"/>
              </w:rPr>
              <w:t>3. 没有造成危害后果；</w:t>
            </w:r>
          </w:p>
          <w:p w14:paraId="65CBD925">
            <w:pPr>
              <w:keepNext w:val="0"/>
              <w:keepLines w:val="0"/>
              <w:pageBreakBefore w:val="0"/>
              <w:widowControl/>
              <w:kinsoku/>
              <w:wordWrap/>
              <w:overflowPunct/>
              <w:topLinePunct w:val="0"/>
              <w:autoSpaceDE/>
              <w:autoSpaceDN/>
              <w:bidi w:val="0"/>
              <w:adjustRightInd/>
              <w:snapToGrid/>
              <w:spacing w:line="260" w:lineRule="exact"/>
              <w:jc w:val="both"/>
              <w:textAlignment w:val="center"/>
              <w:rPr>
                <w:rFonts w:hint="eastAsia" w:ascii="仿宋" w:hAnsi="仿宋" w:eastAsia="仿宋" w:cs="仿宋"/>
                <w:color w:val="auto"/>
                <w:kern w:val="0"/>
                <w:sz w:val="21"/>
                <w:szCs w:val="21"/>
                <w:lang w:val="en-US" w:eastAsia="zh-CN" w:bidi="ar"/>
              </w:rPr>
            </w:pPr>
            <w:r>
              <w:rPr>
                <w:rFonts w:hint="eastAsia" w:ascii="仿宋" w:hAnsi="仿宋" w:eastAsia="仿宋" w:cs="仿宋"/>
                <w:color w:val="auto"/>
                <w:kern w:val="0"/>
                <w:sz w:val="21"/>
                <w:szCs w:val="21"/>
                <w:lang w:val="en-US" w:eastAsia="zh-CN" w:bidi="ar"/>
              </w:rPr>
              <w:t>4. 当事人配合检查调查。</w:t>
            </w:r>
          </w:p>
          <w:p w14:paraId="2B596D77">
            <w:pPr>
              <w:keepNext w:val="0"/>
              <w:keepLines w:val="0"/>
              <w:pageBreakBefore w:val="0"/>
              <w:widowControl/>
              <w:kinsoku/>
              <w:wordWrap/>
              <w:overflowPunct/>
              <w:topLinePunct w:val="0"/>
              <w:autoSpaceDE/>
              <w:autoSpaceDN/>
              <w:bidi w:val="0"/>
              <w:adjustRightInd/>
              <w:snapToGrid/>
              <w:spacing w:line="260" w:lineRule="exact"/>
              <w:jc w:val="both"/>
              <w:textAlignment w:val="center"/>
              <w:rPr>
                <w:rFonts w:hint="eastAsia" w:ascii="仿宋" w:hAnsi="仿宋" w:eastAsia="仿宋" w:cs="仿宋"/>
                <w:color w:val="auto"/>
                <w:kern w:val="0"/>
                <w:sz w:val="21"/>
                <w:szCs w:val="21"/>
                <w:lang w:val="en-US" w:eastAsia="zh-CN" w:bidi="ar"/>
              </w:rPr>
            </w:pPr>
          </w:p>
        </w:tc>
      </w:tr>
      <w:tr w14:paraId="05F10D4C">
        <w:tblPrEx>
          <w:tblCellMar>
            <w:top w:w="0" w:type="dxa"/>
            <w:left w:w="0" w:type="dxa"/>
            <w:bottom w:w="0" w:type="dxa"/>
            <w:right w:w="0" w:type="dxa"/>
          </w:tblCellMar>
        </w:tblPrEx>
        <w:trPr>
          <w:trHeight w:val="857" w:hRule="atLeast"/>
        </w:trPr>
        <w:tc>
          <w:tcPr>
            <w:tcW w:w="52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607ECDCD">
            <w:pPr>
              <w:widowControl/>
              <w:spacing w:line="240" w:lineRule="exact"/>
              <w:jc w:val="center"/>
              <w:textAlignment w:val="center"/>
              <w:rPr>
                <w:rFonts w:hint="eastAsia" w:ascii="仿宋" w:hAnsi="仿宋" w:eastAsia="仿宋" w:cs="仿宋"/>
                <w:color w:val="000000"/>
                <w:kern w:val="0"/>
                <w:sz w:val="21"/>
                <w:szCs w:val="21"/>
                <w:highlight w:val="none"/>
                <w:lang w:val="en-US" w:eastAsia="zh-CN" w:bidi="ar"/>
              </w:rPr>
            </w:pPr>
            <w:r>
              <w:rPr>
                <w:rFonts w:hint="eastAsia" w:ascii="仿宋" w:hAnsi="仿宋" w:eastAsia="仿宋" w:cs="仿宋"/>
                <w:color w:val="000000"/>
                <w:kern w:val="0"/>
                <w:sz w:val="21"/>
                <w:szCs w:val="21"/>
                <w:highlight w:val="none"/>
                <w:lang w:val="en-US" w:eastAsia="zh-CN" w:bidi="ar"/>
              </w:rPr>
              <w:t>2</w:t>
            </w:r>
          </w:p>
        </w:tc>
        <w:tc>
          <w:tcPr>
            <w:tcW w:w="1379"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16B1A686">
            <w:pPr>
              <w:widowControl/>
              <w:spacing w:line="240" w:lineRule="exact"/>
              <w:jc w:val="center"/>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应当编制生态环境影响报告书、报告表的建设项目，未依法报批擅自开工建设的处罚</w:t>
            </w:r>
          </w:p>
        </w:tc>
        <w:tc>
          <w:tcPr>
            <w:tcW w:w="6937"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5B6AA899">
            <w:pPr>
              <w:widowControl/>
              <w:spacing w:line="240" w:lineRule="exact"/>
              <w:jc w:val="center"/>
              <w:textAlignment w:val="center"/>
              <w:rPr>
                <w:rFonts w:hint="eastAsia" w:ascii="仿宋" w:hAnsi="仿宋" w:eastAsia="仿宋" w:cs="仿宋"/>
                <w:color w:val="000000"/>
                <w:kern w:val="0"/>
                <w:sz w:val="21"/>
                <w:szCs w:val="21"/>
                <w:highlight w:val="none"/>
                <w:lang w:bidi="ar"/>
              </w:rPr>
            </w:pPr>
            <w:r>
              <w:rPr>
                <w:rFonts w:hint="eastAsia" w:ascii="仿宋" w:hAnsi="仿宋" w:eastAsia="仿宋" w:cs="仿宋"/>
                <w:color w:val="000000"/>
                <w:kern w:val="0"/>
                <w:sz w:val="21"/>
                <w:szCs w:val="21"/>
                <w:highlight w:val="none"/>
                <w:lang w:eastAsia="zh-CN" w:bidi="ar"/>
              </w:rPr>
              <w:t>《中华人民共和国生态环境法典》第一千零九十五条第一款、第四款：违反本法规定，建设单位未依法报批，或者未依照本法有关规定重新报批或者报请重新审核生态环境影响报告书、报告表，建设项目生态环境影响报告书、报告表未经批准或者未经原审批部门重新审核同意，擅自开工建设的，由生态环境主管部门、海警机构按照职责分工责令其停止建设，并可以责令恢复原状，报批、审核类型为生态环境影响报告书的，处二十万元以上一百万元以下的罚款，情节严重的，处一百万元以上一千万元以下的罚款；报批、审核类型为生态环境影响报告表的，处十万元以上五十万元以下的罚款，情节严重的，处五十万元以上五百万元以下的罚款。违反本法规定，核设施选址、建造、运行、退役和核技术、铀（钍）矿、伴生放射性矿开发利用中有第一款至第三款规定的违法情形的，适用第一款至第三款的规定予以处罚。</w:t>
            </w:r>
          </w:p>
        </w:tc>
        <w:tc>
          <w:tcPr>
            <w:tcW w:w="14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1476A4A1">
            <w:pPr>
              <w:widowControl/>
              <w:spacing w:line="240" w:lineRule="exact"/>
              <w:jc w:val="center"/>
              <w:textAlignment w:val="center"/>
              <w:rPr>
                <w:rFonts w:hint="eastAsia" w:ascii="仿宋" w:hAnsi="仿宋" w:eastAsia="仿宋" w:cs="仿宋"/>
                <w:color w:val="000000"/>
                <w:kern w:val="0"/>
                <w:sz w:val="21"/>
                <w:szCs w:val="21"/>
                <w:highlight w:val="none"/>
                <w:lang w:val="en-US" w:eastAsia="zh-CN" w:bidi="ar"/>
              </w:rPr>
            </w:pPr>
            <w:r>
              <w:rPr>
                <w:rFonts w:hint="eastAsia" w:ascii="仿宋" w:hAnsi="仿宋" w:eastAsia="仿宋" w:cs="仿宋"/>
                <w:color w:val="000000"/>
                <w:kern w:val="0"/>
                <w:sz w:val="21"/>
                <w:szCs w:val="21"/>
                <w:highlight w:val="none"/>
                <w:lang w:val="en-US" w:eastAsia="zh-CN" w:bidi="ar"/>
              </w:rPr>
              <w:t>轻微不罚</w:t>
            </w:r>
          </w:p>
        </w:tc>
        <w:tc>
          <w:tcPr>
            <w:tcW w:w="24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16EBE137">
            <w:pPr>
              <w:widowControl/>
              <w:spacing w:line="240" w:lineRule="exact"/>
              <w:jc w:val="left"/>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1. 项目处于建设阶段；</w:t>
            </w:r>
          </w:p>
          <w:p w14:paraId="6047795C">
            <w:pPr>
              <w:widowControl/>
              <w:spacing w:line="240" w:lineRule="exact"/>
              <w:jc w:val="left"/>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2. 无污染物产生；</w:t>
            </w:r>
          </w:p>
          <w:p w14:paraId="19A4552C">
            <w:pPr>
              <w:widowControl/>
              <w:spacing w:line="240" w:lineRule="exact"/>
              <w:jc w:val="left"/>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3. 企业主动停止建设或恢复原状；</w:t>
            </w:r>
          </w:p>
          <w:p w14:paraId="670B5340">
            <w:pPr>
              <w:widowControl/>
              <w:spacing w:line="240" w:lineRule="exact"/>
              <w:jc w:val="left"/>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4. 没有造成危害后果；</w:t>
            </w:r>
          </w:p>
          <w:p w14:paraId="4D4C3216">
            <w:pPr>
              <w:widowControl/>
              <w:spacing w:line="240" w:lineRule="exact"/>
              <w:jc w:val="left"/>
              <w:textAlignment w:val="center"/>
              <w:rPr>
                <w:rFonts w:hint="eastAsia" w:ascii="仿宋" w:hAnsi="仿宋" w:eastAsia="仿宋" w:cs="仿宋"/>
                <w:color w:val="000000"/>
                <w:kern w:val="0"/>
                <w:sz w:val="21"/>
                <w:szCs w:val="21"/>
                <w:highlight w:val="none"/>
                <w:lang w:val="en-US" w:eastAsia="zh-CN" w:bidi="ar"/>
              </w:rPr>
            </w:pPr>
            <w:r>
              <w:rPr>
                <w:rFonts w:hint="eastAsia" w:ascii="仿宋" w:hAnsi="仿宋" w:eastAsia="仿宋" w:cs="仿宋"/>
                <w:color w:val="000000"/>
                <w:kern w:val="0"/>
                <w:sz w:val="21"/>
                <w:szCs w:val="21"/>
                <w:highlight w:val="none"/>
                <w:lang w:eastAsia="zh-CN" w:bidi="ar"/>
              </w:rPr>
              <w:t>5. 当事人配合检查调查。</w:t>
            </w:r>
          </w:p>
        </w:tc>
      </w:tr>
      <w:tr w14:paraId="715EE0D5">
        <w:tblPrEx>
          <w:tblCellMar>
            <w:top w:w="0" w:type="dxa"/>
            <w:left w:w="0" w:type="dxa"/>
            <w:bottom w:w="0" w:type="dxa"/>
            <w:right w:w="0" w:type="dxa"/>
          </w:tblCellMar>
        </w:tblPrEx>
        <w:trPr>
          <w:trHeight w:val="1295" w:hRule="atLeast"/>
        </w:trPr>
        <w:tc>
          <w:tcPr>
            <w:tcW w:w="52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0A7129CB">
            <w:pPr>
              <w:widowControl/>
              <w:spacing w:line="240" w:lineRule="exact"/>
              <w:jc w:val="center"/>
              <w:textAlignment w:val="center"/>
              <w:rPr>
                <w:rFonts w:hint="eastAsia" w:ascii="仿宋" w:hAnsi="仿宋" w:eastAsia="仿宋" w:cs="仿宋"/>
                <w:color w:val="000000"/>
                <w:sz w:val="21"/>
                <w:szCs w:val="21"/>
                <w:highlight w:val="none"/>
                <w:lang w:val="en-US" w:eastAsia="zh-CN"/>
              </w:rPr>
            </w:pPr>
            <w:r>
              <w:rPr>
                <w:rFonts w:hint="eastAsia" w:ascii="仿宋" w:hAnsi="仿宋" w:eastAsia="仿宋" w:cs="仿宋"/>
                <w:color w:val="000000"/>
                <w:sz w:val="21"/>
                <w:szCs w:val="21"/>
                <w:highlight w:val="none"/>
                <w:lang w:val="en-US" w:eastAsia="zh-CN"/>
              </w:rPr>
              <w:t>3</w:t>
            </w:r>
          </w:p>
        </w:tc>
        <w:tc>
          <w:tcPr>
            <w:tcW w:w="1379"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18AE2586">
            <w:pPr>
              <w:widowControl/>
              <w:spacing w:line="240" w:lineRule="exact"/>
              <w:jc w:val="both"/>
              <w:textAlignment w:val="center"/>
              <w:rPr>
                <w:rFonts w:hint="eastAsia" w:ascii="仿宋" w:hAnsi="仿宋" w:eastAsia="仿宋" w:cs="仿宋"/>
                <w:color w:val="000000"/>
                <w:sz w:val="21"/>
                <w:szCs w:val="21"/>
                <w:highlight w:val="none"/>
              </w:rPr>
            </w:pPr>
            <w:r>
              <w:rPr>
                <w:rFonts w:hint="eastAsia" w:ascii="仿宋" w:hAnsi="仿宋" w:eastAsia="仿宋" w:cs="仿宋"/>
                <w:color w:val="000000"/>
                <w:kern w:val="0"/>
                <w:sz w:val="21"/>
                <w:szCs w:val="21"/>
                <w:highlight w:val="none"/>
                <w:lang w:bidi="ar"/>
              </w:rPr>
              <w:t>环境保护设施升级改造项目实施后，未依法变更或重新申请排污许可证的处罚</w:t>
            </w:r>
          </w:p>
        </w:tc>
        <w:tc>
          <w:tcPr>
            <w:tcW w:w="6937"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68F38A92">
            <w:pPr>
              <w:widowControl/>
              <w:spacing w:line="240" w:lineRule="exact"/>
              <w:jc w:val="left"/>
              <w:textAlignment w:val="center"/>
              <w:rPr>
                <w:rFonts w:hint="eastAsia" w:ascii="仿宋" w:hAnsi="仿宋" w:eastAsia="仿宋" w:cs="仿宋"/>
                <w:color w:val="000000"/>
                <w:sz w:val="21"/>
                <w:szCs w:val="21"/>
                <w:highlight w:val="none"/>
              </w:rPr>
            </w:pPr>
            <w:r>
              <w:rPr>
                <w:rFonts w:hint="eastAsia" w:ascii="仿宋" w:hAnsi="仿宋" w:eastAsia="仿宋" w:cs="仿宋"/>
                <w:color w:val="auto"/>
                <w:kern w:val="0"/>
                <w:sz w:val="21"/>
                <w:szCs w:val="21"/>
                <w:lang w:bidi="ar"/>
              </w:rPr>
              <w:t>1.《中华人民共和国生态环境法典》第一千一百零二条：违反本法规定，未依法取得排污许可证排放污染物的，由生态环境主管部门责令改正，处二十万元以上一百万元以下的罚款，并可以责令限制生产、停产整治；情节严重的，报经有批准权的人民政府批准，责令停业、关闭。其中，污染物为工业噪声的，罚款数额为二万元以上二十万元以下。拒不停止排放污染物的，由生态环境主管部门将案件移送公安机关，由公安机关对其直接负责的主管人员和其他直接责任人员，处十日以上十五日以下拘留；情节较轻的，处五日以上十日以下拘留。2.《排污许可管理条例》第三十三条第四项：违反本条例规定，排污单位有下列行为之一的，由生态环境主管部门责令改正或者限制生产、停产整治，处 20 万元以上 100 万元以下的罚款；情节严重的，报经有批准权的人民政府批准，责令停业、关闭：（四）依法应当重新申请取得排污许可证，未重新申请取得排污许可证排放污染物。的罚款。</w:t>
            </w:r>
          </w:p>
        </w:tc>
        <w:tc>
          <w:tcPr>
            <w:tcW w:w="14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272A8364">
            <w:pPr>
              <w:widowControl/>
              <w:spacing w:line="240" w:lineRule="exact"/>
              <w:jc w:val="center"/>
              <w:textAlignment w:val="center"/>
              <w:rPr>
                <w:rFonts w:hint="eastAsia" w:ascii="仿宋" w:hAnsi="仿宋" w:eastAsia="仿宋" w:cs="仿宋"/>
                <w:color w:val="000000"/>
                <w:kern w:val="0"/>
                <w:sz w:val="21"/>
                <w:szCs w:val="21"/>
                <w:highlight w:val="none"/>
                <w:lang w:val="en-US" w:eastAsia="zh-CN" w:bidi="ar"/>
              </w:rPr>
            </w:pPr>
            <w:r>
              <w:rPr>
                <w:rFonts w:hint="eastAsia" w:ascii="仿宋" w:hAnsi="仿宋" w:eastAsia="仿宋" w:cs="仿宋"/>
                <w:color w:val="000000"/>
                <w:kern w:val="0"/>
                <w:sz w:val="21"/>
                <w:szCs w:val="21"/>
                <w:highlight w:val="none"/>
                <w:lang w:val="en-US" w:eastAsia="zh-CN" w:bidi="ar"/>
              </w:rPr>
              <w:t>轻微不罚</w:t>
            </w:r>
          </w:p>
        </w:tc>
        <w:tc>
          <w:tcPr>
            <w:tcW w:w="24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65A62D1D">
            <w:pPr>
              <w:widowControl/>
              <w:spacing w:line="240" w:lineRule="exact"/>
              <w:jc w:val="left"/>
              <w:textAlignment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1. 属于环境保护设施升级改造项目；2. 污染物排放未超出原有许可限值；3. 经责令后在限期内完成变更或者重新申请排污许可证；</w:t>
            </w:r>
          </w:p>
          <w:p w14:paraId="1EABDE99">
            <w:pPr>
              <w:widowControl/>
              <w:spacing w:line="240" w:lineRule="exact"/>
              <w:jc w:val="left"/>
              <w:textAlignment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4. 没有造成危害后果；</w:t>
            </w:r>
          </w:p>
          <w:p w14:paraId="577AC228">
            <w:pPr>
              <w:widowControl/>
              <w:spacing w:line="240" w:lineRule="exact"/>
              <w:jc w:val="left"/>
              <w:textAlignment w:val="center"/>
              <w:rPr>
                <w:rFonts w:hint="eastAsia" w:ascii="仿宋" w:hAnsi="仿宋" w:eastAsia="仿宋" w:cs="仿宋"/>
                <w:color w:val="000000"/>
                <w:sz w:val="21"/>
                <w:szCs w:val="21"/>
                <w:highlight w:val="none"/>
              </w:rPr>
            </w:pPr>
            <w:r>
              <w:rPr>
                <w:rFonts w:hint="eastAsia" w:ascii="仿宋" w:hAnsi="仿宋" w:eastAsia="仿宋" w:cs="仿宋"/>
                <w:color w:val="000000"/>
                <w:sz w:val="21"/>
                <w:szCs w:val="21"/>
                <w:lang w:val="en-US" w:eastAsia="zh-CN"/>
              </w:rPr>
              <w:t>5. 当事人配合检查调查。</w:t>
            </w:r>
          </w:p>
        </w:tc>
      </w:tr>
      <w:tr w14:paraId="7A55FD60">
        <w:tblPrEx>
          <w:tblCellMar>
            <w:top w:w="0" w:type="dxa"/>
            <w:left w:w="0" w:type="dxa"/>
            <w:bottom w:w="0" w:type="dxa"/>
            <w:right w:w="0" w:type="dxa"/>
          </w:tblCellMar>
        </w:tblPrEx>
        <w:trPr>
          <w:trHeight w:val="921" w:hRule="atLeast"/>
        </w:trPr>
        <w:tc>
          <w:tcPr>
            <w:tcW w:w="52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3A2C4D24">
            <w:pPr>
              <w:widowControl/>
              <w:spacing w:line="240" w:lineRule="exact"/>
              <w:jc w:val="center"/>
              <w:textAlignment w:val="center"/>
              <w:rPr>
                <w:rFonts w:hint="eastAsia" w:ascii="仿宋" w:hAnsi="仿宋" w:eastAsia="仿宋" w:cs="仿宋"/>
                <w:color w:val="000000"/>
                <w:kern w:val="0"/>
                <w:sz w:val="21"/>
                <w:szCs w:val="21"/>
                <w:highlight w:val="none"/>
                <w:lang w:val="en-US" w:eastAsia="zh-CN" w:bidi="ar"/>
              </w:rPr>
            </w:pPr>
            <w:r>
              <w:rPr>
                <w:rFonts w:hint="eastAsia" w:ascii="仿宋" w:hAnsi="仿宋" w:eastAsia="仿宋" w:cs="仿宋"/>
                <w:color w:val="000000"/>
                <w:kern w:val="0"/>
                <w:sz w:val="21"/>
                <w:szCs w:val="21"/>
                <w:highlight w:val="none"/>
                <w:lang w:val="en-US" w:eastAsia="zh-CN" w:bidi="ar"/>
              </w:rPr>
              <w:t>4</w:t>
            </w:r>
          </w:p>
        </w:tc>
        <w:tc>
          <w:tcPr>
            <w:tcW w:w="1379"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4C683364">
            <w:pPr>
              <w:widowControl/>
              <w:spacing w:line="240" w:lineRule="exact"/>
              <w:jc w:val="center"/>
              <w:textAlignment w:val="center"/>
              <w:rPr>
                <w:rFonts w:hint="eastAsia" w:ascii="仿宋" w:hAnsi="仿宋" w:eastAsia="仿宋" w:cs="仿宋"/>
                <w:color w:val="000000"/>
                <w:kern w:val="0"/>
                <w:sz w:val="21"/>
                <w:szCs w:val="21"/>
                <w:highlight w:val="none"/>
                <w:lang w:bidi="ar"/>
              </w:rPr>
            </w:pPr>
            <w:r>
              <w:rPr>
                <w:rFonts w:hint="eastAsia" w:ascii="仿宋" w:hAnsi="仿宋" w:eastAsia="仿宋" w:cs="仿宋"/>
                <w:color w:val="000000"/>
                <w:kern w:val="0"/>
                <w:sz w:val="21"/>
                <w:szCs w:val="21"/>
                <w:highlight w:val="none"/>
                <w:lang w:eastAsia="zh-CN" w:bidi="ar"/>
              </w:rPr>
              <w:t>应当填报排污登记表未填报或者未及时变更填报信息的处罚</w:t>
            </w:r>
          </w:p>
        </w:tc>
        <w:tc>
          <w:tcPr>
            <w:tcW w:w="6937"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3037C965">
            <w:pPr>
              <w:widowControl/>
              <w:spacing w:line="240" w:lineRule="exact"/>
              <w:jc w:val="center"/>
              <w:textAlignment w:val="center"/>
              <w:rPr>
                <w:rFonts w:hint="eastAsia" w:ascii="仿宋" w:hAnsi="仿宋" w:eastAsia="仿宋" w:cs="仿宋"/>
                <w:color w:val="000000"/>
                <w:kern w:val="0"/>
                <w:sz w:val="21"/>
                <w:szCs w:val="21"/>
                <w:highlight w:val="none"/>
                <w:lang w:bidi="ar"/>
              </w:rPr>
            </w:pPr>
            <w:r>
              <w:rPr>
                <w:rFonts w:hint="eastAsia" w:ascii="仿宋" w:hAnsi="仿宋" w:eastAsia="仿宋" w:cs="仿宋"/>
                <w:color w:val="000000"/>
                <w:kern w:val="0"/>
                <w:sz w:val="21"/>
                <w:szCs w:val="21"/>
                <w:highlight w:val="none"/>
                <w:lang w:eastAsia="zh-CN" w:bidi="ar"/>
              </w:rPr>
              <w:t>1.《中华人民共和国生态环境法典》第一千一百零六条：违反本法规定，需要填报排污登记表的企业事业单位和其他生产经营者未依法填报排污信息的，由生态环境主管部门责令改正，可以处五万元以下的罚款。2.《排污许可管理条例》第二十四条第三款、第四十三条：需要填报排污登记表的企业事业单位和其他生产经营者，应当在全国排污许可证管理信息平台上填报基本信息、污染物排放去向、执行的污染物排放标准以及采取的污染防治措施等信息；填报的信息发生变动的，应当自发生变动之日起 20 日内进行变更填报。需要填报排污登记表的企业事业单位和其他生产经营者，未依照本条例规定填报排污信息的，由生态环境主管部门责令改正，可以处 5 万元以下的罚款。</w:t>
            </w:r>
          </w:p>
        </w:tc>
        <w:tc>
          <w:tcPr>
            <w:tcW w:w="14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12E10F3B">
            <w:pPr>
              <w:widowControl/>
              <w:spacing w:line="240" w:lineRule="exact"/>
              <w:jc w:val="center"/>
              <w:textAlignment w:val="center"/>
              <w:rPr>
                <w:rFonts w:hint="eastAsia" w:ascii="仿宋" w:hAnsi="仿宋" w:eastAsia="仿宋" w:cs="仿宋"/>
                <w:color w:val="000000"/>
                <w:kern w:val="0"/>
                <w:sz w:val="21"/>
                <w:szCs w:val="21"/>
                <w:highlight w:val="none"/>
                <w:lang w:val="en-US" w:eastAsia="zh-CN" w:bidi="ar"/>
              </w:rPr>
            </w:pPr>
            <w:r>
              <w:rPr>
                <w:rFonts w:hint="eastAsia" w:ascii="仿宋" w:hAnsi="仿宋" w:eastAsia="仿宋" w:cs="仿宋"/>
                <w:color w:val="000000"/>
                <w:kern w:val="0"/>
                <w:sz w:val="21"/>
                <w:szCs w:val="21"/>
                <w:highlight w:val="none"/>
                <w:lang w:val="en-US" w:eastAsia="zh-CN" w:bidi="ar"/>
              </w:rPr>
              <w:t>轻微不罚</w:t>
            </w:r>
          </w:p>
        </w:tc>
        <w:tc>
          <w:tcPr>
            <w:tcW w:w="24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22EFBE5E">
            <w:pPr>
              <w:widowControl/>
              <w:spacing w:line="240" w:lineRule="exact"/>
              <w:jc w:val="left"/>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1. 污染物产生量、排放量和对环境的影响都很小</w:t>
            </w:r>
          </w:p>
          <w:p w14:paraId="6BD2EA73">
            <w:pPr>
              <w:widowControl/>
              <w:spacing w:line="240" w:lineRule="exact"/>
              <w:jc w:val="left"/>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2. 自检查之日起 5 日内依法完成填报或者变更填报；</w:t>
            </w:r>
          </w:p>
          <w:p w14:paraId="5E913344">
            <w:pPr>
              <w:widowControl/>
              <w:spacing w:line="240" w:lineRule="exact"/>
              <w:jc w:val="left"/>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3. 没有造成危害后果；</w:t>
            </w:r>
          </w:p>
          <w:p w14:paraId="23B454D1">
            <w:pPr>
              <w:widowControl/>
              <w:spacing w:line="240" w:lineRule="exact"/>
              <w:jc w:val="left"/>
              <w:textAlignment w:val="center"/>
              <w:rPr>
                <w:rFonts w:hint="eastAsia" w:ascii="仿宋" w:hAnsi="仿宋" w:eastAsia="仿宋" w:cs="仿宋"/>
                <w:color w:val="000000"/>
                <w:kern w:val="0"/>
                <w:sz w:val="21"/>
                <w:szCs w:val="21"/>
                <w:highlight w:val="none"/>
                <w:lang w:val="en-US" w:eastAsia="zh-CN" w:bidi="ar"/>
              </w:rPr>
            </w:pPr>
            <w:r>
              <w:rPr>
                <w:rFonts w:hint="eastAsia" w:ascii="仿宋" w:hAnsi="仿宋" w:eastAsia="仿宋" w:cs="仿宋"/>
                <w:color w:val="000000"/>
                <w:kern w:val="0"/>
                <w:sz w:val="21"/>
                <w:szCs w:val="21"/>
                <w:highlight w:val="none"/>
                <w:lang w:eastAsia="zh-CN" w:bidi="ar"/>
              </w:rPr>
              <w:t>4. 当事人配合检查调查。</w:t>
            </w:r>
          </w:p>
        </w:tc>
      </w:tr>
      <w:tr w14:paraId="572DDECD">
        <w:tblPrEx>
          <w:tblCellMar>
            <w:top w:w="0" w:type="dxa"/>
            <w:left w:w="0" w:type="dxa"/>
            <w:bottom w:w="0" w:type="dxa"/>
            <w:right w:w="0" w:type="dxa"/>
          </w:tblCellMar>
        </w:tblPrEx>
        <w:trPr>
          <w:trHeight w:val="921" w:hRule="atLeast"/>
        </w:trPr>
        <w:tc>
          <w:tcPr>
            <w:tcW w:w="52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5E25DE71">
            <w:pPr>
              <w:widowControl/>
              <w:spacing w:line="240" w:lineRule="exact"/>
              <w:jc w:val="center"/>
              <w:textAlignment w:val="center"/>
              <w:rPr>
                <w:rFonts w:hint="default" w:ascii="仿宋" w:hAnsi="仿宋" w:eastAsia="仿宋" w:cs="仿宋"/>
                <w:color w:val="000000"/>
                <w:kern w:val="0"/>
                <w:sz w:val="21"/>
                <w:szCs w:val="21"/>
                <w:highlight w:val="none"/>
                <w:lang w:val="en-US" w:eastAsia="zh-CN" w:bidi="ar"/>
              </w:rPr>
            </w:pPr>
            <w:r>
              <w:rPr>
                <w:rFonts w:hint="eastAsia" w:ascii="仿宋" w:hAnsi="仿宋" w:eastAsia="仿宋" w:cs="仿宋"/>
                <w:color w:val="000000"/>
                <w:kern w:val="0"/>
                <w:sz w:val="21"/>
                <w:szCs w:val="21"/>
                <w:highlight w:val="none"/>
                <w:lang w:val="en-US" w:eastAsia="zh-CN" w:bidi="ar"/>
              </w:rPr>
              <w:t>5</w:t>
            </w:r>
          </w:p>
        </w:tc>
        <w:tc>
          <w:tcPr>
            <w:tcW w:w="1379"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61928FCF">
            <w:pPr>
              <w:widowControl/>
              <w:spacing w:line="240" w:lineRule="exact"/>
              <w:jc w:val="center"/>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已核发排污许可证企业未按规定提交排污许可证执行报告的处罚</w:t>
            </w:r>
          </w:p>
        </w:tc>
        <w:tc>
          <w:tcPr>
            <w:tcW w:w="6937"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497ABC4D">
            <w:pPr>
              <w:widowControl/>
              <w:spacing w:line="240" w:lineRule="exact"/>
              <w:jc w:val="center"/>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《排污许可管理条例》第三十七条第三项：违反本条例规定，排污单位有下列行为之一的，由生态环境主管部门责令改正，处每次 5 千元以上 2 万元以下的罚款；法律另有规定的，从其规定：（三）未按照排污许可证规定提交排污许可证执行报告。</w:t>
            </w:r>
          </w:p>
        </w:tc>
        <w:tc>
          <w:tcPr>
            <w:tcW w:w="14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4BA62BC4">
            <w:pPr>
              <w:widowControl/>
              <w:spacing w:line="240" w:lineRule="exact"/>
              <w:jc w:val="center"/>
              <w:textAlignment w:val="center"/>
              <w:rPr>
                <w:rFonts w:hint="eastAsia" w:ascii="仿宋" w:hAnsi="仿宋" w:eastAsia="仿宋" w:cs="仿宋"/>
                <w:color w:val="000000"/>
                <w:kern w:val="0"/>
                <w:sz w:val="21"/>
                <w:szCs w:val="21"/>
                <w:highlight w:val="none"/>
                <w:lang w:val="en-US" w:eastAsia="zh-CN" w:bidi="ar"/>
              </w:rPr>
            </w:pPr>
            <w:r>
              <w:rPr>
                <w:rFonts w:hint="eastAsia" w:ascii="仿宋" w:hAnsi="仿宋" w:eastAsia="仿宋" w:cs="仿宋"/>
                <w:color w:val="000000"/>
                <w:kern w:val="0"/>
                <w:sz w:val="21"/>
                <w:szCs w:val="21"/>
                <w:highlight w:val="none"/>
                <w:lang w:val="en-US" w:eastAsia="zh-CN" w:bidi="ar"/>
              </w:rPr>
              <w:t>轻微不罚</w:t>
            </w:r>
          </w:p>
        </w:tc>
        <w:tc>
          <w:tcPr>
            <w:tcW w:w="24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0F4C8324">
            <w:pPr>
              <w:widowControl/>
              <w:spacing w:line="240" w:lineRule="exact"/>
              <w:jc w:val="left"/>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1. 不存在数据弄虚作假情形；</w:t>
            </w:r>
          </w:p>
          <w:p w14:paraId="3132099F">
            <w:pPr>
              <w:widowControl/>
              <w:spacing w:line="240" w:lineRule="exact"/>
              <w:jc w:val="left"/>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2. 按要求期限完成整改提交执行报告；</w:t>
            </w:r>
          </w:p>
          <w:p w14:paraId="27FE6E3E">
            <w:pPr>
              <w:widowControl/>
              <w:spacing w:line="240" w:lineRule="exact"/>
              <w:jc w:val="left"/>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3. 实际污染物排放符合排污许可要求；</w:t>
            </w:r>
          </w:p>
          <w:p w14:paraId="0836FE09">
            <w:pPr>
              <w:widowControl/>
              <w:spacing w:line="240" w:lineRule="exact"/>
              <w:jc w:val="left"/>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4. 没有造成危害后果；</w:t>
            </w:r>
          </w:p>
          <w:p w14:paraId="2F6CDD27">
            <w:pPr>
              <w:widowControl/>
              <w:spacing w:line="240" w:lineRule="exact"/>
              <w:jc w:val="left"/>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5. 当事人配合检查调查。</w:t>
            </w:r>
          </w:p>
        </w:tc>
      </w:tr>
      <w:tr w14:paraId="54D017BF">
        <w:tblPrEx>
          <w:tblCellMar>
            <w:top w:w="0" w:type="dxa"/>
            <w:left w:w="0" w:type="dxa"/>
            <w:bottom w:w="0" w:type="dxa"/>
            <w:right w:w="0" w:type="dxa"/>
          </w:tblCellMar>
        </w:tblPrEx>
        <w:trPr>
          <w:trHeight w:val="921" w:hRule="atLeast"/>
        </w:trPr>
        <w:tc>
          <w:tcPr>
            <w:tcW w:w="52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13A27BCA">
            <w:pPr>
              <w:widowControl/>
              <w:spacing w:line="240" w:lineRule="exact"/>
              <w:jc w:val="center"/>
              <w:textAlignment w:val="center"/>
              <w:rPr>
                <w:rFonts w:hint="default" w:ascii="仿宋" w:hAnsi="仿宋" w:eastAsia="仿宋" w:cs="仿宋"/>
                <w:color w:val="000000"/>
                <w:kern w:val="0"/>
                <w:sz w:val="21"/>
                <w:szCs w:val="21"/>
                <w:highlight w:val="none"/>
                <w:lang w:val="en-US" w:eastAsia="zh-CN" w:bidi="ar"/>
              </w:rPr>
            </w:pPr>
            <w:r>
              <w:rPr>
                <w:rFonts w:hint="eastAsia" w:ascii="仿宋" w:hAnsi="仿宋" w:eastAsia="仿宋" w:cs="仿宋"/>
                <w:color w:val="000000"/>
                <w:kern w:val="0"/>
                <w:sz w:val="21"/>
                <w:szCs w:val="21"/>
                <w:highlight w:val="none"/>
                <w:lang w:val="en-US" w:eastAsia="zh-CN" w:bidi="ar"/>
              </w:rPr>
              <w:t>6</w:t>
            </w:r>
          </w:p>
        </w:tc>
        <w:tc>
          <w:tcPr>
            <w:tcW w:w="1379"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54644E01">
            <w:pPr>
              <w:widowControl/>
              <w:spacing w:line="240" w:lineRule="exact"/>
              <w:jc w:val="center"/>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未按规定安装、使用、维护污染物排放自动监测设备的处罚</w:t>
            </w:r>
          </w:p>
        </w:tc>
        <w:tc>
          <w:tcPr>
            <w:tcW w:w="6937"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72CE88BC">
            <w:pPr>
              <w:widowControl/>
              <w:spacing w:line="240" w:lineRule="exact"/>
              <w:jc w:val="center"/>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1.《中华人民共和国生态环境法典》第一千零八十六条第一款第二项：违反本法规定，有下列情形之一的，由负有生态环境保护监督管理职责的部门、机构按照职责分工责令改正，处二万元以上二十万元以下的罚款；拒不改正的，可以责令限制生产、停产整治：（二）未安装、使用、维护、正常运行污染物排放自动监测、监控设备，未与主管部门的监控设备联网，未保存原始监测记录，以及未如实报告；2.《生态环境监测条例》第四十二条第一款第四项：企事业单位在开展自行监测中有下列情形之一的，由生态环境主管部门或者其他有关部门依据职责责令改正，处 2 万元以上 20 万元以下的罚款；拒不改正的，可以责令限制生产、停产整治：（四）未按照规定安装、使用自动监测设备，或者发现自动监测设备传输数据异常未及时报告并对自动监测设备进行检查、修复3.《排污许可管理条例》第三十六条第四项：违反本条例规定，排污单位有下列行为之一的，由生态环境主管部门责令改正，处 2 万元以上 20 万元以下的罚款；拒不改正的，责令停产整治：（四）未按照排污许可证规定安装、使用污染物排放自动监测设备并与生态环境主管部门的监控设备联网，或者未保证污染物排放自动监测设备正常运行。</w:t>
            </w:r>
          </w:p>
        </w:tc>
        <w:tc>
          <w:tcPr>
            <w:tcW w:w="14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0A03E7A7">
            <w:pPr>
              <w:widowControl/>
              <w:spacing w:line="240" w:lineRule="exact"/>
              <w:jc w:val="center"/>
              <w:textAlignment w:val="center"/>
              <w:rPr>
                <w:rFonts w:hint="eastAsia" w:ascii="仿宋" w:hAnsi="仿宋" w:eastAsia="仿宋" w:cs="仿宋"/>
                <w:color w:val="000000"/>
                <w:kern w:val="0"/>
                <w:sz w:val="21"/>
                <w:szCs w:val="21"/>
                <w:highlight w:val="none"/>
                <w:lang w:val="en-US" w:eastAsia="zh-CN" w:bidi="ar"/>
              </w:rPr>
            </w:pPr>
            <w:r>
              <w:rPr>
                <w:rFonts w:hint="eastAsia" w:ascii="仿宋" w:hAnsi="仿宋" w:eastAsia="仿宋" w:cs="仿宋"/>
                <w:color w:val="000000"/>
                <w:kern w:val="0"/>
                <w:sz w:val="21"/>
                <w:szCs w:val="21"/>
                <w:highlight w:val="none"/>
                <w:lang w:val="en-US" w:eastAsia="zh-CN" w:bidi="ar"/>
              </w:rPr>
              <w:t>首违免罚</w:t>
            </w:r>
          </w:p>
        </w:tc>
        <w:tc>
          <w:tcPr>
            <w:tcW w:w="24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33ADF09F">
            <w:pPr>
              <w:widowControl/>
              <w:spacing w:line="240" w:lineRule="exact"/>
              <w:jc w:val="left"/>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1. 三个月内初次发现；</w:t>
            </w:r>
          </w:p>
          <w:p w14:paraId="63176EC2">
            <w:pPr>
              <w:widowControl/>
              <w:spacing w:line="240" w:lineRule="exact"/>
              <w:jc w:val="left"/>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2. 自动监测设备故障不超过 48 小时；</w:t>
            </w:r>
          </w:p>
          <w:p w14:paraId="5504C353">
            <w:pPr>
              <w:widowControl/>
              <w:spacing w:line="240" w:lineRule="exact"/>
              <w:jc w:val="left"/>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3. 企业及时报告故障，按规定开展运营维护；</w:t>
            </w:r>
          </w:p>
          <w:p w14:paraId="314E57CE">
            <w:pPr>
              <w:widowControl/>
              <w:spacing w:line="240" w:lineRule="exact"/>
              <w:jc w:val="left"/>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4. 污染防治设施正常运行；</w:t>
            </w:r>
          </w:p>
          <w:p w14:paraId="3B0DD4E5">
            <w:pPr>
              <w:widowControl/>
              <w:spacing w:line="240" w:lineRule="exact"/>
              <w:jc w:val="left"/>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5. 经责令改正后及时完成整改；</w:t>
            </w:r>
          </w:p>
          <w:p w14:paraId="3EBF46C3">
            <w:pPr>
              <w:widowControl/>
              <w:spacing w:line="240" w:lineRule="exact"/>
              <w:jc w:val="left"/>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6. 污染物达标排放；</w:t>
            </w:r>
          </w:p>
          <w:p w14:paraId="3964EB8B">
            <w:pPr>
              <w:widowControl/>
              <w:spacing w:line="240" w:lineRule="exact"/>
              <w:jc w:val="left"/>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7. 当事人配合检查调查。</w:t>
            </w:r>
          </w:p>
        </w:tc>
      </w:tr>
      <w:tr w14:paraId="236F7F2C">
        <w:tblPrEx>
          <w:tblCellMar>
            <w:top w:w="0" w:type="dxa"/>
            <w:left w:w="0" w:type="dxa"/>
            <w:bottom w:w="0" w:type="dxa"/>
            <w:right w:w="0" w:type="dxa"/>
          </w:tblCellMar>
        </w:tblPrEx>
        <w:trPr>
          <w:trHeight w:val="921" w:hRule="atLeast"/>
        </w:trPr>
        <w:tc>
          <w:tcPr>
            <w:tcW w:w="52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44C06655">
            <w:pPr>
              <w:widowControl/>
              <w:spacing w:line="240" w:lineRule="exact"/>
              <w:jc w:val="center"/>
              <w:textAlignment w:val="center"/>
              <w:rPr>
                <w:rFonts w:hint="default" w:ascii="仿宋" w:hAnsi="仿宋" w:eastAsia="仿宋" w:cs="仿宋"/>
                <w:color w:val="000000"/>
                <w:kern w:val="0"/>
                <w:sz w:val="21"/>
                <w:szCs w:val="21"/>
                <w:highlight w:val="none"/>
                <w:lang w:val="en-US" w:eastAsia="zh-CN" w:bidi="ar"/>
              </w:rPr>
            </w:pPr>
            <w:r>
              <w:rPr>
                <w:rFonts w:hint="eastAsia" w:ascii="仿宋" w:hAnsi="仿宋" w:eastAsia="仿宋" w:cs="仿宋"/>
                <w:color w:val="000000"/>
                <w:kern w:val="0"/>
                <w:sz w:val="21"/>
                <w:szCs w:val="21"/>
                <w:highlight w:val="none"/>
                <w:lang w:val="en-US" w:eastAsia="zh-CN" w:bidi="ar"/>
              </w:rPr>
              <w:t>7</w:t>
            </w:r>
          </w:p>
        </w:tc>
        <w:tc>
          <w:tcPr>
            <w:tcW w:w="1379"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543F9383">
            <w:pPr>
              <w:widowControl/>
              <w:spacing w:line="240" w:lineRule="exact"/>
              <w:jc w:val="center"/>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自动监测设备突发故障无法正常使用或者联网的处罚</w:t>
            </w:r>
          </w:p>
        </w:tc>
        <w:tc>
          <w:tcPr>
            <w:tcW w:w="6937"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343713F4">
            <w:pPr>
              <w:widowControl/>
              <w:spacing w:line="240" w:lineRule="exact"/>
              <w:jc w:val="center"/>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1.《中华人民共和国生态环境法典》第一千零八十六条第一款第二项：违反本法规定，有下列情形之一的，由负有生态环境保护监督管理职责的部门、机构按照职责分工责令改正，处二万元以上二十万元以下的罚款；拒不改正的，可以责令限制生产、停产整治：（二）未安装、使用、维护、正常运行污染物排放自动监测、监控设备，未与主管部门的监控设备联网，未保存原始监测记录，以及未如实报告。2.《生态环境监测条例》第四十二条第一款第四项、第五项：企事业单位在开展自行监测中有下列情形之一的，由生态环境主管部门或者其他有关部门依据职责责令改正，处 2 万元以上 20 万元以下的罚款；拒不改正的，可以责令限制生产、停产整治：（四）未按照规定安装、使用自动监测设备，或者发现自动监测设备传输数据异常未及时报告并对自动监测设备进行检查、修复；（五）主要监测点位视频监控设备或者自动监测设备未与生态环境主管部门或者其他有关部门联网。3.《排污许可管理条例》第三十六条第四项：违反本条例规定，排污单位有下列行为之一的，由生态环境主管部门责令改正，处 2 万元以上 20 万元以下的罚款；拒不改正的，责令停产整治：（四）未按照排污许可证规定安装、使用污染物排放自动监测设备并与生态环境主管部门的监控设备联网，或者未保证污染物排放自动监测设备正常运行。</w:t>
            </w:r>
          </w:p>
        </w:tc>
        <w:tc>
          <w:tcPr>
            <w:tcW w:w="14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426484CD">
            <w:pPr>
              <w:widowControl/>
              <w:spacing w:line="240" w:lineRule="exact"/>
              <w:jc w:val="center"/>
              <w:textAlignment w:val="center"/>
              <w:rPr>
                <w:rFonts w:hint="eastAsia" w:ascii="仿宋" w:hAnsi="仿宋" w:eastAsia="仿宋" w:cs="仿宋"/>
                <w:color w:val="000000"/>
                <w:kern w:val="0"/>
                <w:sz w:val="21"/>
                <w:szCs w:val="21"/>
                <w:highlight w:val="none"/>
                <w:lang w:val="en-US" w:eastAsia="zh-CN" w:bidi="ar"/>
              </w:rPr>
            </w:pPr>
            <w:r>
              <w:rPr>
                <w:rFonts w:hint="eastAsia" w:ascii="仿宋" w:hAnsi="仿宋" w:eastAsia="仿宋" w:cs="仿宋"/>
                <w:color w:val="000000"/>
                <w:kern w:val="0"/>
                <w:sz w:val="21"/>
                <w:szCs w:val="21"/>
                <w:highlight w:val="none"/>
                <w:lang w:val="en-US" w:eastAsia="zh-CN" w:bidi="ar"/>
              </w:rPr>
              <w:t>轻微不罚</w:t>
            </w:r>
          </w:p>
        </w:tc>
        <w:tc>
          <w:tcPr>
            <w:tcW w:w="24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0164A37B">
            <w:pPr>
              <w:widowControl/>
              <w:spacing w:line="240" w:lineRule="exact"/>
              <w:jc w:val="left"/>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1. 属于设备突发故障，非人为故意闲置破坏；</w:t>
            </w:r>
          </w:p>
          <w:p w14:paraId="0F1B7301">
            <w:pPr>
              <w:widowControl/>
              <w:spacing w:line="240" w:lineRule="exact"/>
              <w:jc w:val="left"/>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2. 已按要求开展自行手工监测，出具 CMA 认证监测报告；</w:t>
            </w:r>
          </w:p>
          <w:p w14:paraId="3C7BB9B4">
            <w:pPr>
              <w:widowControl/>
              <w:spacing w:line="240" w:lineRule="exact"/>
              <w:jc w:val="left"/>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3. 污染物实际达标排放；4. 及时开展设备修复整改；</w:t>
            </w:r>
          </w:p>
          <w:p w14:paraId="7ADC1D11">
            <w:pPr>
              <w:widowControl/>
              <w:spacing w:line="240" w:lineRule="exact"/>
              <w:jc w:val="left"/>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5. 当事人配合检查调查。</w:t>
            </w:r>
          </w:p>
        </w:tc>
      </w:tr>
      <w:tr w14:paraId="215157A8">
        <w:tblPrEx>
          <w:tblCellMar>
            <w:top w:w="0" w:type="dxa"/>
            <w:left w:w="0" w:type="dxa"/>
            <w:bottom w:w="0" w:type="dxa"/>
            <w:right w:w="0" w:type="dxa"/>
          </w:tblCellMar>
        </w:tblPrEx>
        <w:trPr>
          <w:trHeight w:val="921" w:hRule="atLeast"/>
        </w:trPr>
        <w:tc>
          <w:tcPr>
            <w:tcW w:w="52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31C6442E">
            <w:pPr>
              <w:widowControl/>
              <w:spacing w:line="240" w:lineRule="exact"/>
              <w:jc w:val="center"/>
              <w:textAlignment w:val="center"/>
              <w:rPr>
                <w:rFonts w:hint="default" w:ascii="仿宋" w:hAnsi="仿宋" w:eastAsia="仿宋" w:cs="仿宋"/>
                <w:color w:val="000000"/>
                <w:kern w:val="0"/>
                <w:sz w:val="21"/>
                <w:szCs w:val="21"/>
                <w:highlight w:val="none"/>
                <w:lang w:val="en-US" w:eastAsia="zh-CN" w:bidi="ar"/>
              </w:rPr>
            </w:pPr>
            <w:r>
              <w:rPr>
                <w:rFonts w:hint="eastAsia" w:ascii="仿宋" w:hAnsi="仿宋" w:eastAsia="仿宋" w:cs="仿宋"/>
                <w:color w:val="000000"/>
                <w:kern w:val="0"/>
                <w:sz w:val="21"/>
                <w:szCs w:val="21"/>
                <w:highlight w:val="none"/>
                <w:lang w:val="en-US" w:eastAsia="zh-CN" w:bidi="ar"/>
              </w:rPr>
              <w:t>8</w:t>
            </w:r>
          </w:p>
        </w:tc>
        <w:tc>
          <w:tcPr>
            <w:tcW w:w="1379"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09B51427">
            <w:pPr>
              <w:widowControl/>
              <w:spacing w:line="240" w:lineRule="exact"/>
              <w:jc w:val="center"/>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技术服务机构未按照规定备案的处罚</w:t>
            </w:r>
          </w:p>
        </w:tc>
        <w:tc>
          <w:tcPr>
            <w:tcW w:w="6937"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4A3BDADB">
            <w:pPr>
              <w:widowControl/>
              <w:spacing w:line="240" w:lineRule="exact"/>
              <w:jc w:val="center"/>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《生态环境监测条例》第四十三条第一款第二项：技术服务机构有下列情形之一的，由生态环境主管部门责令改正，处 2 万元以上 20 万元以下的罚款；有违法所得的，没收违法所得；拒不改正的，报经有批准权的人民政府批准，责令停业、关闭：（二）未按照规定备案。</w:t>
            </w:r>
          </w:p>
        </w:tc>
        <w:tc>
          <w:tcPr>
            <w:tcW w:w="14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0EFFDD30">
            <w:pPr>
              <w:widowControl/>
              <w:spacing w:line="240" w:lineRule="exact"/>
              <w:jc w:val="center"/>
              <w:textAlignment w:val="center"/>
              <w:rPr>
                <w:rFonts w:hint="eastAsia" w:ascii="仿宋" w:hAnsi="仿宋" w:eastAsia="仿宋" w:cs="仿宋"/>
                <w:color w:val="000000"/>
                <w:kern w:val="0"/>
                <w:sz w:val="21"/>
                <w:szCs w:val="21"/>
                <w:highlight w:val="none"/>
                <w:lang w:val="en-US" w:eastAsia="zh-CN" w:bidi="ar"/>
              </w:rPr>
            </w:pPr>
            <w:r>
              <w:rPr>
                <w:rFonts w:hint="eastAsia" w:ascii="仿宋" w:hAnsi="仿宋" w:eastAsia="仿宋" w:cs="仿宋"/>
                <w:color w:val="000000"/>
                <w:kern w:val="0"/>
                <w:sz w:val="21"/>
                <w:szCs w:val="21"/>
                <w:highlight w:val="none"/>
                <w:lang w:val="en-US" w:eastAsia="zh-CN" w:bidi="ar"/>
              </w:rPr>
              <w:t>轻微不罚</w:t>
            </w:r>
          </w:p>
        </w:tc>
        <w:tc>
          <w:tcPr>
            <w:tcW w:w="24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6F62BB64">
            <w:pPr>
              <w:widowControl/>
              <w:spacing w:line="240" w:lineRule="exact"/>
              <w:jc w:val="left"/>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1. 违法行为轻微；</w:t>
            </w:r>
          </w:p>
          <w:p w14:paraId="429917B8">
            <w:pPr>
              <w:widowControl/>
              <w:spacing w:line="240" w:lineRule="exact"/>
              <w:jc w:val="left"/>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2. 自检查之日起 5 日内依法完成备案；</w:t>
            </w:r>
          </w:p>
          <w:p w14:paraId="78503251">
            <w:pPr>
              <w:widowControl/>
              <w:spacing w:line="240" w:lineRule="exact"/>
              <w:jc w:val="left"/>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3. 无监测数据造假等其他违法情形；</w:t>
            </w:r>
          </w:p>
          <w:p w14:paraId="17A2F6A4">
            <w:pPr>
              <w:widowControl/>
              <w:spacing w:line="240" w:lineRule="exact"/>
              <w:jc w:val="left"/>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4. 没有造成危害后果；</w:t>
            </w:r>
          </w:p>
          <w:p w14:paraId="367931FF">
            <w:pPr>
              <w:widowControl/>
              <w:spacing w:line="240" w:lineRule="exact"/>
              <w:jc w:val="left"/>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5. 当事人配合检查调查。</w:t>
            </w:r>
          </w:p>
        </w:tc>
      </w:tr>
      <w:tr w14:paraId="134C1153">
        <w:tblPrEx>
          <w:tblCellMar>
            <w:top w:w="0" w:type="dxa"/>
            <w:left w:w="0" w:type="dxa"/>
            <w:bottom w:w="0" w:type="dxa"/>
            <w:right w:w="0" w:type="dxa"/>
          </w:tblCellMar>
        </w:tblPrEx>
        <w:trPr>
          <w:trHeight w:val="921" w:hRule="atLeast"/>
        </w:trPr>
        <w:tc>
          <w:tcPr>
            <w:tcW w:w="52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5FA3B872">
            <w:pPr>
              <w:widowControl/>
              <w:spacing w:line="240" w:lineRule="exact"/>
              <w:jc w:val="center"/>
              <w:textAlignment w:val="center"/>
              <w:rPr>
                <w:rFonts w:hint="default" w:ascii="仿宋" w:hAnsi="仿宋" w:eastAsia="仿宋" w:cs="仿宋"/>
                <w:color w:val="000000"/>
                <w:kern w:val="0"/>
                <w:sz w:val="21"/>
                <w:szCs w:val="21"/>
                <w:highlight w:val="none"/>
                <w:lang w:val="en-US" w:eastAsia="zh-CN" w:bidi="ar"/>
              </w:rPr>
            </w:pPr>
            <w:r>
              <w:rPr>
                <w:rFonts w:hint="eastAsia" w:ascii="仿宋" w:hAnsi="仿宋" w:eastAsia="仿宋" w:cs="仿宋"/>
                <w:color w:val="000000"/>
                <w:kern w:val="0"/>
                <w:sz w:val="21"/>
                <w:szCs w:val="21"/>
                <w:highlight w:val="none"/>
                <w:lang w:val="en-US" w:eastAsia="zh-CN" w:bidi="ar"/>
              </w:rPr>
              <w:t>9</w:t>
            </w:r>
          </w:p>
        </w:tc>
        <w:tc>
          <w:tcPr>
            <w:tcW w:w="1379"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4CD9A805">
            <w:pPr>
              <w:widowControl/>
              <w:spacing w:line="240" w:lineRule="exact"/>
              <w:jc w:val="center"/>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未设置或者未规范设置危险废物识别标志的处罚</w:t>
            </w:r>
          </w:p>
        </w:tc>
        <w:tc>
          <w:tcPr>
            <w:tcW w:w="6937"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26CF0C65">
            <w:pPr>
              <w:widowControl/>
              <w:spacing w:line="240" w:lineRule="exact"/>
              <w:jc w:val="center"/>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中华人民共和国生态环境法典》第一千一百七十五条第一款第一项：违反本法规定，有下列行为之一，由生态环境主管部门责令改正，没收违法所得，并处以罚款；情节严重的，报经有批准权的人民政府批准，责令停业或者关闭：（一）未设置危险废物识别标志的；有前款第一项、第二项、第三项、第四项、第六项、第七项、第九项、第十项、第十一项情形之一的，处五万元以上二十万元以下的罚款，拒不改正的，处二十万元以上一百万元以下的罚款；有前款第五项、第八项情形之一的，处二十万元以上二百万元以下的罚款。</w:t>
            </w:r>
          </w:p>
        </w:tc>
        <w:tc>
          <w:tcPr>
            <w:tcW w:w="14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0D824711">
            <w:pPr>
              <w:widowControl/>
              <w:spacing w:line="240" w:lineRule="exact"/>
              <w:jc w:val="center"/>
              <w:textAlignment w:val="center"/>
              <w:rPr>
                <w:rFonts w:hint="eastAsia" w:ascii="仿宋" w:hAnsi="仿宋" w:eastAsia="仿宋" w:cs="仿宋"/>
                <w:color w:val="000000"/>
                <w:kern w:val="0"/>
                <w:sz w:val="21"/>
                <w:szCs w:val="21"/>
                <w:highlight w:val="none"/>
                <w:lang w:val="en-US" w:eastAsia="zh-CN" w:bidi="ar"/>
              </w:rPr>
            </w:pPr>
            <w:r>
              <w:rPr>
                <w:rFonts w:hint="eastAsia" w:ascii="仿宋" w:hAnsi="仿宋" w:eastAsia="仿宋" w:cs="仿宋"/>
                <w:color w:val="000000"/>
                <w:kern w:val="0"/>
                <w:sz w:val="21"/>
                <w:szCs w:val="21"/>
                <w:highlight w:val="none"/>
                <w:lang w:val="en-US" w:eastAsia="zh-CN" w:bidi="ar"/>
              </w:rPr>
              <w:t>轻微不罚</w:t>
            </w:r>
          </w:p>
        </w:tc>
        <w:tc>
          <w:tcPr>
            <w:tcW w:w="24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63312AB9">
            <w:pPr>
              <w:widowControl/>
              <w:spacing w:line="240" w:lineRule="exact"/>
              <w:jc w:val="left"/>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1. 现场检查指出问题后立即改正；</w:t>
            </w:r>
          </w:p>
          <w:p w14:paraId="40ADD492">
            <w:pPr>
              <w:widowControl/>
              <w:spacing w:line="240" w:lineRule="exact"/>
              <w:jc w:val="left"/>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2. 危险废物贮存包装、存放位置合规；</w:t>
            </w:r>
          </w:p>
          <w:p w14:paraId="22DDDC68">
            <w:pPr>
              <w:widowControl/>
              <w:spacing w:line="240" w:lineRule="exact"/>
              <w:jc w:val="left"/>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3. 未发生泄漏流失，未污染外环境；</w:t>
            </w:r>
          </w:p>
          <w:p w14:paraId="3527ECBE">
            <w:pPr>
              <w:widowControl/>
              <w:spacing w:line="240" w:lineRule="exact"/>
              <w:jc w:val="left"/>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4. 无其他危险废物严重违法行为；</w:t>
            </w:r>
          </w:p>
          <w:p w14:paraId="514484C3">
            <w:pPr>
              <w:widowControl/>
              <w:spacing w:line="240" w:lineRule="exact"/>
              <w:jc w:val="left"/>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5. 当事人配合检查调查。</w:t>
            </w:r>
          </w:p>
        </w:tc>
      </w:tr>
      <w:tr w14:paraId="2362EEDA">
        <w:tblPrEx>
          <w:tblCellMar>
            <w:top w:w="0" w:type="dxa"/>
            <w:left w:w="0" w:type="dxa"/>
            <w:bottom w:w="0" w:type="dxa"/>
            <w:right w:w="0" w:type="dxa"/>
          </w:tblCellMar>
        </w:tblPrEx>
        <w:trPr>
          <w:trHeight w:val="921" w:hRule="atLeast"/>
        </w:trPr>
        <w:tc>
          <w:tcPr>
            <w:tcW w:w="52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57742813">
            <w:pPr>
              <w:widowControl/>
              <w:spacing w:line="240" w:lineRule="exact"/>
              <w:jc w:val="center"/>
              <w:textAlignment w:val="center"/>
              <w:rPr>
                <w:rFonts w:hint="default" w:ascii="仿宋" w:hAnsi="仿宋" w:eastAsia="仿宋" w:cs="仿宋"/>
                <w:color w:val="000000"/>
                <w:kern w:val="0"/>
                <w:sz w:val="21"/>
                <w:szCs w:val="21"/>
                <w:highlight w:val="none"/>
                <w:lang w:val="en-US" w:eastAsia="zh-CN" w:bidi="ar"/>
              </w:rPr>
            </w:pPr>
            <w:r>
              <w:rPr>
                <w:rFonts w:hint="eastAsia" w:ascii="仿宋" w:hAnsi="仿宋" w:eastAsia="仿宋" w:cs="仿宋"/>
                <w:color w:val="000000"/>
                <w:kern w:val="0"/>
                <w:sz w:val="21"/>
                <w:szCs w:val="21"/>
                <w:highlight w:val="none"/>
                <w:lang w:val="en-US" w:eastAsia="zh-CN" w:bidi="ar"/>
              </w:rPr>
              <w:t>10</w:t>
            </w:r>
          </w:p>
        </w:tc>
        <w:tc>
          <w:tcPr>
            <w:tcW w:w="1379"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7CF39B7F">
            <w:pPr>
              <w:widowControl/>
              <w:spacing w:line="240" w:lineRule="exact"/>
              <w:jc w:val="center"/>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不规范贮存危险废物的处罚</w:t>
            </w:r>
          </w:p>
        </w:tc>
        <w:tc>
          <w:tcPr>
            <w:tcW w:w="6937"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5D75BA2E">
            <w:pPr>
              <w:widowControl/>
              <w:spacing w:line="240" w:lineRule="exact"/>
              <w:jc w:val="center"/>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中华人民共和国生态环境法典》第一千一百七十五条第一款第四项：违反本法规定，有下列情形之一的，由生态环境主管部门责令改正，没收违法所得，并处以罚款；情节严重的，报经有批准权的人民政府批准，责令停业、关闭：（四）未按照国家规定和生态环境保护标准贮存、利用、处置危险废物，或者将危险废物混入非危险废物中贮存；有前款第一项、第二项、第三项、第四项、第六项、第七项、第九项、第十项、第十一项情形之一的，处五万元以上二十万元以下的罚款，拒不改正的，处二十万元以上一百万元以下的罚款；有前款第五项、第八项情形之一的，处二十万元以上二百万元以下的罚款。（只含本规定中对未按照国家环境保护标准贮存危险废物的处罚）</w:t>
            </w:r>
          </w:p>
        </w:tc>
        <w:tc>
          <w:tcPr>
            <w:tcW w:w="14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0CF19985">
            <w:pPr>
              <w:widowControl/>
              <w:spacing w:line="240" w:lineRule="exact"/>
              <w:jc w:val="center"/>
              <w:textAlignment w:val="center"/>
              <w:rPr>
                <w:rFonts w:hint="eastAsia" w:ascii="仿宋" w:hAnsi="仿宋" w:eastAsia="仿宋" w:cs="仿宋"/>
                <w:color w:val="000000"/>
                <w:kern w:val="0"/>
                <w:sz w:val="21"/>
                <w:szCs w:val="21"/>
                <w:highlight w:val="none"/>
                <w:lang w:val="en-US" w:eastAsia="zh-CN" w:bidi="ar"/>
              </w:rPr>
            </w:pPr>
            <w:r>
              <w:rPr>
                <w:rFonts w:hint="eastAsia" w:ascii="仿宋" w:hAnsi="仿宋" w:eastAsia="仿宋" w:cs="仿宋"/>
                <w:color w:val="000000"/>
                <w:kern w:val="0"/>
                <w:sz w:val="21"/>
                <w:szCs w:val="21"/>
                <w:highlight w:val="none"/>
                <w:lang w:val="en-US" w:eastAsia="zh-CN" w:bidi="ar"/>
              </w:rPr>
              <w:t>轻微不罚</w:t>
            </w:r>
          </w:p>
        </w:tc>
        <w:tc>
          <w:tcPr>
            <w:tcW w:w="24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6EF4AF37">
            <w:pPr>
              <w:widowControl/>
              <w:spacing w:line="240" w:lineRule="exact"/>
              <w:jc w:val="left"/>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1. 危险废物数量小于 0.3 吨或者独立包装小于等于 5 个；</w:t>
            </w:r>
          </w:p>
          <w:p w14:paraId="798BB171">
            <w:pPr>
              <w:widowControl/>
              <w:spacing w:line="240" w:lineRule="exact"/>
              <w:jc w:val="left"/>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2. 现场检查指出后立即改正；</w:t>
            </w:r>
          </w:p>
          <w:p w14:paraId="78D97F83">
            <w:pPr>
              <w:widowControl/>
              <w:spacing w:line="240" w:lineRule="exact"/>
              <w:jc w:val="left"/>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3. 未污染外环境；</w:t>
            </w:r>
          </w:p>
          <w:p w14:paraId="5444C79A">
            <w:pPr>
              <w:widowControl/>
              <w:spacing w:line="240" w:lineRule="exact"/>
              <w:jc w:val="left"/>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4. 不存在倾倒、遗弃危险废物行为；</w:t>
            </w:r>
          </w:p>
          <w:p w14:paraId="39B57C4F">
            <w:pPr>
              <w:widowControl/>
              <w:spacing w:line="240" w:lineRule="exact"/>
              <w:jc w:val="left"/>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5. 当事人配合检查调查。</w:t>
            </w:r>
          </w:p>
        </w:tc>
      </w:tr>
      <w:tr w14:paraId="700E06FF">
        <w:tblPrEx>
          <w:tblCellMar>
            <w:top w:w="0" w:type="dxa"/>
            <w:left w:w="0" w:type="dxa"/>
            <w:bottom w:w="0" w:type="dxa"/>
            <w:right w:w="0" w:type="dxa"/>
          </w:tblCellMar>
        </w:tblPrEx>
        <w:trPr>
          <w:trHeight w:val="921" w:hRule="atLeast"/>
        </w:trPr>
        <w:tc>
          <w:tcPr>
            <w:tcW w:w="52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23E83019">
            <w:pPr>
              <w:widowControl/>
              <w:spacing w:line="240" w:lineRule="exact"/>
              <w:jc w:val="center"/>
              <w:textAlignment w:val="center"/>
              <w:rPr>
                <w:rFonts w:hint="default" w:ascii="仿宋" w:hAnsi="仿宋" w:eastAsia="仿宋" w:cs="仿宋"/>
                <w:color w:val="000000"/>
                <w:kern w:val="0"/>
                <w:sz w:val="21"/>
                <w:szCs w:val="21"/>
                <w:highlight w:val="none"/>
                <w:lang w:val="en-US" w:eastAsia="zh-CN" w:bidi="ar"/>
              </w:rPr>
            </w:pPr>
            <w:r>
              <w:rPr>
                <w:rFonts w:hint="eastAsia" w:ascii="仿宋" w:hAnsi="仿宋" w:eastAsia="仿宋" w:cs="仿宋"/>
                <w:color w:val="000000"/>
                <w:kern w:val="0"/>
                <w:sz w:val="21"/>
                <w:szCs w:val="21"/>
                <w:highlight w:val="none"/>
                <w:lang w:val="en-US" w:eastAsia="zh-CN" w:bidi="ar"/>
              </w:rPr>
              <w:t>11</w:t>
            </w:r>
          </w:p>
        </w:tc>
        <w:tc>
          <w:tcPr>
            <w:tcW w:w="1379"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44BB40F3">
            <w:pPr>
              <w:widowControl/>
              <w:spacing w:line="240" w:lineRule="exact"/>
              <w:jc w:val="center"/>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环境管理台账未按照规定完整记录数据的处罚</w:t>
            </w:r>
          </w:p>
        </w:tc>
        <w:tc>
          <w:tcPr>
            <w:tcW w:w="6937"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281B7379">
            <w:pPr>
              <w:widowControl/>
              <w:spacing w:line="240" w:lineRule="exact"/>
              <w:jc w:val="center"/>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《排污许可管理条例》第三十七条第一项：违反本条例规定，排污单位有下列行为之一的，由生态环境主管部门责令改正，处每次 5 千元以上 2 万元以下的罚款；法律另有规定的，从其规定：（一）未建立环境管理台账记录制度，或者未按照排污许可证规定记录。</w:t>
            </w:r>
          </w:p>
        </w:tc>
        <w:tc>
          <w:tcPr>
            <w:tcW w:w="14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39D33E52">
            <w:pPr>
              <w:widowControl/>
              <w:spacing w:line="240" w:lineRule="exact"/>
              <w:jc w:val="center"/>
              <w:textAlignment w:val="center"/>
              <w:rPr>
                <w:rFonts w:hint="eastAsia" w:ascii="仿宋" w:hAnsi="仿宋" w:eastAsia="仿宋" w:cs="仿宋"/>
                <w:color w:val="000000"/>
                <w:kern w:val="0"/>
                <w:sz w:val="21"/>
                <w:szCs w:val="21"/>
                <w:highlight w:val="none"/>
                <w:lang w:val="en-US" w:eastAsia="zh-CN" w:bidi="ar"/>
              </w:rPr>
            </w:pPr>
            <w:r>
              <w:rPr>
                <w:rFonts w:hint="eastAsia" w:ascii="仿宋" w:hAnsi="仿宋" w:eastAsia="仿宋" w:cs="仿宋"/>
                <w:color w:val="000000"/>
                <w:kern w:val="0"/>
                <w:sz w:val="21"/>
                <w:szCs w:val="21"/>
                <w:highlight w:val="none"/>
                <w:lang w:val="en-US" w:eastAsia="zh-CN" w:bidi="ar"/>
              </w:rPr>
              <w:t>轻微不罚</w:t>
            </w:r>
          </w:p>
        </w:tc>
        <w:tc>
          <w:tcPr>
            <w:tcW w:w="24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05ABEED8">
            <w:pPr>
              <w:widowControl/>
              <w:spacing w:line="240" w:lineRule="exact"/>
              <w:jc w:val="left"/>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1. 不存在台账伪造、弄虚作假；</w:t>
            </w:r>
          </w:p>
          <w:p w14:paraId="16621EB8">
            <w:pPr>
              <w:widowControl/>
              <w:spacing w:line="240" w:lineRule="exact"/>
              <w:jc w:val="left"/>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2. 现场检查指出后立即改正补录；</w:t>
            </w:r>
          </w:p>
          <w:p w14:paraId="6B66E572">
            <w:pPr>
              <w:widowControl/>
              <w:spacing w:line="240" w:lineRule="exact"/>
              <w:jc w:val="left"/>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3. 整改完成后按规定持续规范记录；</w:t>
            </w:r>
          </w:p>
          <w:p w14:paraId="549641FB">
            <w:pPr>
              <w:widowControl/>
              <w:spacing w:line="240" w:lineRule="exact"/>
              <w:jc w:val="left"/>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4. 污染物排放达标，未造成危害后果；</w:t>
            </w:r>
          </w:p>
          <w:p w14:paraId="385E4402">
            <w:pPr>
              <w:widowControl/>
              <w:spacing w:line="240" w:lineRule="exact"/>
              <w:jc w:val="left"/>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5. 当事人配合检查调查。</w:t>
            </w:r>
          </w:p>
        </w:tc>
      </w:tr>
      <w:tr w14:paraId="38FE9470">
        <w:tblPrEx>
          <w:tblCellMar>
            <w:top w:w="0" w:type="dxa"/>
            <w:left w:w="0" w:type="dxa"/>
            <w:bottom w:w="0" w:type="dxa"/>
            <w:right w:w="0" w:type="dxa"/>
          </w:tblCellMar>
        </w:tblPrEx>
        <w:trPr>
          <w:trHeight w:val="921" w:hRule="atLeast"/>
        </w:trPr>
        <w:tc>
          <w:tcPr>
            <w:tcW w:w="52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2C17C634">
            <w:pPr>
              <w:widowControl/>
              <w:spacing w:line="240" w:lineRule="exact"/>
              <w:jc w:val="center"/>
              <w:textAlignment w:val="center"/>
              <w:rPr>
                <w:rFonts w:hint="default" w:ascii="仿宋" w:hAnsi="仿宋" w:eastAsia="仿宋" w:cs="仿宋"/>
                <w:color w:val="000000"/>
                <w:kern w:val="0"/>
                <w:sz w:val="21"/>
                <w:szCs w:val="21"/>
                <w:highlight w:val="none"/>
                <w:lang w:val="en-US" w:eastAsia="zh-CN" w:bidi="ar"/>
              </w:rPr>
            </w:pPr>
            <w:r>
              <w:rPr>
                <w:rFonts w:hint="eastAsia" w:ascii="仿宋" w:hAnsi="仿宋" w:eastAsia="仿宋" w:cs="仿宋"/>
                <w:color w:val="000000"/>
                <w:kern w:val="0"/>
                <w:sz w:val="21"/>
                <w:szCs w:val="21"/>
                <w:highlight w:val="none"/>
                <w:lang w:val="en-US" w:eastAsia="zh-CN" w:bidi="ar"/>
              </w:rPr>
              <w:t>12</w:t>
            </w:r>
          </w:p>
        </w:tc>
        <w:tc>
          <w:tcPr>
            <w:tcW w:w="1379"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6E95490E">
            <w:pPr>
              <w:widowControl/>
              <w:spacing w:line="240" w:lineRule="exact"/>
              <w:jc w:val="center"/>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未按规定时限公开生态环境信息或者公开内容不全的处罚（不含弄虚作假）</w:t>
            </w:r>
          </w:p>
        </w:tc>
        <w:tc>
          <w:tcPr>
            <w:tcW w:w="6937"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1494DB20">
            <w:pPr>
              <w:widowControl/>
              <w:spacing w:line="240" w:lineRule="exact"/>
              <w:jc w:val="center"/>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1.《中华人民共和国生态环境法典》第一千一百一十条：违反本法规定，未向社会公开或者不如实公开污染物排放信息、温室气体排放信息等生态环境信息的，由负有生态环境保护监督管理职责的部门、机构按照职责分工责令改正，处二万元以上二十万元以下的罚款；拒不改正的，责令限制生产、停产整治，并公告上述生态环境信息。2.《排污许可管理条例》第三十六条第七项：违反本条例规定，排污单位有下列行为之一的，由生态环境主管部门责令改正，处 2 万元以上 20 万元以下的罚款；拒不改正的，责令停产整治：（七）未按照排污许可证规定公开或者不如实公开污染物排放信息。</w:t>
            </w:r>
          </w:p>
        </w:tc>
        <w:tc>
          <w:tcPr>
            <w:tcW w:w="14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467F3AA2">
            <w:pPr>
              <w:widowControl/>
              <w:spacing w:line="240" w:lineRule="exact"/>
              <w:jc w:val="center"/>
              <w:textAlignment w:val="center"/>
              <w:rPr>
                <w:rFonts w:hint="eastAsia" w:ascii="仿宋" w:hAnsi="仿宋" w:eastAsia="仿宋" w:cs="仿宋"/>
                <w:color w:val="000000"/>
                <w:kern w:val="0"/>
                <w:sz w:val="21"/>
                <w:szCs w:val="21"/>
                <w:highlight w:val="none"/>
                <w:lang w:val="en-US" w:eastAsia="zh-CN" w:bidi="ar"/>
              </w:rPr>
            </w:pPr>
            <w:r>
              <w:rPr>
                <w:rFonts w:hint="eastAsia" w:ascii="仿宋" w:hAnsi="仿宋" w:eastAsia="仿宋" w:cs="仿宋"/>
                <w:color w:val="000000"/>
                <w:kern w:val="0"/>
                <w:sz w:val="21"/>
                <w:szCs w:val="21"/>
                <w:highlight w:val="none"/>
                <w:lang w:val="en-US" w:eastAsia="zh-CN" w:bidi="ar"/>
              </w:rPr>
              <w:t>轻微不罚</w:t>
            </w:r>
          </w:p>
        </w:tc>
        <w:tc>
          <w:tcPr>
            <w:tcW w:w="24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51D9DD1D">
            <w:pPr>
              <w:widowControl/>
              <w:spacing w:line="240" w:lineRule="exact"/>
              <w:jc w:val="left"/>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1. 不存在公开内容弄虚作假、隐瞒；</w:t>
            </w:r>
          </w:p>
          <w:p w14:paraId="2909D0BD">
            <w:pPr>
              <w:widowControl/>
              <w:spacing w:line="240" w:lineRule="exact"/>
              <w:jc w:val="left"/>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2. 按要求及时完成整改补正公开；</w:t>
            </w:r>
          </w:p>
          <w:p w14:paraId="3CF1D7AA">
            <w:pPr>
              <w:widowControl/>
              <w:spacing w:line="240" w:lineRule="exact"/>
              <w:jc w:val="left"/>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3. 企业实际排污符合管理要求；</w:t>
            </w:r>
          </w:p>
          <w:p w14:paraId="3BC43525">
            <w:pPr>
              <w:widowControl/>
              <w:spacing w:line="240" w:lineRule="exact"/>
              <w:jc w:val="left"/>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4. 当事人配合检查调查。</w:t>
            </w:r>
          </w:p>
        </w:tc>
      </w:tr>
      <w:tr w14:paraId="5C932929">
        <w:tblPrEx>
          <w:tblCellMar>
            <w:top w:w="0" w:type="dxa"/>
            <w:left w:w="0" w:type="dxa"/>
            <w:bottom w:w="0" w:type="dxa"/>
            <w:right w:w="0" w:type="dxa"/>
          </w:tblCellMar>
        </w:tblPrEx>
        <w:trPr>
          <w:trHeight w:val="921" w:hRule="atLeast"/>
        </w:trPr>
        <w:tc>
          <w:tcPr>
            <w:tcW w:w="52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6E966A5A">
            <w:pPr>
              <w:widowControl/>
              <w:spacing w:line="240" w:lineRule="exact"/>
              <w:jc w:val="center"/>
              <w:textAlignment w:val="center"/>
              <w:rPr>
                <w:rFonts w:hint="default" w:ascii="仿宋" w:hAnsi="仿宋" w:eastAsia="仿宋" w:cs="仿宋"/>
                <w:color w:val="000000"/>
                <w:kern w:val="0"/>
                <w:sz w:val="21"/>
                <w:szCs w:val="21"/>
                <w:highlight w:val="none"/>
                <w:lang w:val="en-US" w:eastAsia="zh-CN" w:bidi="ar"/>
              </w:rPr>
            </w:pPr>
            <w:r>
              <w:rPr>
                <w:rFonts w:hint="eastAsia" w:ascii="仿宋" w:hAnsi="仿宋" w:eastAsia="仿宋" w:cs="仿宋"/>
                <w:color w:val="000000"/>
                <w:kern w:val="0"/>
                <w:sz w:val="21"/>
                <w:szCs w:val="21"/>
                <w:highlight w:val="none"/>
                <w:lang w:val="en-US" w:eastAsia="zh-CN" w:bidi="ar"/>
              </w:rPr>
              <w:t>13</w:t>
            </w:r>
          </w:p>
        </w:tc>
        <w:tc>
          <w:tcPr>
            <w:tcW w:w="1379"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08AE968B">
            <w:pPr>
              <w:widowControl/>
              <w:spacing w:line="240" w:lineRule="exact"/>
              <w:jc w:val="center"/>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易产生扬尘物料未按规定采取抑尘措施的处罚</w:t>
            </w:r>
          </w:p>
        </w:tc>
        <w:tc>
          <w:tcPr>
            <w:tcW w:w="6937"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39FF2C1F">
            <w:pPr>
              <w:widowControl/>
              <w:spacing w:line="240" w:lineRule="exact"/>
              <w:jc w:val="center"/>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中华人民共和国生态环境法典》第一千一百三十条第二项、第三项：违反本法规定，有下列情形之一的，由生态环境等部门按照职责分工责令改正，处一万元以上十万元以下的罚款；拒不改正的，责令停工整治或者停业整治：（二）未密闭贮存煤炭、煤矸石、煤渣、煤灰、水泥、石灰、石膏、砂土、铁矿石等易产生扬尘的物料；（三）对不能密闭贮存的易产生扬尘的物料，未设置不低于堆放物高度的严密围挡，或者未采取有效覆盖措施防治扬尘污染。</w:t>
            </w:r>
          </w:p>
        </w:tc>
        <w:tc>
          <w:tcPr>
            <w:tcW w:w="14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1157B35B">
            <w:pPr>
              <w:widowControl/>
              <w:spacing w:line="240" w:lineRule="exact"/>
              <w:jc w:val="center"/>
              <w:textAlignment w:val="center"/>
              <w:rPr>
                <w:rFonts w:hint="eastAsia" w:ascii="仿宋" w:hAnsi="仿宋" w:eastAsia="仿宋" w:cs="仿宋"/>
                <w:color w:val="000000"/>
                <w:kern w:val="0"/>
                <w:sz w:val="21"/>
                <w:szCs w:val="21"/>
                <w:highlight w:val="none"/>
                <w:lang w:val="en-US" w:eastAsia="zh-CN" w:bidi="ar"/>
              </w:rPr>
            </w:pPr>
            <w:r>
              <w:rPr>
                <w:rFonts w:hint="eastAsia" w:ascii="仿宋" w:hAnsi="仿宋" w:eastAsia="仿宋" w:cs="仿宋"/>
                <w:color w:val="000000"/>
                <w:kern w:val="0"/>
                <w:sz w:val="21"/>
                <w:szCs w:val="21"/>
                <w:highlight w:val="none"/>
                <w:lang w:val="en-US" w:eastAsia="zh-CN" w:bidi="ar"/>
              </w:rPr>
              <w:t>首违免罚</w:t>
            </w:r>
          </w:p>
        </w:tc>
        <w:tc>
          <w:tcPr>
            <w:tcW w:w="24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740BD4B5">
            <w:pPr>
              <w:widowControl/>
              <w:spacing w:line="240" w:lineRule="exact"/>
              <w:jc w:val="left"/>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1. 三个月内初次发现；</w:t>
            </w:r>
          </w:p>
          <w:p w14:paraId="5B636BF8">
            <w:pPr>
              <w:widowControl/>
              <w:spacing w:line="240" w:lineRule="exact"/>
              <w:jc w:val="left"/>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2. 物料占地面积不足 100 平方米；</w:t>
            </w:r>
          </w:p>
          <w:p w14:paraId="002BF7A9">
            <w:pPr>
              <w:widowControl/>
              <w:spacing w:line="240" w:lineRule="exact"/>
              <w:jc w:val="left"/>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3. 经责令改正后及时完成整改；</w:t>
            </w:r>
          </w:p>
          <w:p w14:paraId="7FD098D5">
            <w:pPr>
              <w:widowControl/>
              <w:spacing w:line="240" w:lineRule="exact"/>
              <w:jc w:val="left"/>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4. 未造成大范围扬尘污染；</w:t>
            </w:r>
          </w:p>
          <w:p w14:paraId="46BC4AE2">
            <w:pPr>
              <w:widowControl/>
              <w:spacing w:line="240" w:lineRule="exact"/>
              <w:jc w:val="left"/>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5. 当事人配合检查调查。</w:t>
            </w:r>
          </w:p>
        </w:tc>
      </w:tr>
      <w:tr w14:paraId="4287297E">
        <w:tblPrEx>
          <w:tblCellMar>
            <w:top w:w="0" w:type="dxa"/>
            <w:left w:w="0" w:type="dxa"/>
            <w:bottom w:w="0" w:type="dxa"/>
            <w:right w:w="0" w:type="dxa"/>
          </w:tblCellMar>
        </w:tblPrEx>
        <w:trPr>
          <w:trHeight w:val="921" w:hRule="atLeast"/>
        </w:trPr>
        <w:tc>
          <w:tcPr>
            <w:tcW w:w="52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6E1506A2">
            <w:pPr>
              <w:widowControl/>
              <w:spacing w:line="240" w:lineRule="exact"/>
              <w:jc w:val="center"/>
              <w:textAlignment w:val="center"/>
              <w:rPr>
                <w:rFonts w:hint="default" w:ascii="仿宋" w:hAnsi="仿宋" w:eastAsia="仿宋" w:cs="仿宋"/>
                <w:color w:val="000000"/>
                <w:kern w:val="0"/>
                <w:sz w:val="21"/>
                <w:szCs w:val="21"/>
                <w:highlight w:val="none"/>
                <w:lang w:val="en-US" w:eastAsia="zh-CN" w:bidi="ar"/>
              </w:rPr>
            </w:pPr>
            <w:r>
              <w:rPr>
                <w:rFonts w:hint="eastAsia" w:ascii="仿宋" w:hAnsi="仿宋" w:eastAsia="仿宋" w:cs="仿宋"/>
                <w:color w:val="000000"/>
                <w:kern w:val="0"/>
                <w:sz w:val="21"/>
                <w:szCs w:val="21"/>
                <w:highlight w:val="none"/>
                <w:lang w:val="en-US" w:eastAsia="zh-CN" w:bidi="ar"/>
              </w:rPr>
              <w:t>14</w:t>
            </w:r>
          </w:p>
        </w:tc>
        <w:tc>
          <w:tcPr>
            <w:tcW w:w="1379"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09D97734">
            <w:pPr>
              <w:widowControl/>
              <w:spacing w:line="240" w:lineRule="exact"/>
              <w:jc w:val="center"/>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超过污染物排放标准或者重点污染物排放总量控制指标排放污染物的处罚</w:t>
            </w:r>
          </w:p>
        </w:tc>
        <w:tc>
          <w:tcPr>
            <w:tcW w:w="6937"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3CE3CBF2">
            <w:pPr>
              <w:widowControl/>
              <w:spacing w:line="240" w:lineRule="exact"/>
              <w:jc w:val="center"/>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中华人民共和国生态环境法典》第一千一百零七条：违反本法规定，超过污染物排放标准或者超过重点污染物排放总量控制指标排放污染物的，由生态环境主管部门责令改正，处十万元以上一百万元以下的罚款，可以责令限制生产、停产整治；情节严重的，报经有批准权的人民政府批准，责令停业、关闭。其中，污染物为工业噪声的，罚款数额为二万元以上二十万元以下。</w:t>
            </w:r>
          </w:p>
        </w:tc>
        <w:tc>
          <w:tcPr>
            <w:tcW w:w="14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7B66B477">
            <w:pPr>
              <w:widowControl/>
              <w:spacing w:line="240" w:lineRule="exact"/>
              <w:jc w:val="center"/>
              <w:textAlignment w:val="center"/>
              <w:rPr>
                <w:rFonts w:hint="eastAsia" w:ascii="仿宋" w:hAnsi="仿宋" w:eastAsia="仿宋" w:cs="仿宋"/>
                <w:color w:val="000000"/>
                <w:kern w:val="0"/>
                <w:sz w:val="21"/>
                <w:szCs w:val="21"/>
                <w:highlight w:val="none"/>
                <w:lang w:val="en-US" w:eastAsia="zh-CN" w:bidi="ar"/>
              </w:rPr>
            </w:pPr>
            <w:r>
              <w:rPr>
                <w:rFonts w:hint="eastAsia" w:ascii="仿宋" w:hAnsi="仿宋" w:eastAsia="仿宋" w:cs="仿宋"/>
                <w:color w:val="000000"/>
                <w:kern w:val="0"/>
                <w:sz w:val="21"/>
                <w:szCs w:val="21"/>
                <w:highlight w:val="none"/>
                <w:lang w:val="en-US" w:eastAsia="zh-CN" w:bidi="ar"/>
              </w:rPr>
              <w:t>首违免罚</w:t>
            </w:r>
          </w:p>
        </w:tc>
        <w:tc>
          <w:tcPr>
            <w:tcW w:w="24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0B0DD3C6">
            <w:pPr>
              <w:widowControl/>
              <w:spacing w:line="240" w:lineRule="exact"/>
              <w:jc w:val="left"/>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1. 三个月内初次发现；</w:t>
            </w:r>
          </w:p>
          <w:p w14:paraId="0B495B84">
            <w:pPr>
              <w:widowControl/>
              <w:spacing w:line="240" w:lineRule="exact"/>
              <w:jc w:val="left"/>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2. 常规污染物单因子超标倍数≤0.5 倍，或者 pH 值≥5 且≤10，或者噪声超标 5 分贝及以下；污水处理厂仅限进水水质超标等客观原因；</w:t>
            </w:r>
          </w:p>
          <w:p w14:paraId="585A56F3">
            <w:pPr>
              <w:widowControl/>
              <w:spacing w:line="240" w:lineRule="exact"/>
              <w:jc w:val="left"/>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3. 及时整改恢复达标排放；</w:t>
            </w:r>
          </w:p>
          <w:p w14:paraId="7B56A27B">
            <w:pPr>
              <w:widowControl/>
              <w:spacing w:line="240" w:lineRule="exact"/>
              <w:jc w:val="left"/>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4. 无重大环境污染后果；备注：不予行政处罚，不免除生态环境损害赔偿研判义务；</w:t>
            </w:r>
          </w:p>
          <w:p w14:paraId="0308AAF4">
            <w:pPr>
              <w:widowControl/>
              <w:spacing w:line="240" w:lineRule="exact"/>
              <w:jc w:val="left"/>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5. 当事人配合检查调查。</w:t>
            </w:r>
          </w:p>
        </w:tc>
      </w:tr>
      <w:tr w14:paraId="368EB011">
        <w:tblPrEx>
          <w:tblCellMar>
            <w:top w:w="0" w:type="dxa"/>
            <w:left w:w="0" w:type="dxa"/>
            <w:bottom w:w="0" w:type="dxa"/>
            <w:right w:w="0" w:type="dxa"/>
          </w:tblCellMar>
        </w:tblPrEx>
        <w:trPr>
          <w:trHeight w:val="921" w:hRule="atLeast"/>
        </w:trPr>
        <w:tc>
          <w:tcPr>
            <w:tcW w:w="52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64109C0E">
            <w:pPr>
              <w:widowControl/>
              <w:spacing w:line="240" w:lineRule="exact"/>
              <w:jc w:val="center"/>
              <w:textAlignment w:val="center"/>
              <w:rPr>
                <w:rFonts w:hint="default" w:ascii="仿宋" w:hAnsi="仿宋" w:eastAsia="仿宋" w:cs="仿宋"/>
                <w:color w:val="000000"/>
                <w:kern w:val="0"/>
                <w:sz w:val="21"/>
                <w:szCs w:val="21"/>
                <w:highlight w:val="none"/>
                <w:lang w:val="en-US" w:eastAsia="zh-CN" w:bidi="ar"/>
              </w:rPr>
            </w:pPr>
            <w:r>
              <w:rPr>
                <w:rFonts w:hint="eastAsia" w:ascii="仿宋" w:hAnsi="仿宋" w:eastAsia="仿宋" w:cs="仿宋"/>
                <w:color w:val="000000"/>
                <w:kern w:val="0"/>
                <w:sz w:val="21"/>
                <w:szCs w:val="21"/>
                <w:highlight w:val="none"/>
                <w:lang w:val="en-US" w:eastAsia="zh-CN" w:bidi="ar"/>
              </w:rPr>
              <w:t>15</w:t>
            </w:r>
          </w:p>
        </w:tc>
        <w:tc>
          <w:tcPr>
            <w:tcW w:w="1379"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3474AFAE">
            <w:pPr>
              <w:widowControl/>
              <w:spacing w:line="240" w:lineRule="exact"/>
              <w:jc w:val="center"/>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超过排污许可证载明许可限值排放污染物的处罚</w:t>
            </w:r>
          </w:p>
        </w:tc>
        <w:tc>
          <w:tcPr>
            <w:tcW w:w="6937"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14F2EE50">
            <w:pPr>
              <w:widowControl/>
              <w:spacing w:line="240" w:lineRule="exact"/>
              <w:jc w:val="center"/>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1.《中华人民共和国生态环境法典》第一千一百零三条：违反本法规定，未按照排污许可证载明的污染物排放种类，或者超过载明的许可排放浓度、许可排放量、许可排放限值排放污染物的，由生态环境主管部门责令改正，处十万元以上一百万元以下的罚款，并可以责令限制生产、停产整治；情节严重的，吊销排污许可证，报经有批准权的人民政府批准，责令停业、关闭。其中，污染物为工业噪声的，罚款数额为二万元以上二十万元以下。2.《排污许可管理条例》第三十四条第一项：违反本条例规定，排污单位有下列行为之一的，由生态环境主管部门责令改正或者限制生产、停产整治，处 20 万元以上 100 万元以下的罚款；情节严重的，吊销排污许可证，报经有批准权的人民政府批准，责令停业、关闭：（一）超过许可排放浓度、许可排放量排放污染物。</w:t>
            </w:r>
          </w:p>
        </w:tc>
        <w:tc>
          <w:tcPr>
            <w:tcW w:w="14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14B35361">
            <w:pPr>
              <w:widowControl/>
              <w:spacing w:line="240" w:lineRule="exact"/>
              <w:jc w:val="center"/>
              <w:textAlignment w:val="center"/>
              <w:rPr>
                <w:rFonts w:hint="eastAsia" w:ascii="仿宋" w:hAnsi="仿宋" w:eastAsia="仿宋" w:cs="仿宋"/>
                <w:color w:val="000000"/>
                <w:kern w:val="0"/>
                <w:sz w:val="21"/>
                <w:szCs w:val="21"/>
                <w:highlight w:val="none"/>
                <w:lang w:val="en-US" w:eastAsia="zh-CN" w:bidi="ar"/>
              </w:rPr>
            </w:pPr>
            <w:r>
              <w:rPr>
                <w:rFonts w:hint="eastAsia" w:ascii="仿宋" w:hAnsi="仿宋" w:eastAsia="仿宋" w:cs="仿宋"/>
                <w:color w:val="000000"/>
                <w:kern w:val="0"/>
                <w:sz w:val="21"/>
                <w:szCs w:val="21"/>
                <w:highlight w:val="none"/>
                <w:lang w:val="en-US" w:eastAsia="zh-CN" w:bidi="ar"/>
              </w:rPr>
              <w:t>首违免罚</w:t>
            </w:r>
          </w:p>
        </w:tc>
        <w:tc>
          <w:tcPr>
            <w:tcW w:w="24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1CC61BED">
            <w:pPr>
              <w:widowControl/>
              <w:spacing w:line="240" w:lineRule="exact"/>
              <w:jc w:val="left"/>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1. 三个月内初次发现；</w:t>
            </w:r>
          </w:p>
          <w:p w14:paraId="260E8DF3">
            <w:pPr>
              <w:widowControl/>
              <w:spacing w:line="240" w:lineRule="exact"/>
              <w:jc w:val="left"/>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2. 常规污染物单因子超标倍数≤0.5 倍，或者 pH 值≥5 且≤10，或者噪声超标 5 分贝及以下；污水处理厂仅限进水水质超标等客观原因；</w:t>
            </w:r>
          </w:p>
          <w:p w14:paraId="070BC7CB">
            <w:pPr>
              <w:widowControl/>
              <w:spacing w:line="240" w:lineRule="exact"/>
              <w:jc w:val="left"/>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3. 及时整改恢复达标排放；</w:t>
            </w:r>
          </w:p>
          <w:p w14:paraId="091BBF75">
            <w:pPr>
              <w:widowControl/>
              <w:spacing w:line="240" w:lineRule="exact"/>
              <w:jc w:val="left"/>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4. 无重大环境污染后果；备注：不予行政处罚，不免除生态环境损害赔偿研判义务；</w:t>
            </w:r>
          </w:p>
          <w:p w14:paraId="37397D76">
            <w:pPr>
              <w:widowControl/>
              <w:spacing w:line="240" w:lineRule="exact"/>
              <w:jc w:val="left"/>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5. 当事人配合检查调查。</w:t>
            </w:r>
          </w:p>
        </w:tc>
      </w:tr>
      <w:tr w14:paraId="6DF73631">
        <w:tblPrEx>
          <w:tblCellMar>
            <w:top w:w="0" w:type="dxa"/>
            <w:left w:w="0" w:type="dxa"/>
            <w:bottom w:w="0" w:type="dxa"/>
            <w:right w:w="0" w:type="dxa"/>
          </w:tblCellMar>
        </w:tblPrEx>
        <w:trPr>
          <w:trHeight w:val="921" w:hRule="atLeast"/>
        </w:trPr>
        <w:tc>
          <w:tcPr>
            <w:tcW w:w="52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1B163A53">
            <w:pPr>
              <w:widowControl/>
              <w:spacing w:line="240" w:lineRule="exact"/>
              <w:jc w:val="center"/>
              <w:textAlignment w:val="center"/>
              <w:rPr>
                <w:rFonts w:hint="default" w:ascii="仿宋" w:hAnsi="仿宋" w:eastAsia="仿宋" w:cs="仿宋"/>
                <w:color w:val="000000"/>
                <w:kern w:val="0"/>
                <w:sz w:val="21"/>
                <w:szCs w:val="21"/>
                <w:highlight w:val="none"/>
                <w:lang w:val="en-US" w:eastAsia="zh-CN" w:bidi="ar"/>
              </w:rPr>
            </w:pPr>
            <w:r>
              <w:rPr>
                <w:rFonts w:hint="eastAsia" w:ascii="仿宋" w:hAnsi="仿宋" w:eastAsia="仿宋" w:cs="仿宋"/>
                <w:color w:val="000000"/>
                <w:kern w:val="0"/>
                <w:sz w:val="21"/>
                <w:szCs w:val="21"/>
                <w:highlight w:val="none"/>
                <w:lang w:val="en-US" w:eastAsia="zh-CN" w:bidi="ar"/>
              </w:rPr>
              <w:t>16</w:t>
            </w:r>
          </w:p>
        </w:tc>
        <w:tc>
          <w:tcPr>
            <w:tcW w:w="1379"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702AE67B">
            <w:pPr>
              <w:widowControl/>
              <w:spacing w:line="240" w:lineRule="exact"/>
              <w:jc w:val="center"/>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生产使用含挥发性有机物原辅材料应当密闭而未密闭的处罚</w:t>
            </w:r>
          </w:p>
        </w:tc>
        <w:tc>
          <w:tcPr>
            <w:tcW w:w="6937"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02FF9F0A">
            <w:pPr>
              <w:widowControl/>
              <w:spacing w:line="240" w:lineRule="exact"/>
              <w:jc w:val="center"/>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val="en-US" w:eastAsia="zh-CN" w:bidi="ar"/>
              </w:rPr>
              <w:t>《</w:t>
            </w:r>
            <w:r>
              <w:rPr>
                <w:rFonts w:hint="eastAsia" w:ascii="仿宋" w:hAnsi="仿宋" w:eastAsia="仿宋" w:cs="仿宋"/>
                <w:color w:val="000000"/>
                <w:kern w:val="0"/>
                <w:sz w:val="21"/>
                <w:szCs w:val="21"/>
                <w:highlight w:val="none"/>
                <w:lang w:val="en-US" w:eastAsia="zh-CN" w:bidi="ar"/>
              </w:rPr>
              <w:t>中华人民共和国生态环境法典》第一千一百二十条第一款第二项：违反本法规定，有下列情形之一的，由生态环境主管部门责令改正，处二万元以上二十万元以下的罚款；拒不改正的，责令停产整治：（二）生产和使用产生含挥发性有机物原辅材料和产品，未在密闭空间或者设备中进行并安装、使用污染防治设施或者未采取减少废气排放措施。（只适用未密闭行为）</w:t>
            </w:r>
          </w:p>
          <w:p w14:paraId="17C627D1">
            <w:pPr>
              <w:widowControl/>
              <w:spacing w:line="240" w:lineRule="exact"/>
              <w:jc w:val="center"/>
              <w:textAlignment w:val="center"/>
              <w:rPr>
                <w:rFonts w:hint="eastAsia" w:ascii="仿宋" w:hAnsi="仿宋" w:eastAsia="仿宋" w:cs="仿宋"/>
                <w:color w:val="000000"/>
                <w:kern w:val="0"/>
                <w:sz w:val="21"/>
                <w:szCs w:val="21"/>
                <w:highlight w:val="none"/>
                <w:lang w:eastAsia="zh-CN" w:bidi="ar"/>
              </w:rPr>
            </w:pPr>
          </w:p>
        </w:tc>
        <w:tc>
          <w:tcPr>
            <w:tcW w:w="14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4527AD68">
            <w:pPr>
              <w:widowControl/>
              <w:spacing w:line="240" w:lineRule="exact"/>
              <w:jc w:val="center"/>
              <w:textAlignment w:val="center"/>
              <w:rPr>
                <w:rFonts w:hint="eastAsia" w:ascii="仿宋" w:hAnsi="仿宋" w:eastAsia="仿宋" w:cs="仿宋"/>
                <w:color w:val="000000"/>
                <w:kern w:val="0"/>
                <w:sz w:val="21"/>
                <w:szCs w:val="21"/>
                <w:highlight w:val="none"/>
                <w:lang w:val="en-US" w:eastAsia="zh-CN" w:bidi="ar"/>
              </w:rPr>
            </w:pPr>
            <w:r>
              <w:rPr>
                <w:rFonts w:hint="eastAsia" w:ascii="仿宋" w:hAnsi="仿宋" w:eastAsia="仿宋" w:cs="仿宋"/>
                <w:color w:val="000000"/>
                <w:kern w:val="0"/>
                <w:sz w:val="21"/>
                <w:szCs w:val="21"/>
                <w:highlight w:val="none"/>
                <w:lang w:val="en-US" w:eastAsia="zh-CN" w:bidi="ar"/>
              </w:rPr>
              <w:t>首违免罚</w:t>
            </w:r>
          </w:p>
        </w:tc>
        <w:tc>
          <w:tcPr>
            <w:tcW w:w="24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24A91FC1">
            <w:pPr>
              <w:widowControl/>
              <w:spacing w:line="240" w:lineRule="exact"/>
              <w:jc w:val="left"/>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1. 三个月内初次发现；</w:t>
            </w:r>
          </w:p>
          <w:p w14:paraId="6C98A9A4">
            <w:pPr>
              <w:widowControl/>
              <w:spacing w:line="240" w:lineRule="exact"/>
              <w:jc w:val="left"/>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2. 现场检查指出后立即改正；</w:t>
            </w:r>
          </w:p>
          <w:p w14:paraId="718B1B77">
            <w:pPr>
              <w:widowControl/>
              <w:spacing w:line="240" w:lineRule="exact"/>
              <w:jc w:val="left"/>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3. 未发生大量 VOCs 逸散，无明显恶臭扰民；</w:t>
            </w:r>
          </w:p>
          <w:p w14:paraId="71D955C4">
            <w:pPr>
              <w:widowControl/>
              <w:spacing w:line="240" w:lineRule="exact"/>
              <w:jc w:val="left"/>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4. 不属于故意闲置污染治理设施；</w:t>
            </w:r>
          </w:p>
          <w:p w14:paraId="6FEBDED4">
            <w:pPr>
              <w:widowControl/>
              <w:spacing w:line="240" w:lineRule="exact"/>
              <w:jc w:val="left"/>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5. 当事人配合检查调查。</w:t>
            </w:r>
          </w:p>
        </w:tc>
      </w:tr>
      <w:tr w14:paraId="7E360DD3">
        <w:tblPrEx>
          <w:tblCellMar>
            <w:top w:w="0" w:type="dxa"/>
            <w:left w:w="0" w:type="dxa"/>
            <w:bottom w:w="0" w:type="dxa"/>
            <w:right w:w="0" w:type="dxa"/>
          </w:tblCellMar>
        </w:tblPrEx>
        <w:trPr>
          <w:trHeight w:val="921" w:hRule="atLeast"/>
        </w:trPr>
        <w:tc>
          <w:tcPr>
            <w:tcW w:w="52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3FA53224">
            <w:pPr>
              <w:widowControl/>
              <w:spacing w:line="240" w:lineRule="exact"/>
              <w:jc w:val="center"/>
              <w:textAlignment w:val="center"/>
              <w:rPr>
                <w:rFonts w:hint="default" w:ascii="仿宋" w:hAnsi="仿宋" w:eastAsia="仿宋" w:cs="仿宋"/>
                <w:color w:val="000000"/>
                <w:kern w:val="0"/>
                <w:sz w:val="21"/>
                <w:szCs w:val="21"/>
                <w:highlight w:val="none"/>
                <w:lang w:val="en-US" w:eastAsia="zh-CN" w:bidi="ar"/>
              </w:rPr>
            </w:pPr>
            <w:r>
              <w:rPr>
                <w:rFonts w:hint="eastAsia" w:ascii="仿宋" w:hAnsi="仿宋" w:eastAsia="仿宋" w:cs="仿宋"/>
                <w:color w:val="000000"/>
                <w:kern w:val="0"/>
                <w:sz w:val="21"/>
                <w:szCs w:val="21"/>
                <w:highlight w:val="none"/>
                <w:lang w:val="en-US" w:eastAsia="zh-CN" w:bidi="ar"/>
              </w:rPr>
              <w:t>17</w:t>
            </w:r>
          </w:p>
        </w:tc>
        <w:tc>
          <w:tcPr>
            <w:tcW w:w="1379"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78581494">
            <w:pPr>
              <w:widowControl/>
              <w:spacing w:line="240" w:lineRule="exact"/>
              <w:jc w:val="center"/>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未按排污许可证规定运行维护污染防治设施的处罚</w:t>
            </w:r>
          </w:p>
        </w:tc>
        <w:tc>
          <w:tcPr>
            <w:tcW w:w="6937"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6123C74D">
            <w:pPr>
              <w:widowControl/>
              <w:spacing w:line="240" w:lineRule="exact"/>
              <w:jc w:val="center"/>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中华人民共和国生态环境法典》第一千一百零四条第一款：违反本法规定，未按照排污许可证的规定运行和维护污染防治设施的，由生态环境主管部门责令改正，处二万元以上五万元以下的罚款；致使污染防治设施不能正常发挥作用，但不属于以逃避监管方式排放污染物的，由生态环境主管部门责令改正，处五万元以上二十万元以下的罚款；情节严重的，责令限制生产、停产整治。</w:t>
            </w:r>
          </w:p>
        </w:tc>
        <w:tc>
          <w:tcPr>
            <w:tcW w:w="14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206F0F63">
            <w:pPr>
              <w:widowControl/>
              <w:spacing w:line="240" w:lineRule="exact"/>
              <w:jc w:val="center"/>
              <w:textAlignment w:val="center"/>
              <w:rPr>
                <w:rFonts w:hint="eastAsia" w:ascii="仿宋" w:hAnsi="仿宋" w:eastAsia="仿宋" w:cs="仿宋"/>
                <w:color w:val="000000"/>
                <w:kern w:val="0"/>
                <w:sz w:val="21"/>
                <w:szCs w:val="21"/>
                <w:highlight w:val="none"/>
                <w:lang w:val="en-US" w:eastAsia="zh-CN" w:bidi="ar"/>
              </w:rPr>
            </w:pPr>
            <w:r>
              <w:rPr>
                <w:rFonts w:hint="eastAsia" w:ascii="仿宋" w:hAnsi="仿宋" w:eastAsia="仿宋" w:cs="仿宋"/>
                <w:color w:val="000000"/>
                <w:kern w:val="0"/>
                <w:sz w:val="21"/>
                <w:szCs w:val="21"/>
                <w:highlight w:val="none"/>
                <w:lang w:val="en-US" w:eastAsia="zh-CN" w:bidi="ar"/>
              </w:rPr>
              <w:t>首违免罚</w:t>
            </w:r>
          </w:p>
        </w:tc>
        <w:tc>
          <w:tcPr>
            <w:tcW w:w="24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46B99FA1">
            <w:pPr>
              <w:widowControl/>
              <w:spacing w:line="240" w:lineRule="exact"/>
              <w:jc w:val="left"/>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1. 三个月内初次发现；</w:t>
            </w:r>
          </w:p>
          <w:p w14:paraId="29541037">
            <w:pPr>
              <w:widowControl/>
              <w:spacing w:line="240" w:lineRule="exact"/>
              <w:jc w:val="left"/>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2. 仅运维不规范，污染防治设施能够正常发挥作用；</w:t>
            </w:r>
          </w:p>
          <w:p w14:paraId="70E69F9F">
            <w:pPr>
              <w:widowControl/>
              <w:spacing w:line="240" w:lineRule="exact"/>
              <w:jc w:val="left"/>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3. 污染物达标排放；</w:t>
            </w:r>
          </w:p>
          <w:p w14:paraId="3FA72755">
            <w:pPr>
              <w:widowControl/>
              <w:spacing w:line="240" w:lineRule="exact"/>
              <w:jc w:val="left"/>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4. 现场检查指出后及时纠正运维问题；</w:t>
            </w:r>
          </w:p>
          <w:p w14:paraId="25277BC2">
            <w:pPr>
              <w:widowControl/>
              <w:spacing w:line="240" w:lineRule="exact"/>
              <w:jc w:val="left"/>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5. 不属于擅自拆除、闲置污染治理设施；</w:t>
            </w:r>
          </w:p>
          <w:p w14:paraId="3C64BEF6">
            <w:pPr>
              <w:widowControl/>
              <w:spacing w:line="240" w:lineRule="exact"/>
              <w:jc w:val="left"/>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6. 当事人配合检查调查。</w:t>
            </w:r>
          </w:p>
        </w:tc>
      </w:tr>
      <w:tr w14:paraId="0E489CC8">
        <w:tblPrEx>
          <w:tblCellMar>
            <w:top w:w="0" w:type="dxa"/>
            <w:left w:w="0" w:type="dxa"/>
            <w:bottom w:w="0" w:type="dxa"/>
            <w:right w:w="0" w:type="dxa"/>
          </w:tblCellMar>
        </w:tblPrEx>
        <w:trPr>
          <w:trHeight w:val="921" w:hRule="atLeast"/>
        </w:trPr>
        <w:tc>
          <w:tcPr>
            <w:tcW w:w="52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799F4A84">
            <w:pPr>
              <w:widowControl/>
              <w:spacing w:line="240" w:lineRule="exact"/>
              <w:jc w:val="center"/>
              <w:textAlignment w:val="center"/>
              <w:rPr>
                <w:rFonts w:hint="default" w:ascii="仿宋" w:hAnsi="仿宋" w:eastAsia="仿宋" w:cs="仿宋"/>
                <w:color w:val="000000"/>
                <w:kern w:val="0"/>
                <w:sz w:val="21"/>
                <w:szCs w:val="21"/>
                <w:highlight w:val="none"/>
                <w:lang w:val="en-US" w:eastAsia="zh-CN" w:bidi="ar"/>
              </w:rPr>
            </w:pPr>
            <w:r>
              <w:rPr>
                <w:rFonts w:hint="eastAsia" w:ascii="仿宋" w:hAnsi="仿宋" w:eastAsia="仿宋" w:cs="仿宋"/>
                <w:color w:val="000000"/>
                <w:kern w:val="0"/>
                <w:sz w:val="21"/>
                <w:szCs w:val="21"/>
                <w:highlight w:val="none"/>
                <w:lang w:val="en-US" w:eastAsia="zh-CN" w:bidi="ar"/>
              </w:rPr>
              <w:t>18</w:t>
            </w:r>
          </w:p>
        </w:tc>
        <w:tc>
          <w:tcPr>
            <w:tcW w:w="1379"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04E0228A">
            <w:pPr>
              <w:widowControl/>
              <w:spacing w:line="240" w:lineRule="exact"/>
              <w:jc w:val="center"/>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非主观故意因素污染防治设施不能正常发挥作用的处罚</w:t>
            </w:r>
          </w:p>
        </w:tc>
        <w:tc>
          <w:tcPr>
            <w:tcW w:w="6937"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4C2826A0">
            <w:pPr>
              <w:widowControl/>
              <w:spacing w:line="240" w:lineRule="exact"/>
              <w:jc w:val="center"/>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中华人民共和国生态环境法典》第一千一百零四条：违反本法规定，未按照排污许可证的规定运行和维护污染防治设施的，由生态环境主管部门责令改正，处二万元以上五万元以下的罚款；致使污染防治设施不能正常发挥作用，但不属于以逃避监管方式排放污染物的，由生态环境主管部门责令改正，处五万元以上二十万元以下的罚款；情节严重的，责令限制生产、停产整治。违反本法规定，擅自拆除污染防治设施的，由生态环境主管部门责令改正，处十万元以上一百万元以下的罚款；拒不改正的，责令限制生产、停产整治；情节严重的，吊销排污许可证，报经有批准权的人民政府批准，责令停业、关闭。</w:t>
            </w:r>
          </w:p>
        </w:tc>
        <w:tc>
          <w:tcPr>
            <w:tcW w:w="14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7D690AE4">
            <w:pPr>
              <w:widowControl/>
              <w:spacing w:line="240" w:lineRule="exact"/>
              <w:jc w:val="center"/>
              <w:textAlignment w:val="center"/>
              <w:rPr>
                <w:rFonts w:hint="eastAsia" w:ascii="仿宋" w:hAnsi="仿宋" w:eastAsia="仿宋" w:cs="仿宋"/>
                <w:color w:val="000000"/>
                <w:kern w:val="0"/>
                <w:sz w:val="21"/>
                <w:szCs w:val="21"/>
                <w:highlight w:val="none"/>
                <w:lang w:val="en-US" w:eastAsia="zh-CN" w:bidi="ar"/>
              </w:rPr>
            </w:pPr>
            <w:r>
              <w:rPr>
                <w:rFonts w:hint="eastAsia" w:ascii="仿宋" w:hAnsi="仿宋" w:eastAsia="仿宋" w:cs="仿宋"/>
                <w:color w:val="000000"/>
                <w:kern w:val="0"/>
                <w:sz w:val="21"/>
                <w:szCs w:val="21"/>
                <w:highlight w:val="none"/>
                <w:lang w:val="en-US" w:eastAsia="zh-CN" w:bidi="ar"/>
              </w:rPr>
              <w:t>首违免罚</w:t>
            </w:r>
          </w:p>
        </w:tc>
        <w:tc>
          <w:tcPr>
            <w:tcW w:w="24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1056F828">
            <w:pPr>
              <w:widowControl/>
              <w:spacing w:line="240" w:lineRule="exact"/>
              <w:jc w:val="left"/>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1. 三个月内初次发现；</w:t>
            </w:r>
          </w:p>
          <w:p w14:paraId="6A37E961">
            <w:pPr>
              <w:widowControl/>
              <w:spacing w:line="240" w:lineRule="exact"/>
              <w:jc w:val="left"/>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2. 属于突发故障，非主观故意偷排；</w:t>
            </w:r>
          </w:p>
          <w:p w14:paraId="59A3777D">
            <w:pPr>
              <w:widowControl/>
              <w:spacing w:line="240" w:lineRule="exact"/>
              <w:jc w:val="left"/>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3. 企业及时报告；</w:t>
            </w:r>
          </w:p>
          <w:p w14:paraId="15E43EDA">
            <w:pPr>
              <w:widowControl/>
              <w:spacing w:line="240" w:lineRule="exact"/>
              <w:jc w:val="left"/>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4. 主动采取停产、限产减少污染物排放；</w:t>
            </w:r>
          </w:p>
          <w:p w14:paraId="6B1A796B">
            <w:pPr>
              <w:widowControl/>
              <w:spacing w:line="240" w:lineRule="exact"/>
              <w:jc w:val="left"/>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5. 积极开展设施维修；</w:t>
            </w:r>
          </w:p>
          <w:p w14:paraId="4D0DAD21">
            <w:pPr>
              <w:widowControl/>
              <w:spacing w:line="240" w:lineRule="exact"/>
              <w:jc w:val="left"/>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6. 当事人配合检查调查。</w:t>
            </w:r>
          </w:p>
        </w:tc>
      </w:tr>
      <w:tr w14:paraId="7A5FD5EA">
        <w:tblPrEx>
          <w:tblCellMar>
            <w:top w:w="0" w:type="dxa"/>
            <w:left w:w="0" w:type="dxa"/>
            <w:bottom w:w="0" w:type="dxa"/>
            <w:right w:w="0" w:type="dxa"/>
          </w:tblCellMar>
        </w:tblPrEx>
        <w:trPr>
          <w:trHeight w:val="921" w:hRule="atLeast"/>
        </w:trPr>
        <w:tc>
          <w:tcPr>
            <w:tcW w:w="52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704DD691">
            <w:pPr>
              <w:widowControl/>
              <w:spacing w:line="240" w:lineRule="exact"/>
              <w:jc w:val="center"/>
              <w:textAlignment w:val="center"/>
              <w:rPr>
                <w:rFonts w:hint="default" w:ascii="仿宋" w:hAnsi="仿宋" w:eastAsia="仿宋" w:cs="仿宋"/>
                <w:color w:val="000000"/>
                <w:kern w:val="0"/>
                <w:sz w:val="21"/>
                <w:szCs w:val="21"/>
                <w:highlight w:val="none"/>
                <w:lang w:val="en-US" w:eastAsia="zh-CN" w:bidi="ar"/>
              </w:rPr>
            </w:pPr>
            <w:r>
              <w:rPr>
                <w:rFonts w:hint="eastAsia" w:ascii="仿宋" w:hAnsi="仿宋" w:eastAsia="仿宋" w:cs="仿宋"/>
                <w:color w:val="000000"/>
                <w:kern w:val="0"/>
                <w:sz w:val="21"/>
                <w:szCs w:val="21"/>
                <w:highlight w:val="none"/>
                <w:lang w:val="en-US" w:eastAsia="zh-CN" w:bidi="ar"/>
              </w:rPr>
              <w:t>19</w:t>
            </w:r>
          </w:p>
        </w:tc>
        <w:tc>
          <w:tcPr>
            <w:tcW w:w="1379"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38EC33AF">
            <w:pPr>
              <w:widowControl/>
              <w:spacing w:line="240" w:lineRule="exact"/>
              <w:jc w:val="center"/>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未按规范记录危险废物纸质管理台账的处罚</w:t>
            </w:r>
          </w:p>
        </w:tc>
        <w:tc>
          <w:tcPr>
            <w:tcW w:w="6937"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544BB6E2">
            <w:pPr>
              <w:widowControl/>
              <w:spacing w:line="240" w:lineRule="exact"/>
              <w:jc w:val="center"/>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中华人民共和国生态环境法典》第一千一百七十五条第一款第三项：违反本法规定，有下列情形之一的，由生态环境主管部门责令改正，没收违法所得，并处以罚款；情节严重的，报经有批准权的人民政府批准，责令停业或者关闭：（三）未建立危险废物管理台账并如实记录；有前款第一项、第二项、第三项、第四项、第六项、第七项、第九项、第十项、第十一项情形之一的，处五万元以上二十万元以下的罚款，拒不改正的，处二十万元以上一百万元以下的罚款；有前款第五项、第八项情形之一的，处二十万元以上二百万元以下的罚款。</w:t>
            </w:r>
          </w:p>
        </w:tc>
        <w:tc>
          <w:tcPr>
            <w:tcW w:w="14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13E5D661">
            <w:pPr>
              <w:widowControl/>
              <w:spacing w:line="240" w:lineRule="exact"/>
              <w:jc w:val="center"/>
              <w:textAlignment w:val="center"/>
              <w:rPr>
                <w:rFonts w:hint="eastAsia" w:ascii="仿宋" w:hAnsi="仿宋" w:eastAsia="仿宋" w:cs="仿宋"/>
                <w:color w:val="000000"/>
                <w:kern w:val="0"/>
                <w:sz w:val="21"/>
                <w:szCs w:val="21"/>
                <w:highlight w:val="none"/>
                <w:lang w:val="en-US" w:eastAsia="zh-CN" w:bidi="ar"/>
              </w:rPr>
            </w:pPr>
            <w:r>
              <w:rPr>
                <w:rFonts w:hint="eastAsia" w:ascii="仿宋" w:hAnsi="仿宋" w:eastAsia="仿宋" w:cs="仿宋"/>
                <w:color w:val="000000"/>
                <w:kern w:val="0"/>
                <w:sz w:val="21"/>
                <w:szCs w:val="21"/>
                <w:highlight w:val="none"/>
                <w:lang w:val="en-US" w:eastAsia="zh-CN" w:bidi="ar"/>
              </w:rPr>
              <w:t>首违免罚</w:t>
            </w:r>
          </w:p>
        </w:tc>
        <w:tc>
          <w:tcPr>
            <w:tcW w:w="24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5F36C330">
            <w:pPr>
              <w:widowControl/>
              <w:spacing w:line="240" w:lineRule="exact"/>
              <w:jc w:val="left"/>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1. 三个月内初次发现；</w:t>
            </w:r>
          </w:p>
          <w:p w14:paraId="02038434">
            <w:pPr>
              <w:widowControl/>
              <w:spacing w:line="240" w:lineRule="exact"/>
              <w:jc w:val="left"/>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2. 系统平台已完整申报危险废物种类、产生量、流向、贮存、处置等信息，仅纸质台账记录不规范；3. 现场指出后及时补全纸质台账；</w:t>
            </w:r>
          </w:p>
          <w:p w14:paraId="371C37D3">
            <w:pPr>
              <w:widowControl/>
              <w:spacing w:line="240" w:lineRule="exact"/>
              <w:jc w:val="left"/>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4. 危险废物流向清晰，无流失风险；</w:t>
            </w:r>
          </w:p>
          <w:p w14:paraId="3AE78935">
            <w:pPr>
              <w:widowControl/>
              <w:spacing w:line="240" w:lineRule="exact"/>
              <w:jc w:val="left"/>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5. 当事人配合检查调查。</w:t>
            </w:r>
          </w:p>
        </w:tc>
      </w:tr>
      <w:tr w14:paraId="422A8C3A">
        <w:tblPrEx>
          <w:tblCellMar>
            <w:top w:w="0" w:type="dxa"/>
            <w:left w:w="0" w:type="dxa"/>
            <w:bottom w:w="0" w:type="dxa"/>
            <w:right w:w="0" w:type="dxa"/>
          </w:tblCellMar>
        </w:tblPrEx>
        <w:trPr>
          <w:trHeight w:val="921" w:hRule="atLeast"/>
        </w:trPr>
        <w:tc>
          <w:tcPr>
            <w:tcW w:w="52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29DB7C23">
            <w:pPr>
              <w:widowControl/>
              <w:spacing w:line="240" w:lineRule="exact"/>
              <w:jc w:val="center"/>
              <w:textAlignment w:val="center"/>
              <w:rPr>
                <w:rFonts w:hint="default" w:ascii="仿宋" w:hAnsi="仿宋" w:eastAsia="仿宋" w:cs="仿宋"/>
                <w:color w:val="000000"/>
                <w:kern w:val="0"/>
                <w:sz w:val="21"/>
                <w:szCs w:val="21"/>
                <w:highlight w:val="none"/>
                <w:lang w:val="en-US" w:eastAsia="zh-CN" w:bidi="ar"/>
              </w:rPr>
            </w:pPr>
            <w:r>
              <w:rPr>
                <w:rFonts w:hint="eastAsia" w:ascii="仿宋" w:hAnsi="仿宋" w:eastAsia="仿宋" w:cs="仿宋"/>
                <w:color w:val="000000"/>
                <w:kern w:val="0"/>
                <w:sz w:val="21"/>
                <w:szCs w:val="21"/>
                <w:highlight w:val="none"/>
                <w:lang w:val="en-US" w:eastAsia="zh-CN" w:bidi="ar"/>
              </w:rPr>
              <w:t>20</w:t>
            </w:r>
          </w:p>
        </w:tc>
        <w:tc>
          <w:tcPr>
            <w:tcW w:w="1379"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6F3DF9F6">
            <w:pPr>
              <w:widowControl/>
              <w:spacing w:line="240" w:lineRule="exact"/>
              <w:jc w:val="center"/>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未按规定贮存工业固体废物的处罚</w:t>
            </w:r>
          </w:p>
        </w:tc>
        <w:tc>
          <w:tcPr>
            <w:tcW w:w="6937"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55C79914">
            <w:pPr>
              <w:widowControl/>
              <w:spacing w:line="240" w:lineRule="exact"/>
              <w:jc w:val="center"/>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中华人民共和国生态环境法典》第一千一百七十一条第一款第五项：违反本法规定，有下列情形之一的，由生态环境主管部门责令改正，没收违法所得，并处以罚款；情节严重的，报经有批准权的人民政府批准，责令停业、关闭：（五）贮存工业固体废物未采取符合国家生态环境保护标准的防护措施；有前款第三项情形的，处五万元以上五十万元以下的罚款；有前款除第三项以外情形之一的，处十万元以上一百万元以下的罚款。对前款第六项情形的处罚，有关法律、行政法规另有规定的，依照其规定。</w:t>
            </w:r>
          </w:p>
        </w:tc>
        <w:tc>
          <w:tcPr>
            <w:tcW w:w="14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158A74F5">
            <w:pPr>
              <w:widowControl/>
              <w:spacing w:line="240" w:lineRule="exact"/>
              <w:jc w:val="center"/>
              <w:textAlignment w:val="center"/>
              <w:rPr>
                <w:rFonts w:hint="eastAsia" w:ascii="仿宋" w:hAnsi="仿宋" w:eastAsia="仿宋" w:cs="仿宋"/>
                <w:color w:val="000000"/>
                <w:kern w:val="0"/>
                <w:sz w:val="21"/>
                <w:szCs w:val="21"/>
                <w:highlight w:val="none"/>
                <w:lang w:val="en-US" w:eastAsia="zh-CN" w:bidi="ar"/>
              </w:rPr>
            </w:pPr>
            <w:r>
              <w:rPr>
                <w:rFonts w:hint="eastAsia" w:ascii="仿宋" w:hAnsi="仿宋" w:eastAsia="仿宋" w:cs="仿宋"/>
                <w:color w:val="000000"/>
                <w:kern w:val="0"/>
                <w:sz w:val="21"/>
                <w:szCs w:val="21"/>
                <w:highlight w:val="none"/>
                <w:lang w:val="en-US" w:eastAsia="zh-CN" w:bidi="ar"/>
              </w:rPr>
              <w:t>首违免罚</w:t>
            </w:r>
          </w:p>
        </w:tc>
        <w:tc>
          <w:tcPr>
            <w:tcW w:w="24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48D7A54B">
            <w:pPr>
              <w:widowControl/>
              <w:spacing w:line="240" w:lineRule="exact"/>
              <w:jc w:val="left"/>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1. 三个月内初次发现；</w:t>
            </w:r>
          </w:p>
          <w:p w14:paraId="77F410E2">
            <w:pPr>
              <w:widowControl/>
              <w:spacing w:line="240" w:lineRule="exact"/>
              <w:jc w:val="left"/>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2. 未造成土壤、水体等环境污染；</w:t>
            </w:r>
          </w:p>
          <w:p w14:paraId="1CEAE41F">
            <w:pPr>
              <w:widowControl/>
              <w:spacing w:line="240" w:lineRule="exact"/>
              <w:jc w:val="left"/>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3. 经责令改正后及时完成整改；</w:t>
            </w:r>
          </w:p>
          <w:p w14:paraId="76B768C5">
            <w:pPr>
              <w:widowControl/>
              <w:spacing w:line="240" w:lineRule="exact"/>
              <w:jc w:val="left"/>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4. 不存在倾倒、遗弃工业固体废物行为；</w:t>
            </w:r>
          </w:p>
          <w:p w14:paraId="1F71611F">
            <w:pPr>
              <w:widowControl/>
              <w:spacing w:line="240" w:lineRule="exact"/>
              <w:jc w:val="left"/>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5. 当事人配合检查调查。</w:t>
            </w:r>
          </w:p>
        </w:tc>
      </w:tr>
      <w:tr w14:paraId="74943F46">
        <w:tblPrEx>
          <w:tblCellMar>
            <w:top w:w="0" w:type="dxa"/>
            <w:left w:w="0" w:type="dxa"/>
            <w:bottom w:w="0" w:type="dxa"/>
            <w:right w:w="0" w:type="dxa"/>
          </w:tblCellMar>
        </w:tblPrEx>
        <w:trPr>
          <w:trHeight w:val="921" w:hRule="atLeast"/>
        </w:trPr>
        <w:tc>
          <w:tcPr>
            <w:tcW w:w="52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5D932F84">
            <w:pPr>
              <w:widowControl/>
              <w:spacing w:line="240" w:lineRule="exact"/>
              <w:jc w:val="center"/>
              <w:textAlignment w:val="center"/>
              <w:rPr>
                <w:rFonts w:hint="default" w:ascii="仿宋" w:hAnsi="仿宋" w:eastAsia="仿宋" w:cs="仿宋"/>
                <w:color w:val="000000"/>
                <w:kern w:val="0"/>
                <w:sz w:val="21"/>
                <w:szCs w:val="21"/>
                <w:highlight w:val="none"/>
                <w:lang w:val="en-US" w:eastAsia="zh-CN" w:bidi="ar"/>
              </w:rPr>
            </w:pPr>
            <w:r>
              <w:rPr>
                <w:rFonts w:hint="eastAsia" w:ascii="仿宋" w:hAnsi="仿宋" w:eastAsia="仿宋" w:cs="仿宋"/>
                <w:color w:val="000000"/>
                <w:kern w:val="0"/>
                <w:sz w:val="21"/>
                <w:szCs w:val="21"/>
                <w:highlight w:val="none"/>
                <w:lang w:val="en-US" w:eastAsia="zh-CN" w:bidi="ar"/>
              </w:rPr>
              <w:t>21</w:t>
            </w:r>
          </w:p>
        </w:tc>
        <w:tc>
          <w:tcPr>
            <w:tcW w:w="1379"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2D39A248">
            <w:pPr>
              <w:widowControl/>
              <w:spacing w:line="240" w:lineRule="exact"/>
              <w:jc w:val="center"/>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设置入海排污口未备案的处罚</w:t>
            </w:r>
          </w:p>
        </w:tc>
        <w:tc>
          <w:tcPr>
            <w:tcW w:w="6937"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52CFC4E3">
            <w:pPr>
              <w:widowControl/>
              <w:spacing w:line="240" w:lineRule="exact"/>
              <w:jc w:val="center"/>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《中华人民共和国生态环境法典》第一千一百零九条第三款：违反本法规定，设置入海排污口未备案的，由生态环境主管部门责令改正，处二万元以上十万元以下的罚款。</w:t>
            </w:r>
          </w:p>
        </w:tc>
        <w:tc>
          <w:tcPr>
            <w:tcW w:w="14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65915B8F">
            <w:pPr>
              <w:widowControl/>
              <w:spacing w:line="240" w:lineRule="exact"/>
              <w:jc w:val="center"/>
              <w:textAlignment w:val="center"/>
              <w:rPr>
                <w:rFonts w:hint="eastAsia" w:ascii="仿宋" w:hAnsi="仿宋" w:eastAsia="仿宋" w:cs="仿宋"/>
                <w:color w:val="000000"/>
                <w:kern w:val="0"/>
                <w:sz w:val="21"/>
                <w:szCs w:val="21"/>
                <w:highlight w:val="none"/>
                <w:lang w:val="en-US" w:eastAsia="zh-CN" w:bidi="ar"/>
              </w:rPr>
            </w:pPr>
            <w:r>
              <w:rPr>
                <w:rFonts w:hint="eastAsia" w:ascii="仿宋" w:hAnsi="仿宋" w:eastAsia="仿宋" w:cs="仿宋"/>
                <w:color w:val="000000"/>
                <w:kern w:val="0"/>
                <w:sz w:val="21"/>
                <w:szCs w:val="21"/>
                <w:highlight w:val="none"/>
                <w:lang w:val="en-US" w:eastAsia="zh-CN" w:bidi="ar"/>
              </w:rPr>
              <w:t>轻微不罚</w:t>
            </w:r>
          </w:p>
        </w:tc>
        <w:tc>
          <w:tcPr>
            <w:tcW w:w="24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5C87B270">
            <w:pPr>
              <w:widowControl/>
              <w:spacing w:line="240" w:lineRule="exact"/>
              <w:jc w:val="left"/>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1. 排污口设置符合规划要求，排污行为达标；</w:t>
            </w:r>
          </w:p>
          <w:p w14:paraId="62B9EFE0">
            <w:pPr>
              <w:widowControl/>
              <w:spacing w:line="240" w:lineRule="exact"/>
              <w:jc w:val="left"/>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2. 仅未履行备案程序；</w:t>
            </w:r>
          </w:p>
          <w:p w14:paraId="64CFFE91">
            <w:pPr>
              <w:widowControl/>
              <w:spacing w:line="240" w:lineRule="exact"/>
              <w:jc w:val="left"/>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3. 责令改正后在整改期限内完成备案；</w:t>
            </w:r>
          </w:p>
          <w:p w14:paraId="508EF73B">
            <w:pPr>
              <w:widowControl/>
              <w:spacing w:line="240" w:lineRule="exact"/>
              <w:jc w:val="left"/>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4. 未造成海洋环境污染；5. 当事人配合检查调查。</w:t>
            </w:r>
          </w:p>
        </w:tc>
      </w:tr>
      <w:tr w14:paraId="5B639A21">
        <w:tblPrEx>
          <w:tblCellMar>
            <w:top w:w="0" w:type="dxa"/>
            <w:left w:w="0" w:type="dxa"/>
            <w:bottom w:w="0" w:type="dxa"/>
            <w:right w:w="0" w:type="dxa"/>
          </w:tblCellMar>
        </w:tblPrEx>
        <w:trPr>
          <w:trHeight w:val="921" w:hRule="atLeast"/>
        </w:trPr>
        <w:tc>
          <w:tcPr>
            <w:tcW w:w="52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0298BBBA">
            <w:pPr>
              <w:widowControl/>
              <w:spacing w:line="240" w:lineRule="exact"/>
              <w:jc w:val="center"/>
              <w:textAlignment w:val="center"/>
              <w:rPr>
                <w:rFonts w:hint="default" w:ascii="仿宋" w:hAnsi="仿宋" w:eastAsia="仿宋" w:cs="仿宋"/>
                <w:color w:val="000000"/>
                <w:kern w:val="0"/>
                <w:sz w:val="21"/>
                <w:szCs w:val="21"/>
                <w:highlight w:val="none"/>
                <w:lang w:val="en-US" w:eastAsia="zh-CN" w:bidi="ar"/>
              </w:rPr>
            </w:pPr>
            <w:r>
              <w:rPr>
                <w:rFonts w:hint="eastAsia" w:ascii="仿宋" w:hAnsi="仿宋" w:eastAsia="仿宋" w:cs="仿宋"/>
                <w:color w:val="000000"/>
                <w:kern w:val="0"/>
                <w:sz w:val="21"/>
                <w:szCs w:val="21"/>
                <w:highlight w:val="none"/>
                <w:lang w:val="en-US" w:eastAsia="zh-CN" w:bidi="ar"/>
              </w:rPr>
              <w:t>22</w:t>
            </w:r>
          </w:p>
        </w:tc>
        <w:tc>
          <w:tcPr>
            <w:tcW w:w="1379"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658A32D9">
            <w:pPr>
              <w:widowControl/>
              <w:spacing w:line="240" w:lineRule="exact"/>
              <w:jc w:val="center"/>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生态环境监测机构不依法备案的处罚</w:t>
            </w:r>
          </w:p>
        </w:tc>
        <w:tc>
          <w:tcPr>
            <w:tcW w:w="6937"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263A3570">
            <w:pPr>
              <w:widowControl/>
              <w:spacing w:line="240" w:lineRule="exact"/>
              <w:jc w:val="center"/>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中华人民共和国生态环境法典》第一千零八十九条第一款：违反本法规定，生态环境监测机构不具备相应的设施、设备、技术人员、技术能力、管理能力，或者不依法备案的，由生态环境主管部门责令改正，没收违法所得，并处二万元以上二十万元以下的罚款；拒不改正的，报经有批准权的人民政府批准，责令停业。</w:t>
            </w:r>
          </w:p>
        </w:tc>
        <w:tc>
          <w:tcPr>
            <w:tcW w:w="14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758F164C">
            <w:pPr>
              <w:widowControl/>
              <w:spacing w:line="240" w:lineRule="exact"/>
              <w:jc w:val="center"/>
              <w:textAlignment w:val="center"/>
              <w:rPr>
                <w:rFonts w:hint="eastAsia" w:ascii="仿宋" w:hAnsi="仿宋" w:eastAsia="仿宋" w:cs="仿宋"/>
                <w:color w:val="000000"/>
                <w:kern w:val="0"/>
                <w:sz w:val="21"/>
                <w:szCs w:val="21"/>
                <w:highlight w:val="none"/>
                <w:lang w:val="en-US" w:eastAsia="zh-CN" w:bidi="ar"/>
              </w:rPr>
            </w:pPr>
            <w:r>
              <w:rPr>
                <w:rFonts w:hint="eastAsia" w:ascii="仿宋" w:hAnsi="仿宋" w:eastAsia="仿宋" w:cs="仿宋"/>
                <w:color w:val="000000"/>
                <w:kern w:val="0"/>
                <w:sz w:val="21"/>
                <w:szCs w:val="21"/>
                <w:highlight w:val="none"/>
                <w:lang w:val="en-US" w:eastAsia="zh-CN" w:bidi="ar"/>
              </w:rPr>
              <w:t>轻微不罚</w:t>
            </w:r>
          </w:p>
        </w:tc>
        <w:tc>
          <w:tcPr>
            <w:tcW w:w="24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1DB6875A">
            <w:pPr>
              <w:widowControl/>
              <w:spacing w:line="240" w:lineRule="exact"/>
              <w:jc w:val="left"/>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1. 无监测数据造假、出具虚假报告行为；</w:t>
            </w:r>
          </w:p>
          <w:p w14:paraId="471DE0B4">
            <w:pPr>
              <w:widowControl/>
              <w:spacing w:line="240" w:lineRule="exact"/>
              <w:jc w:val="left"/>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2. 责令改正后在整改期限内完成备案；</w:t>
            </w:r>
          </w:p>
          <w:p w14:paraId="5CB1A20A">
            <w:pPr>
              <w:widowControl/>
              <w:spacing w:line="240" w:lineRule="exact"/>
              <w:jc w:val="left"/>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3. 违法行为轻微；</w:t>
            </w:r>
          </w:p>
          <w:p w14:paraId="57C01352">
            <w:pPr>
              <w:widowControl/>
              <w:spacing w:line="240" w:lineRule="exact"/>
              <w:jc w:val="left"/>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4. 当事人配合检查调查。</w:t>
            </w:r>
          </w:p>
        </w:tc>
      </w:tr>
      <w:tr w14:paraId="064F4E3C">
        <w:tblPrEx>
          <w:tblCellMar>
            <w:top w:w="0" w:type="dxa"/>
            <w:left w:w="0" w:type="dxa"/>
            <w:bottom w:w="0" w:type="dxa"/>
            <w:right w:w="0" w:type="dxa"/>
          </w:tblCellMar>
        </w:tblPrEx>
        <w:trPr>
          <w:trHeight w:val="921" w:hRule="atLeast"/>
        </w:trPr>
        <w:tc>
          <w:tcPr>
            <w:tcW w:w="52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7E4DDB8D">
            <w:pPr>
              <w:widowControl/>
              <w:spacing w:line="240" w:lineRule="exact"/>
              <w:jc w:val="center"/>
              <w:textAlignment w:val="center"/>
              <w:rPr>
                <w:rFonts w:hint="default" w:ascii="仿宋" w:hAnsi="仿宋" w:eastAsia="仿宋" w:cs="仿宋"/>
                <w:color w:val="000000"/>
                <w:kern w:val="0"/>
                <w:sz w:val="21"/>
                <w:szCs w:val="21"/>
                <w:highlight w:val="none"/>
                <w:lang w:val="en-US" w:eastAsia="zh-CN" w:bidi="ar"/>
              </w:rPr>
            </w:pPr>
            <w:r>
              <w:rPr>
                <w:rFonts w:hint="eastAsia" w:ascii="仿宋" w:hAnsi="仿宋" w:eastAsia="仿宋" w:cs="仿宋"/>
                <w:color w:val="000000"/>
                <w:kern w:val="0"/>
                <w:sz w:val="21"/>
                <w:szCs w:val="21"/>
                <w:highlight w:val="none"/>
                <w:lang w:val="en-US" w:eastAsia="zh-CN" w:bidi="ar"/>
              </w:rPr>
              <w:t>23</w:t>
            </w:r>
          </w:p>
        </w:tc>
        <w:tc>
          <w:tcPr>
            <w:tcW w:w="1379"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7AB90C42">
            <w:pPr>
              <w:widowControl/>
              <w:spacing w:line="240" w:lineRule="exact"/>
              <w:jc w:val="center"/>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排污单位未按规定保存原始监测记录的处罚</w:t>
            </w:r>
          </w:p>
        </w:tc>
        <w:tc>
          <w:tcPr>
            <w:tcW w:w="6937"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39E45F53">
            <w:pPr>
              <w:widowControl/>
              <w:spacing w:line="240" w:lineRule="exact"/>
              <w:jc w:val="center"/>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《排污许可管理条例》第三十六条第六项：违反本条例规定，排污单位有下列行为之一的，由生态环境主管部门责令改正，处 2 万元以上 20 万元以下的罚款；拒不改正的，责令停产整治：（六）未按照排污许可证规定保存原始监测记录。</w:t>
            </w:r>
          </w:p>
        </w:tc>
        <w:tc>
          <w:tcPr>
            <w:tcW w:w="14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5916E13F">
            <w:pPr>
              <w:widowControl/>
              <w:spacing w:line="240" w:lineRule="exact"/>
              <w:jc w:val="center"/>
              <w:textAlignment w:val="center"/>
              <w:rPr>
                <w:rFonts w:hint="eastAsia" w:ascii="仿宋" w:hAnsi="仿宋" w:eastAsia="仿宋" w:cs="仿宋"/>
                <w:color w:val="000000"/>
                <w:kern w:val="0"/>
                <w:sz w:val="21"/>
                <w:szCs w:val="21"/>
                <w:highlight w:val="none"/>
                <w:lang w:val="en-US" w:eastAsia="zh-CN" w:bidi="ar"/>
              </w:rPr>
            </w:pPr>
            <w:r>
              <w:rPr>
                <w:rFonts w:hint="eastAsia" w:ascii="仿宋" w:hAnsi="仿宋" w:eastAsia="仿宋" w:cs="仿宋"/>
                <w:color w:val="000000"/>
                <w:kern w:val="0"/>
                <w:sz w:val="21"/>
                <w:szCs w:val="21"/>
                <w:highlight w:val="none"/>
                <w:lang w:val="en-US" w:eastAsia="zh-CN" w:bidi="ar"/>
              </w:rPr>
              <w:t>首违免罚</w:t>
            </w:r>
          </w:p>
        </w:tc>
        <w:tc>
          <w:tcPr>
            <w:tcW w:w="24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2B983CC3">
            <w:pPr>
              <w:widowControl/>
              <w:spacing w:line="240" w:lineRule="exact"/>
              <w:jc w:val="left"/>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1. 三个月内初次发现；</w:t>
            </w:r>
          </w:p>
          <w:p w14:paraId="7EE6E49E">
            <w:pPr>
              <w:widowControl/>
              <w:spacing w:line="240" w:lineRule="exact"/>
              <w:jc w:val="left"/>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2. 监测活动真实，不存在篡改、销毁记录；</w:t>
            </w:r>
          </w:p>
          <w:p w14:paraId="65F94D46">
            <w:pPr>
              <w:widowControl/>
              <w:spacing w:line="240" w:lineRule="exact"/>
              <w:jc w:val="left"/>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3. 责令改正后及时补齐原始监测记录；</w:t>
            </w:r>
          </w:p>
          <w:p w14:paraId="3BD0CE05">
            <w:pPr>
              <w:widowControl/>
              <w:spacing w:line="240" w:lineRule="exact"/>
              <w:jc w:val="left"/>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4. 污染物排放达标；</w:t>
            </w:r>
          </w:p>
          <w:p w14:paraId="42BFC9CF">
            <w:pPr>
              <w:widowControl/>
              <w:spacing w:line="240" w:lineRule="exact"/>
              <w:jc w:val="left"/>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5. 当事人配合检查调查。</w:t>
            </w:r>
          </w:p>
        </w:tc>
      </w:tr>
      <w:tr w14:paraId="046B3169">
        <w:tblPrEx>
          <w:tblCellMar>
            <w:top w:w="0" w:type="dxa"/>
            <w:left w:w="0" w:type="dxa"/>
            <w:bottom w:w="0" w:type="dxa"/>
            <w:right w:w="0" w:type="dxa"/>
          </w:tblCellMar>
        </w:tblPrEx>
        <w:trPr>
          <w:trHeight w:val="921" w:hRule="atLeast"/>
        </w:trPr>
        <w:tc>
          <w:tcPr>
            <w:tcW w:w="52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6481A7B8">
            <w:pPr>
              <w:widowControl/>
              <w:spacing w:line="240" w:lineRule="exact"/>
              <w:jc w:val="center"/>
              <w:textAlignment w:val="center"/>
              <w:rPr>
                <w:rFonts w:hint="default" w:ascii="仿宋" w:hAnsi="仿宋" w:eastAsia="仿宋" w:cs="仿宋"/>
                <w:color w:val="000000"/>
                <w:kern w:val="0"/>
                <w:sz w:val="21"/>
                <w:szCs w:val="21"/>
                <w:highlight w:val="none"/>
                <w:lang w:val="en-US" w:eastAsia="zh-CN" w:bidi="ar"/>
              </w:rPr>
            </w:pPr>
            <w:r>
              <w:rPr>
                <w:rFonts w:hint="eastAsia" w:ascii="仿宋" w:hAnsi="仿宋" w:eastAsia="仿宋" w:cs="仿宋"/>
                <w:color w:val="000000"/>
                <w:kern w:val="0"/>
                <w:sz w:val="21"/>
                <w:szCs w:val="21"/>
                <w:highlight w:val="none"/>
                <w:lang w:val="en-US" w:eastAsia="zh-CN" w:bidi="ar"/>
              </w:rPr>
              <w:t>24</w:t>
            </w:r>
          </w:p>
        </w:tc>
        <w:tc>
          <w:tcPr>
            <w:tcW w:w="1379"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54444D2C">
            <w:pPr>
              <w:widowControl/>
              <w:spacing w:line="240" w:lineRule="exact"/>
              <w:jc w:val="center"/>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装卸物料未采取密闭或者喷淋抑尘措施的处罚</w:t>
            </w:r>
          </w:p>
        </w:tc>
        <w:tc>
          <w:tcPr>
            <w:tcW w:w="6937"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4A66B5F0">
            <w:pPr>
              <w:widowControl/>
              <w:spacing w:line="240" w:lineRule="exact"/>
              <w:jc w:val="center"/>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中华人民共和国生态环境法典》第一千一百三十条第一项：违反本法规定，有下列情形之一的，由生态环境等部门按照职责分工责令改正，处一万元以上十万元以下的罚款；拒不改正的，责令停工整治或者停业整治：（一）装卸物料未采取密闭或者喷淋等方式防治扬尘污染。</w:t>
            </w:r>
          </w:p>
        </w:tc>
        <w:tc>
          <w:tcPr>
            <w:tcW w:w="14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6CD30098">
            <w:pPr>
              <w:widowControl/>
              <w:spacing w:line="240" w:lineRule="exact"/>
              <w:jc w:val="center"/>
              <w:textAlignment w:val="center"/>
              <w:rPr>
                <w:rFonts w:hint="eastAsia" w:ascii="仿宋" w:hAnsi="仿宋" w:eastAsia="仿宋" w:cs="仿宋"/>
                <w:color w:val="000000"/>
                <w:kern w:val="0"/>
                <w:sz w:val="21"/>
                <w:szCs w:val="21"/>
                <w:highlight w:val="none"/>
                <w:lang w:val="en-US" w:eastAsia="zh-CN" w:bidi="ar"/>
              </w:rPr>
            </w:pPr>
            <w:r>
              <w:rPr>
                <w:rFonts w:hint="eastAsia" w:ascii="仿宋" w:hAnsi="仿宋" w:eastAsia="仿宋" w:cs="仿宋"/>
                <w:color w:val="000000"/>
                <w:kern w:val="0"/>
                <w:sz w:val="21"/>
                <w:szCs w:val="21"/>
                <w:highlight w:val="none"/>
                <w:lang w:val="en-US" w:eastAsia="zh-CN" w:bidi="ar"/>
              </w:rPr>
              <w:t>首违免罚</w:t>
            </w:r>
          </w:p>
        </w:tc>
        <w:tc>
          <w:tcPr>
            <w:tcW w:w="24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76193F35">
            <w:pPr>
              <w:widowControl/>
              <w:spacing w:line="240" w:lineRule="exact"/>
              <w:jc w:val="left"/>
              <w:textAlignment w:val="center"/>
              <w:rPr>
                <w:rFonts w:hint="eastAsia" w:ascii="仿宋" w:hAnsi="仿宋" w:eastAsia="仿宋" w:cs="仿宋"/>
                <w:color w:val="000000"/>
                <w:kern w:val="0"/>
                <w:sz w:val="21"/>
                <w:szCs w:val="21"/>
                <w:highlight w:val="none"/>
                <w:lang w:val="en-US" w:eastAsia="zh-CN" w:bidi="ar"/>
              </w:rPr>
            </w:pPr>
            <w:r>
              <w:rPr>
                <w:rFonts w:hint="eastAsia" w:ascii="仿宋" w:hAnsi="仿宋" w:eastAsia="仿宋" w:cs="仿宋"/>
                <w:color w:val="000000"/>
                <w:kern w:val="0"/>
                <w:sz w:val="21"/>
                <w:szCs w:val="21"/>
                <w:highlight w:val="none"/>
                <w:lang w:eastAsia="zh-CN" w:bidi="ar"/>
              </w:rPr>
              <w:t>1. 三个月内初次发现；</w:t>
            </w:r>
            <w:r>
              <w:rPr>
                <w:rFonts w:hint="eastAsia" w:ascii="仿宋" w:hAnsi="仿宋" w:eastAsia="仿宋" w:cs="仿宋"/>
                <w:color w:val="000000"/>
                <w:kern w:val="0"/>
                <w:sz w:val="21"/>
                <w:szCs w:val="21"/>
                <w:highlight w:val="none"/>
                <w:lang w:val="en-US" w:eastAsia="zh-CN" w:bidi="ar"/>
              </w:rPr>
              <w:t xml:space="preserve"> </w:t>
            </w:r>
          </w:p>
          <w:p w14:paraId="3F999E63">
            <w:pPr>
              <w:widowControl/>
              <w:spacing w:line="240" w:lineRule="exact"/>
              <w:jc w:val="left"/>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2. 现场检查指出后立即改正；</w:t>
            </w:r>
          </w:p>
          <w:p w14:paraId="1051D2B2">
            <w:pPr>
              <w:widowControl/>
              <w:spacing w:line="240" w:lineRule="exact"/>
              <w:jc w:val="left"/>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3. 仅短时扬尘，未造成较重扰民或者大范围污染；4. 当事人配合检查调查。</w:t>
            </w:r>
          </w:p>
        </w:tc>
      </w:tr>
      <w:tr w14:paraId="1BDE57F9">
        <w:trPr>
          <w:trHeight w:val="921" w:hRule="atLeast"/>
        </w:trPr>
        <w:tc>
          <w:tcPr>
            <w:tcW w:w="52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77DD7DBE">
            <w:pPr>
              <w:widowControl/>
              <w:spacing w:line="240" w:lineRule="exact"/>
              <w:jc w:val="center"/>
              <w:textAlignment w:val="center"/>
              <w:rPr>
                <w:rFonts w:hint="default" w:ascii="仿宋" w:hAnsi="仿宋" w:eastAsia="仿宋" w:cs="仿宋"/>
                <w:color w:val="000000"/>
                <w:kern w:val="0"/>
                <w:sz w:val="21"/>
                <w:szCs w:val="21"/>
                <w:highlight w:val="none"/>
                <w:lang w:val="en-US" w:eastAsia="zh-CN" w:bidi="ar"/>
              </w:rPr>
            </w:pPr>
            <w:r>
              <w:rPr>
                <w:rFonts w:hint="eastAsia" w:ascii="仿宋" w:hAnsi="仿宋" w:eastAsia="仿宋" w:cs="仿宋"/>
                <w:color w:val="000000"/>
                <w:kern w:val="0"/>
                <w:sz w:val="21"/>
                <w:szCs w:val="21"/>
                <w:highlight w:val="none"/>
                <w:lang w:val="en-US" w:eastAsia="zh-CN" w:bidi="ar"/>
              </w:rPr>
              <w:t>25</w:t>
            </w:r>
          </w:p>
        </w:tc>
        <w:tc>
          <w:tcPr>
            <w:tcW w:w="1379"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5A8F0B72">
            <w:pPr>
              <w:widowControl/>
              <w:spacing w:line="240" w:lineRule="exact"/>
              <w:jc w:val="center"/>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工业企业未采取抑尘措施控制粉尘和气态污染物排放的处罚</w:t>
            </w:r>
          </w:p>
        </w:tc>
        <w:tc>
          <w:tcPr>
            <w:tcW w:w="6937"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26FB18B8">
            <w:pPr>
              <w:widowControl/>
              <w:spacing w:line="240" w:lineRule="exact"/>
              <w:jc w:val="center"/>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中华人民共和国生态环境法典》第一千一百二十条第一款第五项：违反本法规定，有下列情形之一的，由生态环境主管部门责令改正，处二万元以上二十万元以下的罚款；拒不改正的，责令停产整治：（五）钢铁、建材、有色金属、石油、化工、制药、矿产开采企业和其他工业生产企业，未采取集中收集处理、密闭、围挡、遮盖、清扫、洒水等措施，控制、减少粉尘和气态污染物的排放。</w:t>
            </w:r>
          </w:p>
        </w:tc>
        <w:tc>
          <w:tcPr>
            <w:tcW w:w="14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446407E3">
            <w:pPr>
              <w:widowControl/>
              <w:spacing w:line="240" w:lineRule="exact"/>
              <w:jc w:val="center"/>
              <w:textAlignment w:val="center"/>
              <w:rPr>
                <w:rFonts w:hint="eastAsia" w:ascii="仿宋" w:hAnsi="仿宋" w:eastAsia="仿宋" w:cs="仿宋"/>
                <w:color w:val="000000"/>
                <w:kern w:val="0"/>
                <w:sz w:val="21"/>
                <w:szCs w:val="21"/>
                <w:highlight w:val="none"/>
                <w:lang w:val="en-US" w:eastAsia="zh-CN" w:bidi="ar"/>
              </w:rPr>
            </w:pPr>
            <w:r>
              <w:rPr>
                <w:rFonts w:hint="eastAsia" w:ascii="仿宋" w:hAnsi="仿宋" w:eastAsia="仿宋" w:cs="仿宋"/>
                <w:color w:val="000000"/>
                <w:kern w:val="0"/>
                <w:sz w:val="21"/>
                <w:szCs w:val="21"/>
                <w:highlight w:val="none"/>
                <w:lang w:val="en-US" w:eastAsia="zh-CN" w:bidi="ar"/>
              </w:rPr>
              <w:t>首违免罚</w:t>
            </w:r>
          </w:p>
        </w:tc>
        <w:tc>
          <w:tcPr>
            <w:tcW w:w="24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4434894C">
            <w:pPr>
              <w:widowControl/>
              <w:spacing w:line="240" w:lineRule="exact"/>
              <w:jc w:val="left"/>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1. 三个月内初次发现；</w:t>
            </w:r>
          </w:p>
          <w:p w14:paraId="43EEBF68">
            <w:pPr>
              <w:widowControl/>
              <w:spacing w:line="240" w:lineRule="exact"/>
              <w:jc w:val="left"/>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2. 现场检查指出后立即改正；</w:t>
            </w:r>
          </w:p>
          <w:p w14:paraId="2FB52730">
            <w:pPr>
              <w:widowControl/>
              <w:spacing w:line="240" w:lineRule="exact"/>
              <w:jc w:val="left"/>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3. 无持续性大量无组织排放；</w:t>
            </w:r>
          </w:p>
          <w:p w14:paraId="5AB10869">
            <w:pPr>
              <w:widowControl/>
              <w:spacing w:line="240" w:lineRule="exact"/>
              <w:jc w:val="left"/>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4. 未造成明显污染后果；5. 当事人配合检查调查。</w:t>
            </w:r>
          </w:p>
        </w:tc>
      </w:tr>
      <w:tr w14:paraId="7BA59DB6">
        <w:tblPrEx>
          <w:tblCellMar>
            <w:top w:w="0" w:type="dxa"/>
            <w:left w:w="0" w:type="dxa"/>
            <w:bottom w:w="0" w:type="dxa"/>
            <w:right w:w="0" w:type="dxa"/>
          </w:tblCellMar>
        </w:tblPrEx>
        <w:trPr>
          <w:trHeight w:val="921" w:hRule="atLeast"/>
        </w:trPr>
        <w:tc>
          <w:tcPr>
            <w:tcW w:w="52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33110FEB">
            <w:pPr>
              <w:widowControl/>
              <w:spacing w:line="240" w:lineRule="exact"/>
              <w:jc w:val="center"/>
              <w:textAlignment w:val="center"/>
              <w:rPr>
                <w:rFonts w:hint="default" w:ascii="仿宋" w:hAnsi="仿宋" w:eastAsia="仿宋" w:cs="仿宋"/>
                <w:color w:val="000000"/>
                <w:kern w:val="0"/>
                <w:sz w:val="21"/>
                <w:szCs w:val="21"/>
                <w:highlight w:val="none"/>
                <w:lang w:val="en-US" w:eastAsia="zh-CN" w:bidi="ar"/>
              </w:rPr>
            </w:pPr>
            <w:r>
              <w:rPr>
                <w:rFonts w:hint="eastAsia" w:ascii="仿宋" w:hAnsi="仿宋" w:eastAsia="仿宋" w:cs="仿宋"/>
                <w:color w:val="000000"/>
                <w:kern w:val="0"/>
                <w:sz w:val="21"/>
                <w:szCs w:val="21"/>
                <w:highlight w:val="none"/>
                <w:lang w:val="en-US" w:eastAsia="zh-CN" w:bidi="ar"/>
              </w:rPr>
              <w:t>26</w:t>
            </w:r>
          </w:p>
        </w:tc>
        <w:tc>
          <w:tcPr>
            <w:tcW w:w="1379"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6D7F2F9D">
            <w:pPr>
              <w:widowControl/>
              <w:spacing w:line="240" w:lineRule="exact"/>
              <w:jc w:val="center"/>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未对有毒有害污染物排污口及周边开展监测的处罚</w:t>
            </w:r>
          </w:p>
        </w:tc>
        <w:tc>
          <w:tcPr>
            <w:tcW w:w="6937"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746BD892">
            <w:pPr>
              <w:widowControl/>
              <w:spacing w:line="240" w:lineRule="exact"/>
              <w:jc w:val="center"/>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中华人民共和国生态环境法典》第一千零八十六条第一款第三项：违反本法规定，有下列情形之一的，由负有生态环境保护监督管理职责的部门、机构按照职责分工责令改正，处二万元以上二十万元以下的罚款；拒不改正的，可以责令限制生产、停产整治：（三）未对排放有毒有害污染物的排污口和周边环境进行监测，以及未公开有毒有害污染物信息。</w:t>
            </w:r>
          </w:p>
        </w:tc>
        <w:tc>
          <w:tcPr>
            <w:tcW w:w="14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763C6340">
            <w:pPr>
              <w:widowControl/>
              <w:spacing w:line="240" w:lineRule="exact"/>
              <w:jc w:val="center"/>
              <w:textAlignment w:val="center"/>
              <w:rPr>
                <w:rFonts w:hint="eastAsia" w:ascii="仿宋" w:hAnsi="仿宋" w:eastAsia="仿宋" w:cs="仿宋"/>
                <w:color w:val="000000"/>
                <w:kern w:val="0"/>
                <w:sz w:val="21"/>
                <w:szCs w:val="21"/>
                <w:highlight w:val="none"/>
                <w:lang w:val="en-US" w:eastAsia="zh-CN" w:bidi="ar"/>
              </w:rPr>
            </w:pPr>
            <w:r>
              <w:rPr>
                <w:rFonts w:hint="eastAsia" w:ascii="仿宋" w:hAnsi="仿宋" w:eastAsia="仿宋" w:cs="仿宋"/>
                <w:color w:val="000000"/>
                <w:kern w:val="0"/>
                <w:sz w:val="21"/>
                <w:szCs w:val="21"/>
                <w:highlight w:val="none"/>
                <w:lang w:val="en-US" w:eastAsia="zh-CN" w:bidi="ar"/>
              </w:rPr>
              <w:t>首违免罚</w:t>
            </w:r>
          </w:p>
        </w:tc>
        <w:tc>
          <w:tcPr>
            <w:tcW w:w="24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2AAC6C0A">
            <w:pPr>
              <w:widowControl/>
              <w:spacing w:line="240" w:lineRule="exact"/>
              <w:jc w:val="left"/>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1. 三个月内初次发现；</w:t>
            </w:r>
          </w:p>
          <w:p w14:paraId="7FAC4160">
            <w:pPr>
              <w:widowControl/>
              <w:spacing w:line="240" w:lineRule="exact"/>
              <w:jc w:val="left"/>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2. 排污口污染物排放达标；</w:t>
            </w:r>
          </w:p>
          <w:p w14:paraId="35A0F272">
            <w:pPr>
              <w:widowControl/>
              <w:spacing w:line="240" w:lineRule="exact"/>
              <w:jc w:val="left"/>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3. 责令改正后 5 日内按要求完成监测；</w:t>
            </w:r>
          </w:p>
          <w:p w14:paraId="0BAE2E93">
            <w:pPr>
              <w:widowControl/>
              <w:spacing w:line="240" w:lineRule="exact"/>
              <w:jc w:val="left"/>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4. 监测报告真实完整；</w:t>
            </w:r>
          </w:p>
          <w:p w14:paraId="3B0CE084">
            <w:pPr>
              <w:widowControl/>
              <w:spacing w:line="240" w:lineRule="exact"/>
              <w:jc w:val="left"/>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5. 当事人配合检查调查。</w:t>
            </w:r>
          </w:p>
        </w:tc>
      </w:tr>
      <w:tr w14:paraId="62986D27">
        <w:tblPrEx>
          <w:tblCellMar>
            <w:top w:w="0" w:type="dxa"/>
            <w:left w:w="0" w:type="dxa"/>
            <w:bottom w:w="0" w:type="dxa"/>
            <w:right w:w="0" w:type="dxa"/>
          </w:tblCellMar>
        </w:tblPrEx>
        <w:trPr>
          <w:trHeight w:val="921" w:hRule="atLeast"/>
        </w:trPr>
        <w:tc>
          <w:tcPr>
            <w:tcW w:w="52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77C35073">
            <w:pPr>
              <w:widowControl/>
              <w:spacing w:line="240" w:lineRule="exact"/>
              <w:jc w:val="center"/>
              <w:textAlignment w:val="center"/>
              <w:rPr>
                <w:rFonts w:hint="default" w:ascii="仿宋" w:hAnsi="仿宋" w:eastAsia="仿宋" w:cs="仿宋"/>
                <w:color w:val="000000"/>
                <w:kern w:val="0"/>
                <w:sz w:val="21"/>
                <w:szCs w:val="21"/>
                <w:highlight w:val="none"/>
                <w:lang w:val="en-US" w:eastAsia="zh-CN" w:bidi="ar"/>
              </w:rPr>
            </w:pPr>
            <w:r>
              <w:rPr>
                <w:rFonts w:hint="eastAsia" w:ascii="仿宋" w:hAnsi="仿宋" w:eastAsia="仿宋" w:cs="仿宋"/>
                <w:color w:val="000000"/>
                <w:kern w:val="0"/>
                <w:sz w:val="21"/>
                <w:szCs w:val="21"/>
                <w:highlight w:val="none"/>
                <w:lang w:val="en-US" w:eastAsia="zh-CN" w:bidi="ar"/>
              </w:rPr>
              <w:t>27</w:t>
            </w:r>
          </w:p>
        </w:tc>
        <w:tc>
          <w:tcPr>
            <w:tcW w:w="1379"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4DF774DA">
            <w:pPr>
              <w:widowControl/>
              <w:spacing w:line="240" w:lineRule="exact"/>
              <w:jc w:val="center"/>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其他生态环境轻微违法行为不予行政处罚兜底条款</w:t>
            </w:r>
          </w:p>
        </w:tc>
        <w:tc>
          <w:tcPr>
            <w:tcW w:w="6937"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64BB56DF">
            <w:pPr>
              <w:widowControl/>
              <w:spacing w:line="240" w:lineRule="exact"/>
              <w:jc w:val="center"/>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《中华人民共和国行政处罚法》第三十三条</w:t>
            </w:r>
          </w:p>
        </w:tc>
        <w:tc>
          <w:tcPr>
            <w:tcW w:w="14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150F97AF">
            <w:pPr>
              <w:widowControl/>
              <w:spacing w:line="240" w:lineRule="exact"/>
              <w:jc w:val="center"/>
              <w:textAlignment w:val="center"/>
              <w:rPr>
                <w:rFonts w:hint="eastAsia" w:ascii="仿宋" w:hAnsi="仿宋" w:eastAsia="仿宋" w:cs="仿宋"/>
                <w:color w:val="000000"/>
                <w:kern w:val="0"/>
                <w:sz w:val="21"/>
                <w:szCs w:val="21"/>
                <w:highlight w:val="none"/>
                <w:lang w:val="en-US" w:eastAsia="zh-CN" w:bidi="ar"/>
              </w:rPr>
            </w:pPr>
            <w:r>
              <w:rPr>
                <w:rFonts w:hint="eastAsia" w:ascii="仿宋" w:hAnsi="仿宋" w:eastAsia="仿宋" w:cs="仿宋"/>
                <w:color w:val="000000"/>
                <w:kern w:val="0"/>
                <w:sz w:val="21"/>
                <w:szCs w:val="21"/>
                <w:highlight w:val="none"/>
                <w:lang w:val="en-US" w:eastAsia="zh-CN" w:bidi="ar"/>
              </w:rPr>
              <w:t>轻微不罚 / 首违免罚</w:t>
            </w:r>
          </w:p>
        </w:tc>
        <w:tc>
          <w:tcPr>
            <w:tcW w:w="24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1EE96612">
            <w:pPr>
              <w:widowControl/>
              <w:spacing w:line="240" w:lineRule="exact"/>
              <w:jc w:val="both"/>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 1. 轻微不罚：违法行为轻微并及时纠正，没有造成环境污染危害后果。</w:t>
            </w:r>
          </w:p>
          <w:p w14:paraId="6E411F2E">
            <w:pPr>
              <w:widowControl/>
              <w:spacing w:line="240" w:lineRule="exact"/>
              <w:jc w:val="both"/>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2. 首违免罚：初次违法且危害后果轻微并及时改正。</w:t>
            </w:r>
          </w:p>
          <w:p w14:paraId="4278DEC7">
            <w:pPr>
              <w:widowControl/>
              <w:spacing w:line="240" w:lineRule="exact"/>
              <w:jc w:val="both"/>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3. 做好调查取证、教育告诫；不予行政处罚不等于免除生态环境损害赔偿研判义务。 |</w:t>
            </w:r>
          </w:p>
          <w:p w14:paraId="2E42A3D9">
            <w:pPr>
              <w:widowControl/>
              <w:spacing w:line="240" w:lineRule="exact"/>
              <w:jc w:val="left"/>
              <w:textAlignment w:val="center"/>
              <w:rPr>
                <w:rFonts w:hint="eastAsia" w:ascii="仿宋" w:hAnsi="仿宋" w:eastAsia="仿宋" w:cs="仿宋"/>
                <w:color w:val="000000"/>
                <w:kern w:val="0"/>
                <w:sz w:val="21"/>
                <w:szCs w:val="21"/>
                <w:highlight w:val="none"/>
                <w:lang w:eastAsia="zh-CN" w:bidi="ar"/>
              </w:rPr>
            </w:pPr>
            <w:r>
              <w:rPr>
                <w:rFonts w:hint="eastAsia" w:ascii="仿宋" w:hAnsi="仿宋" w:eastAsia="仿宋" w:cs="仿宋"/>
                <w:color w:val="000000"/>
                <w:kern w:val="0"/>
                <w:sz w:val="21"/>
                <w:szCs w:val="21"/>
                <w:highlight w:val="none"/>
                <w:lang w:eastAsia="zh-CN" w:bidi="ar"/>
              </w:rPr>
              <w:t>| --- |</w:t>
            </w:r>
          </w:p>
        </w:tc>
      </w:tr>
    </w:tbl>
    <w:p w14:paraId="72C0B1FE">
      <w:pPr>
        <w:keepNext w:val="0"/>
        <w:keepLines w:val="0"/>
        <w:pageBreakBefore w:val="0"/>
        <w:widowControl w:val="0"/>
        <w:kinsoku/>
        <w:wordWrap/>
        <w:overflowPunct/>
        <w:topLinePunct w:val="0"/>
        <w:autoSpaceDE/>
        <w:autoSpaceDN/>
        <w:bidi w:val="0"/>
        <w:adjustRightInd/>
        <w:snapToGrid/>
        <w:spacing w:line="700" w:lineRule="exact"/>
        <w:jc w:val="left"/>
        <w:textAlignment w:val="auto"/>
        <w:rPr>
          <w:rFonts w:hint="eastAsia" w:ascii="方正黑体_GBK" w:hAnsi="方正黑体_GBK" w:eastAsia="方正黑体_GBK" w:cs="方正黑体_GBK"/>
          <w:sz w:val="32"/>
          <w:szCs w:val="32"/>
        </w:rPr>
        <w:sectPr>
          <w:footerReference r:id="rId3" w:type="default"/>
          <w:pgSz w:w="16838" w:h="11906" w:orient="landscape"/>
          <w:pgMar w:top="1587" w:right="2098" w:bottom="1474" w:left="1984" w:header="851" w:footer="992" w:gutter="0"/>
          <w:pgNumType w:fmt="decimal"/>
          <w:cols w:space="720" w:num="1"/>
          <w:rtlGutter w:val="0"/>
          <w:docGrid w:type="lines" w:linePitch="315" w:charSpace="0"/>
        </w:sectPr>
      </w:pPr>
    </w:p>
    <w:p w14:paraId="35CA3665">
      <w:pPr>
        <w:keepNext w:val="0"/>
        <w:keepLines w:val="0"/>
        <w:pageBreakBefore w:val="0"/>
        <w:widowControl w:val="0"/>
        <w:kinsoku/>
        <w:wordWrap/>
        <w:overflowPunct/>
        <w:topLinePunct w:val="0"/>
        <w:autoSpaceDE/>
        <w:autoSpaceDN/>
        <w:bidi w:val="0"/>
        <w:adjustRightInd/>
        <w:snapToGrid/>
        <w:spacing w:line="700" w:lineRule="exact"/>
        <w:jc w:val="both"/>
        <w:textAlignment w:val="auto"/>
        <w:rPr>
          <w:rFonts w:ascii="宋体" w:hAnsi="宋体" w:eastAsia="方正小标宋简体"/>
          <w:sz w:val="44"/>
          <w:szCs w:val="44"/>
        </w:rPr>
      </w:pPr>
      <w:r>
        <w:rPr>
          <w:rFonts w:hint="eastAsia" w:ascii="宋体" w:hAnsi="宋体" w:eastAsia="方正小标宋简体"/>
          <w:spacing w:val="1"/>
          <w:w w:val="95"/>
          <w:kern w:val="0"/>
          <w:sz w:val="44"/>
          <w:szCs w:val="44"/>
          <w:fitText w:val="9152" w:id="-4393080"/>
          <w:lang w:eastAsia="zh-CN"/>
        </w:rPr>
        <w:t>唐山市</w:t>
      </w:r>
      <w:r>
        <w:rPr>
          <w:rFonts w:hint="eastAsia" w:ascii="宋体" w:hAnsi="宋体" w:eastAsia="方正小标宋简体"/>
          <w:spacing w:val="1"/>
          <w:w w:val="95"/>
          <w:kern w:val="0"/>
          <w:sz w:val="44"/>
          <w:szCs w:val="44"/>
          <w:fitText w:val="9152" w:id="-4393080"/>
          <w:lang w:val="en-US" w:eastAsia="zh-CN"/>
        </w:rPr>
        <w:t>XX</w:t>
      </w:r>
      <w:r>
        <w:rPr>
          <w:rFonts w:hint="eastAsia" w:ascii="宋体" w:hAnsi="宋体" w:eastAsia="方正小标宋简体"/>
          <w:spacing w:val="1"/>
          <w:w w:val="95"/>
          <w:kern w:val="0"/>
          <w:sz w:val="44"/>
          <w:szCs w:val="44"/>
          <w:fitText w:val="9152" w:id="-4393080"/>
          <w:lang w:eastAsia="zh-CN"/>
        </w:rPr>
        <w:t>领域包容免罚</w:t>
      </w:r>
      <w:r>
        <w:rPr>
          <w:rFonts w:hint="eastAsia" w:ascii="宋体" w:hAnsi="宋体" w:eastAsia="方正小标宋简体"/>
          <w:spacing w:val="1"/>
          <w:w w:val="95"/>
          <w:kern w:val="0"/>
          <w:sz w:val="44"/>
          <w:szCs w:val="44"/>
          <w:fitText w:val="9152" w:id="-4393080"/>
        </w:rPr>
        <w:t>告知承诺书</w:t>
      </w:r>
      <w:r>
        <w:rPr>
          <w:rFonts w:hint="eastAsia" w:ascii="方正小标宋简体" w:hAnsi="方正小标宋简体" w:eastAsia="方正小标宋简体" w:cs="方正小标宋简体"/>
          <w:i w:val="0"/>
          <w:caps w:val="0"/>
          <w:color w:val="000000"/>
          <w:spacing w:val="1"/>
          <w:w w:val="95"/>
          <w:kern w:val="0"/>
          <w:sz w:val="44"/>
          <w:szCs w:val="44"/>
          <w:shd w:val="clear" w:color="auto" w:fill="FFFFFF"/>
          <w:fitText w:val="9152" w:id="-4393080"/>
          <w:lang w:val="en-US" w:eastAsia="zh-CN"/>
        </w:rPr>
        <w:t>（参考样式</w:t>
      </w:r>
      <w:r>
        <w:rPr>
          <w:rFonts w:hint="eastAsia" w:ascii="方正小标宋简体" w:hAnsi="方正小标宋简体" w:eastAsia="方正小标宋简体" w:cs="方正小标宋简体"/>
          <w:i w:val="0"/>
          <w:caps w:val="0"/>
          <w:color w:val="000000"/>
          <w:spacing w:val="12"/>
          <w:w w:val="95"/>
          <w:kern w:val="0"/>
          <w:sz w:val="44"/>
          <w:szCs w:val="44"/>
          <w:shd w:val="clear" w:color="auto" w:fill="FFFFFF"/>
          <w:fitText w:val="9152" w:id="-4393080"/>
          <w:lang w:val="en-US" w:eastAsia="zh-CN"/>
        </w:rPr>
        <w:t>）</w:t>
      </w:r>
    </w:p>
    <w:tbl>
      <w:tblPr>
        <w:tblStyle w:val="8"/>
        <w:tblpPr w:leftFromText="180" w:rightFromText="180" w:vertAnchor="text" w:horzAnchor="page" w:tblpX="1495" w:tblpY="316"/>
        <w:tblOverlap w:val="never"/>
        <w:tblW w:w="0" w:type="auto"/>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27"/>
        <w:gridCol w:w="1090"/>
        <w:gridCol w:w="3369"/>
        <w:gridCol w:w="1261"/>
        <w:gridCol w:w="2573"/>
      </w:tblGrid>
      <w:tr w14:paraId="2F589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6" w:hRule="atLeast"/>
        </w:trPr>
        <w:tc>
          <w:tcPr>
            <w:tcW w:w="727" w:type="dxa"/>
            <w:vMerge w:val="restart"/>
            <w:noWrap w:val="0"/>
            <w:vAlign w:val="center"/>
          </w:tcPr>
          <w:p w14:paraId="3588318F">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ascii="宋体" w:hAnsi="宋体" w:eastAsia="方正仿宋_GBK"/>
                <w:sz w:val="24"/>
              </w:rPr>
            </w:pPr>
            <w:r>
              <w:rPr>
                <w:rFonts w:ascii="宋体" w:hAnsi="宋体" w:eastAsia="方正仿宋_GBK"/>
                <w:sz w:val="24"/>
              </w:rPr>
              <w:t>当事人情况</w:t>
            </w:r>
          </w:p>
        </w:tc>
        <w:tc>
          <w:tcPr>
            <w:tcW w:w="1090" w:type="dxa"/>
            <w:noWrap w:val="0"/>
            <w:vAlign w:val="center"/>
          </w:tcPr>
          <w:p w14:paraId="75BCAD04">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ascii="宋体" w:hAnsi="宋体" w:eastAsia="方正仿宋_GBK"/>
                <w:sz w:val="24"/>
              </w:rPr>
            </w:pPr>
            <w:r>
              <w:rPr>
                <w:rFonts w:ascii="宋体" w:hAnsi="宋体" w:eastAsia="方正仿宋_GBK"/>
                <w:sz w:val="24"/>
              </w:rPr>
              <w:t>姓名</w:t>
            </w:r>
            <w:r>
              <w:rPr>
                <w:rFonts w:hint="eastAsia" w:ascii="宋体" w:hAnsi="宋体" w:eastAsia="方正仿宋_GBK"/>
                <w:sz w:val="24"/>
              </w:rPr>
              <w:t>/名称</w:t>
            </w:r>
          </w:p>
        </w:tc>
        <w:tc>
          <w:tcPr>
            <w:tcW w:w="3369" w:type="dxa"/>
            <w:noWrap w:val="0"/>
            <w:vAlign w:val="center"/>
          </w:tcPr>
          <w:p w14:paraId="505093C3">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ascii="宋体" w:hAnsi="宋体" w:eastAsia="方正仿宋_GBK"/>
                <w:sz w:val="24"/>
              </w:rPr>
            </w:pPr>
          </w:p>
        </w:tc>
        <w:tc>
          <w:tcPr>
            <w:tcW w:w="1261" w:type="dxa"/>
            <w:noWrap w:val="0"/>
            <w:vAlign w:val="center"/>
          </w:tcPr>
          <w:p w14:paraId="4C14E417">
            <w:pPr>
              <w:keepNext w:val="0"/>
              <w:keepLines w:val="0"/>
              <w:pageBreakBefore w:val="0"/>
              <w:widowControl w:val="0"/>
              <w:kinsoku/>
              <w:wordWrap/>
              <w:overflowPunct/>
              <w:topLinePunct w:val="0"/>
              <w:autoSpaceDE/>
              <w:autoSpaceDN/>
              <w:bidi w:val="0"/>
              <w:adjustRightInd/>
              <w:snapToGrid w:val="0"/>
              <w:spacing w:before="100" w:beforeAutospacing="1" w:after="100" w:afterAutospacing="1" w:line="300" w:lineRule="exact"/>
              <w:jc w:val="center"/>
              <w:textAlignment w:val="auto"/>
              <w:rPr>
                <w:rFonts w:ascii="宋体" w:hAnsi="宋体" w:eastAsia="方正仿宋_GBK"/>
                <w:sz w:val="24"/>
              </w:rPr>
            </w:pPr>
            <w:r>
              <w:rPr>
                <w:rFonts w:ascii="宋体" w:hAnsi="宋体" w:eastAsia="方正仿宋_GBK"/>
                <w:sz w:val="24"/>
              </w:rPr>
              <w:t>身份证件号</w:t>
            </w:r>
            <w:r>
              <w:rPr>
                <w:rFonts w:hint="eastAsia" w:ascii="宋体" w:hAnsi="宋体" w:eastAsia="方正仿宋_GBK"/>
                <w:sz w:val="24"/>
              </w:rPr>
              <w:t>/</w:t>
            </w:r>
            <w:r>
              <w:rPr>
                <w:rFonts w:ascii="宋体" w:hAnsi="宋体" w:eastAsia="方正仿宋_GBK"/>
                <w:sz w:val="24"/>
              </w:rPr>
              <w:t>信用代码</w:t>
            </w:r>
          </w:p>
        </w:tc>
        <w:tc>
          <w:tcPr>
            <w:tcW w:w="2573" w:type="dxa"/>
            <w:noWrap w:val="0"/>
            <w:vAlign w:val="center"/>
          </w:tcPr>
          <w:p w14:paraId="1FA0174C">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ascii="宋体" w:hAnsi="宋体" w:eastAsia="方正仿宋_GBK"/>
                <w:sz w:val="24"/>
              </w:rPr>
            </w:pPr>
          </w:p>
        </w:tc>
      </w:tr>
      <w:tr w14:paraId="20D6B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5" w:hRule="atLeast"/>
        </w:trPr>
        <w:tc>
          <w:tcPr>
            <w:tcW w:w="727" w:type="dxa"/>
            <w:vMerge w:val="continue"/>
            <w:noWrap w:val="0"/>
            <w:vAlign w:val="center"/>
          </w:tcPr>
          <w:p w14:paraId="05D717C9">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ascii="宋体" w:hAnsi="宋体" w:eastAsia="方正仿宋_GBK"/>
                <w:sz w:val="24"/>
              </w:rPr>
            </w:pPr>
          </w:p>
        </w:tc>
        <w:tc>
          <w:tcPr>
            <w:tcW w:w="1090" w:type="dxa"/>
            <w:noWrap w:val="0"/>
            <w:vAlign w:val="center"/>
          </w:tcPr>
          <w:p w14:paraId="6731640F">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ascii="宋体" w:hAnsi="宋体" w:eastAsia="方正仿宋_GBK"/>
                <w:sz w:val="24"/>
              </w:rPr>
            </w:pPr>
            <w:r>
              <w:rPr>
                <w:rFonts w:hint="eastAsia" w:ascii="宋体" w:hAnsi="宋体" w:eastAsia="方正仿宋_GBK"/>
                <w:sz w:val="24"/>
              </w:rPr>
              <w:t>地址</w:t>
            </w:r>
          </w:p>
        </w:tc>
        <w:tc>
          <w:tcPr>
            <w:tcW w:w="3369" w:type="dxa"/>
            <w:noWrap w:val="0"/>
            <w:vAlign w:val="center"/>
          </w:tcPr>
          <w:p w14:paraId="13EC18EA">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ascii="宋体" w:hAnsi="宋体" w:eastAsia="方正仿宋_GBK"/>
                <w:sz w:val="24"/>
              </w:rPr>
            </w:pPr>
          </w:p>
        </w:tc>
        <w:tc>
          <w:tcPr>
            <w:tcW w:w="1261" w:type="dxa"/>
            <w:noWrap w:val="0"/>
            <w:vAlign w:val="center"/>
          </w:tcPr>
          <w:p w14:paraId="74A7EB04">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ascii="宋体" w:hAnsi="宋体" w:eastAsia="方正仿宋_GBK"/>
                <w:sz w:val="24"/>
              </w:rPr>
            </w:pPr>
            <w:r>
              <w:rPr>
                <w:rFonts w:ascii="宋体" w:hAnsi="宋体" w:eastAsia="方正仿宋_GBK"/>
                <w:sz w:val="24"/>
              </w:rPr>
              <w:t>联系电话</w:t>
            </w:r>
          </w:p>
        </w:tc>
        <w:tc>
          <w:tcPr>
            <w:tcW w:w="2573" w:type="dxa"/>
            <w:noWrap w:val="0"/>
            <w:vAlign w:val="center"/>
          </w:tcPr>
          <w:p w14:paraId="330570E1">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ascii="宋体" w:hAnsi="宋体" w:eastAsia="方正仿宋_GBK"/>
                <w:sz w:val="24"/>
              </w:rPr>
            </w:pPr>
          </w:p>
        </w:tc>
      </w:tr>
      <w:tr w14:paraId="3FC83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75" w:hRule="atLeast"/>
        </w:trPr>
        <w:tc>
          <w:tcPr>
            <w:tcW w:w="727" w:type="dxa"/>
            <w:noWrap w:val="0"/>
            <w:vAlign w:val="center"/>
          </w:tcPr>
          <w:p w14:paraId="6CE5D012">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ascii="宋体" w:hAnsi="宋体" w:eastAsia="方正仿宋_GBK"/>
                <w:sz w:val="24"/>
              </w:rPr>
            </w:pPr>
            <w:r>
              <w:rPr>
                <w:rFonts w:hint="eastAsia" w:ascii="宋体" w:hAnsi="宋体" w:eastAsia="方正仿宋_GBK"/>
                <w:sz w:val="24"/>
              </w:rPr>
              <w:t>违法行为告知</w:t>
            </w:r>
          </w:p>
        </w:tc>
        <w:tc>
          <w:tcPr>
            <w:tcW w:w="8293" w:type="dxa"/>
            <w:gridSpan w:val="4"/>
            <w:noWrap w:val="0"/>
            <w:vAlign w:val="center"/>
          </w:tcPr>
          <w:p w14:paraId="4A6476E2">
            <w:pPr>
              <w:keepNext w:val="0"/>
              <w:keepLines w:val="0"/>
              <w:pageBreakBefore w:val="0"/>
              <w:widowControl w:val="0"/>
              <w:kinsoku/>
              <w:wordWrap/>
              <w:overflowPunct/>
              <w:topLinePunct w:val="0"/>
              <w:autoSpaceDE/>
              <w:autoSpaceDN/>
              <w:bidi w:val="0"/>
              <w:adjustRightInd/>
              <w:spacing w:line="300" w:lineRule="exact"/>
              <w:ind w:left="0" w:leftChars="0" w:firstLine="480" w:firstLineChars="200"/>
              <w:jc w:val="left"/>
              <w:textAlignment w:val="auto"/>
              <w:rPr>
                <w:rFonts w:hint="eastAsia" w:ascii="宋体" w:hAnsi="宋体" w:eastAsia="方正仿宋_GBK"/>
                <w:sz w:val="24"/>
                <w:u w:val="none"/>
                <w:lang w:val="en-US" w:eastAsia="zh-CN"/>
              </w:rPr>
            </w:pPr>
            <w:r>
              <w:rPr>
                <w:rFonts w:hint="eastAsia" w:ascii="宋体" w:hAnsi="宋体" w:eastAsia="方正仿宋_GBK"/>
                <w:sz w:val="24"/>
                <w:u w:val="single"/>
                <w:lang w:val="en-US" w:eastAsia="zh-CN"/>
              </w:rPr>
              <w:t xml:space="preserve">     </w:t>
            </w:r>
            <w:r>
              <w:rPr>
                <w:rFonts w:hint="eastAsia" w:ascii="宋体" w:hAnsi="宋体" w:eastAsia="方正仿宋_GBK"/>
                <w:sz w:val="24"/>
              </w:rPr>
              <w:t>年</w:t>
            </w:r>
            <w:r>
              <w:rPr>
                <w:rFonts w:hint="eastAsia" w:ascii="宋体" w:hAnsi="宋体" w:eastAsia="方正仿宋_GBK"/>
                <w:sz w:val="24"/>
                <w:u w:val="single"/>
                <w:lang w:val="en-US" w:eastAsia="zh-CN"/>
              </w:rPr>
              <w:t xml:space="preserve">   </w:t>
            </w:r>
            <w:r>
              <w:rPr>
                <w:rFonts w:hint="eastAsia" w:ascii="宋体" w:hAnsi="宋体" w:eastAsia="方正仿宋_GBK"/>
                <w:sz w:val="24"/>
              </w:rPr>
              <w:t>月</w:t>
            </w:r>
            <w:r>
              <w:rPr>
                <w:rFonts w:hint="eastAsia" w:ascii="宋体" w:hAnsi="宋体" w:eastAsia="方正仿宋_GBK"/>
                <w:sz w:val="24"/>
                <w:u w:val="single"/>
                <w:lang w:val="en-US" w:eastAsia="zh-CN"/>
              </w:rPr>
              <w:t xml:space="preserve">   </w:t>
            </w:r>
            <w:r>
              <w:rPr>
                <w:rFonts w:hint="eastAsia" w:ascii="宋体" w:hAnsi="宋体" w:eastAsia="方正仿宋_GBK"/>
                <w:sz w:val="24"/>
              </w:rPr>
              <w:t>日，执法人员</w:t>
            </w:r>
            <w:r>
              <w:rPr>
                <w:rFonts w:hint="eastAsia" w:ascii="宋体" w:hAnsi="宋体" w:eastAsia="方正仿宋_GBK"/>
                <w:sz w:val="24"/>
                <w:u w:val="single"/>
                <w:lang w:val="en-US" w:eastAsia="zh-CN"/>
              </w:rPr>
              <w:t xml:space="preserve">      </w:t>
            </w:r>
            <w:r>
              <w:rPr>
                <w:rFonts w:hint="eastAsia" w:ascii="宋体" w:hAnsi="宋体" w:eastAsia="方正仿宋_GBK"/>
                <w:sz w:val="24"/>
                <w:lang w:val="en-US" w:eastAsia="zh-CN"/>
              </w:rPr>
              <w:t xml:space="preserve"> </w:t>
            </w:r>
            <w:r>
              <w:rPr>
                <w:rFonts w:hint="eastAsia" w:ascii="宋体" w:hAnsi="宋体" w:eastAsia="方正仿宋_GBK"/>
                <w:sz w:val="24"/>
              </w:rPr>
              <w:t>、</w:t>
            </w:r>
            <w:r>
              <w:rPr>
                <w:rFonts w:hint="eastAsia" w:ascii="宋体" w:hAnsi="宋体" w:eastAsia="方正仿宋_GBK"/>
                <w:sz w:val="24"/>
                <w:u w:val="single"/>
                <w:lang w:val="en-US" w:eastAsia="zh-CN"/>
              </w:rPr>
              <w:t xml:space="preserve">       </w:t>
            </w:r>
            <w:r>
              <w:rPr>
                <w:rFonts w:hint="eastAsia" w:ascii="宋体" w:hAnsi="宋体" w:eastAsia="方正仿宋_GBK"/>
                <w:sz w:val="24"/>
                <w:lang w:val="en-US" w:eastAsia="zh-CN"/>
              </w:rPr>
              <w:t xml:space="preserve"> </w:t>
            </w:r>
            <w:r>
              <w:rPr>
                <w:rFonts w:hint="eastAsia" w:ascii="宋体" w:hAnsi="宋体" w:eastAsia="方正仿宋_GBK"/>
                <w:sz w:val="24"/>
              </w:rPr>
              <w:t>，在</w:t>
            </w:r>
            <w:r>
              <w:rPr>
                <w:rFonts w:hint="eastAsia" w:ascii="宋体" w:hAnsi="宋体" w:eastAsia="方正仿宋_GBK"/>
                <w:sz w:val="24"/>
                <w:u w:val="single"/>
                <w:lang w:val="en-US" w:eastAsia="zh-CN"/>
              </w:rPr>
              <w:t xml:space="preserve">                     </w:t>
            </w:r>
            <w:r>
              <w:rPr>
                <w:rFonts w:hint="eastAsia" w:ascii="宋体" w:hAnsi="宋体" w:eastAsia="方正仿宋_GBK"/>
                <w:sz w:val="24"/>
                <w:lang w:val="en-US" w:eastAsia="zh-CN"/>
              </w:rPr>
              <w:t xml:space="preserve"> </w:t>
            </w:r>
          </w:p>
          <w:p w14:paraId="38BF0FDA">
            <w:pPr>
              <w:keepNext w:val="0"/>
              <w:keepLines w:val="0"/>
              <w:pageBreakBefore w:val="0"/>
              <w:widowControl w:val="0"/>
              <w:kinsoku/>
              <w:wordWrap/>
              <w:overflowPunct/>
              <w:topLinePunct w:val="0"/>
              <w:autoSpaceDE/>
              <w:autoSpaceDN/>
              <w:bidi w:val="0"/>
              <w:adjustRightInd/>
              <w:spacing w:line="300" w:lineRule="exact"/>
              <w:ind w:left="0" w:leftChars="0" w:firstLine="0" w:firstLineChars="0"/>
              <w:jc w:val="left"/>
              <w:textAlignment w:val="auto"/>
              <w:rPr>
                <w:rFonts w:hint="default" w:ascii="宋体" w:hAnsi="宋体" w:eastAsia="方正仿宋_GBK"/>
                <w:sz w:val="24"/>
                <w:u w:val="single"/>
                <w:lang w:val="en-US" w:eastAsia="zh-CN"/>
              </w:rPr>
            </w:pPr>
            <w:r>
              <w:rPr>
                <w:rFonts w:hint="eastAsia" w:ascii="宋体" w:hAnsi="宋体" w:eastAsia="方正仿宋_GBK"/>
                <w:sz w:val="24"/>
                <w:lang w:val="en-US" w:eastAsia="zh-CN"/>
              </w:rPr>
              <w:t xml:space="preserve"> </w:t>
            </w:r>
            <w:r>
              <w:rPr>
                <w:rFonts w:hint="eastAsia" w:ascii="宋体" w:hAnsi="宋体" w:eastAsia="方正仿宋_GBK"/>
                <w:sz w:val="24"/>
                <w:u w:val="single"/>
                <w:lang w:val="en-US" w:eastAsia="zh-CN"/>
              </w:rPr>
              <w:t xml:space="preserve">    </w:t>
            </w:r>
            <w:r>
              <w:rPr>
                <w:rFonts w:hint="eastAsia" w:ascii="宋体" w:hAnsi="宋体" w:eastAsia="方正仿宋_GBK"/>
                <w:sz w:val="24"/>
              </w:rPr>
              <w:t>（检查的地点或其他案件线索来源），发现当事人存在</w:t>
            </w:r>
            <w:r>
              <w:rPr>
                <w:rFonts w:hint="eastAsia" w:ascii="宋体" w:hAnsi="宋体" w:eastAsia="方正仿宋_GBK"/>
                <w:sz w:val="24"/>
                <w:u w:val="single"/>
                <w:lang w:val="en-US" w:eastAsia="zh-CN"/>
              </w:rPr>
              <w:t xml:space="preserve">                         </w:t>
            </w:r>
            <w:r>
              <w:rPr>
                <w:rFonts w:hint="eastAsia" w:ascii="宋体" w:hAnsi="宋体" w:eastAsia="方正仿宋_GBK"/>
                <w:sz w:val="24"/>
              </w:rPr>
              <w:t>的违法行为</w:t>
            </w:r>
            <w:r>
              <w:rPr>
                <w:rFonts w:hint="eastAsia" w:ascii="宋体" w:hAnsi="宋体" w:eastAsia="方正仿宋_GBK"/>
                <w:sz w:val="24"/>
                <w:lang w:eastAsia="zh-CN"/>
              </w:rPr>
              <w:t>，</w:t>
            </w:r>
            <w:r>
              <w:rPr>
                <w:rFonts w:hint="eastAsia" w:ascii="宋体" w:hAnsi="宋体" w:eastAsia="方正仿宋_GBK"/>
                <w:spacing w:val="10"/>
                <w:sz w:val="24"/>
              </w:rPr>
              <w:t>根据</w:t>
            </w:r>
            <w:r>
              <w:rPr>
                <w:rFonts w:hint="eastAsia" w:ascii="宋体" w:hAnsi="宋体" w:eastAsia="方正仿宋_GBK"/>
                <w:spacing w:val="10"/>
                <w:sz w:val="24"/>
                <w:lang w:eastAsia="zh-CN"/>
              </w:rPr>
              <w:t>《</w:t>
            </w:r>
            <w:r>
              <w:rPr>
                <w:rFonts w:hint="eastAsia" w:ascii="宋体" w:hAnsi="宋体" w:eastAsia="方正仿宋_GBK"/>
                <w:spacing w:val="10"/>
                <w:sz w:val="24"/>
                <w:lang w:val="en-US" w:eastAsia="zh-CN"/>
              </w:rPr>
              <w:t xml:space="preserve">      </w:t>
            </w:r>
            <w:r>
              <w:rPr>
                <w:rFonts w:hint="eastAsia" w:ascii="宋体" w:hAnsi="宋体" w:eastAsia="方正仿宋_GBK"/>
                <w:spacing w:val="10"/>
                <w:sz w:val="24"/>
                <w:lang w:eastAsia="zh-CN"/>
              </w:rPr>
              <w:t>》</w:t>
            </w:r>
            <w:r>
              <w:rPr>
                <w:rFonts w:hint="eastAsia" w:ascii="宋体" w:hAnsi="宋体" w:eastAsia="方正仿宋_GBK"/>
                <w:spacing w:val="10"/>
                <w:sz w:val="24"/>
              </w:rPr>
              <w:t>第</w:t>
            </w:r>
            <w:r>
              <w:rPr>
                <w:rFonts w:hint="eastAsia" w:ascii="宋体" w:hAnsi="宋体" w:eastAsia="方正仿宋_GBK"/>
                <w:sz w:val="24"/>
                <w:u w:val="single"/>
                <w:lang w:val="en-US" w:eastAsia="zh-CN"/>
              </w:rPr>
              <w:t xml:space="preserve">   </w:t>
            </w:r>
            <w:r>
              <w:rPr>
                <w:rFonts w:hint="eastAsia" w:ascii="宋体" w:hAnsi="宋体" w:eastAsia="方正仿宋_GBK"/>
                <w:spacing w:val="10"/>
                <w:sz w:val="24"/>
              </w:rPr>
              <w:t>条第</w:t>
            </w:r>
            <w:r>
              <w:rPr>
                <w:rFonts w:hint="eastAsia" w:ascii="宋体" w:hAnsi="宋体" w:eastAsia="方正仿宋_GBK"/>
                <w:sz w:val="24"/>
                <w:u w:val="single"/>
                <w:lang w:val="en-US" w:eastAsia="zh-CN"/>
              </w:rPr>
              <w:t xml:space="preserve">  </w:t>
            </w:r>
            <w:r>
              <w:rPr>
                <w:rFonts w:hint="eastAsia" w:ascii="宋体" w:hAnsi="宋体" w:eastAsia="方正仿宋_GBK"/>
                <w:spacing w:val="10"/>
                <w:sz w:val="24"/>
              </w:rPr>
              <w:t>款第</w:t>
            </w:r>
            <w:r>
              <w:rPr>
                <w:rFonts w:hint="eastAsia" w:ascii="宋体" w:hAnsi="宋体" w:eastAsia="方正仿宋_GBK"/>
                <w:sz w:val="24"/>
                <w:u w:val="single"/>
                <w:lang w:val="en-US" w:eastAsia="zh-CN"/>
              </w:rPr>
              <w:t xml:space="preserve">  </w:t>
            </w:r>
            <w:r>
              <w:rPr>
                <w:rFonts w:hint="eastAsia" w:ascii="宋体" w:hAnsi="宋体" w:eastAsia="方正仿宋_GBK"/>
                <w:spacing w:val="10"/>
                <w:sz w:val="24"/>
              </w:rPr>
              <w:t>项的规定，</w:t>
            </w:r>
            <w:r>
              <w:rPr>
                <w:rFonts w:hint="eastAsia" w:ascii="宋体" w:hAnsi="宋体" w:eastAsia="方正仿宋_GBK"/>
                <w:spacing w:val="10"/>
                <w:sz w:val="24"/>
                <w:lang w:eastAsia="zh-CN"/>
              </w:rPr>
              <w:t>应当处以</w:t>
            </w:r>
            <w:r>
              <w:rPr>
                <w:rFonts w:hint="eastAsia" w:ascii="宋体" w:hAnsi="宋体" w:eastAsia="方正仿宋_GBK"/>
                <w:sz w:val="24"/>
                <w:u w:val="single"/>
                <w:lang w:val="en-US" w:eastAsia="zh-CN"/>
              </w:rPr>
              <w:t xml:space="preserve">     </w:t>
            </w:r>
          </w:p>
          <w:p w14:paraId="2D4C2761">
            <w:pPr>
              <w:keepNext w:val="0"/>
              <w:keepLines w:val="0"/>
              <w:pageBreakBefore w:val="0"/>
              <w:widowControl w:val="0"/>
              <w:kinsoku/>
              <w:wordWrap/>
              <w:overflowPunct/>
              <w:topLinePunct w:val="0"/>
              <w:autoSpaceDE/>
              <w:autoSpaceDN/>
              <w:bidi w:val="0"/>
              <w:adjustRightInd/>
              <w:spacing w:line="300" w:lineRule="exact"/>
              <w:ind w:left="0" w:leftChars="0" w:firstLine="0" w:firstLineChars="0"/>
              <w:jc w:val="left"/>
              <w:textAlignment w:val="auto"/>
              <w:rPr>
                <w:rFonts w:hint="eastAsia" w:ascii="宋体" w:hAnsi="宋体" w:eastAsia="方正仿宋_GBK"/>
                <w:sz w:val="24"/>
                <w:u w:val="single"/>
                <w:lang w:val="en-US" w:eastAsia="zh-CN"/>
              </w:rPr>
            </w:pPr>
            <w:r>
              <w:rPr>
                <w:rFonts w:hint="eastAsia" w:ascii="宋体" w:hAnsi="宋体" w:eastAsia="方正仿宋_GBK"/>
                <w:sz w:val="24"/>
                <w:u w:val="single"/>
                <w:lang w:val="en-US" w:eastAsia="zh-CN"/>
              </w:rPr>
              <w:t xml:space="preserve">       </w:t>
            </w:r>
            <w:r>
              <w:rPr>
                <w:rFonts w:hint="eastAsia" w:ascii="宋体" w:hAnsi="宋体" w:eastAsia="方正仿宋_GBK"/>
                <w:sz w:val="24"/>
                <w:u w:val="none"/>
                <w:lang w:val="en-US" w:eastAsia="zh-CN"/>
              </w:rPr>
              <w:t>（处罚内容）。</w:t>
            </w:r>
            <w:r>
              <w:rPr>
                <w:rFonts w:hint="eastAsia" w:ascii="宋体" w:hAnsi="宋体" w:eastAsia="方正仿宋_GBK"/>
                <w:sz w:val="24"/>
              </w:rPr>
              <w:t>经查，当事人的违法行为符合</w:t>
            </w:r>
            <w:r>
              <w:rPr>
                <w:rFonts w:hint="eastAsia" w:ascii="宋体" w:hAnsi="宋体" w:eastAsia="方正仿宋_GBK"/>
                <w:sz w:val="24"/>
                <w:lang w:eastAsia="zh-CN"/>
              </w:rPr>
              <w:t>包容免罚</w:t>
            </w:r>
            <w:r>
              <w:rPr>
                <w:rFonts w:hint="eastAsia" w:ascii="宋体" w:hAnsi="宋体" w:eastAsia="方正仿宋_GBK"/>
                <w:sz w:val="24"/>
              </w:rPr>
              <w:t>的适用条件。执法人员已向当事人宣传了相关法律法规规章的规定</w:t>
            </w:r>
            <w:r>
              <w:rPr>
                <w:rFonts w:hint="eastAsia" w:ascii="宋体" w:hAnsi="宋体" w:eastAsia="方正仿宋_GBK"/>
                <w:sz w:val="24"/>
                <w:lang w:eastAsia="zh-CN"/>
              </w:rPr>
              <w:t>，</w:t>
            </w:r>
            <w:r>
              <w:rPr>
                <w:rFonts w:hint="eastAsia" w:ascii="宋体" w:hAnsi="宋体" w:eastAsia="方正仿宋_GBK"/>
                <w:spacing w:val="10"/>
                <w:sz w:val="24"/>
              </w:rPr>
              <w:t>现责令</w:t>
            </w:r>
            <w:r>
              <w:rPr>
                <w:rFonts w:hint="eastAsia" w:ascii="宋体" w:hAnsi="宋体" w:eastAsia="方正仿宋_GBK"/>
                <w:sz w:val="24"/>
              </w:rPr>
              <w:t>当事人</w:t>
            </w:r>
            <w:r>
              <w:rPr>
                <w:rFonts w:hint="eastAsia" w:ascii="宋体" w:hAnsi="宋体" w:eastAsia="方正仿宋_GBK"/>
                <w:spacing w:val="-4"/>
                <w:sz w:val="24"/>
              </w:rPr>
              <w:t>立即改正</w:t>
            </w:r>
            <w:r>
              <w:rPr>
                <w:rFonts w:hint="eastAsia" w:ascii="宋体" w:hAnsi="宋体" w:eastAsia="方正仿宋_GBK"/>
                <w:spacing w:val="-4"/>
                <w:sz w:val="24"/>
              </w:rPr>
              <w:sym w:font="Wingdings" w:char="00A8"/>
            </w:r>
            <w:r>
              <w:rPr>
                <w:rFonts w:hint="eastAsia" w:ascii="宋体" w:hAnsi="宋体" w:eastAsia="方正仿宋_GBK"/>
                <w:spacing w:val="-4"/>
                <w:sz w:val="24"/>
              </w:rPr>
              <w:t>/</w:t>
            </w:r>
            <w:r>
              <w:rPr>
                <w:rFonts w:hint="eastAsia" w:ascii="宋体" w:hAnsi="宋体" w:eastAsia="方正仿宋_GBK"/>
                <w:sz w:val="24"/>
              </w:rPr>
              <w:t>于</w:t>
            </w:r>
            <w:r>
              <w:rPr>
                <w:rFonts w:hint="eastAsia" w:ascii="宋体" w:hAnsi="宋体" w:eastAsia="方正仿宋_GBK"/>
                <w:sz w:val="24"/>
                <w:u w:val="single"/>
                <w:lang w:val="en-US" w:eastAsia="zh-CN"/>
              </w:rPr>
              <w:t xml:space="preserve">     </w:t>
            </w:r>
            <w:r>
              <w:rPr>
                <w:rFonts w:hint="eastAsia" w:ascii="宋体" w:hAnsi="宋体" w:eastAsia="方正仿宋_GBK"/>
                <w:sz w:val="24"/>
              </w:rPr>
              <w:t>年</w:t>
            </w:r>
            <w:r>
              <w:rPr>
                <w:rFonts w:hint="eastAsia" w:ascii="宋体" w:hAnsi="宋体" w:eastAsia="方正仿宋_GBK"/>
                <w:sz w:val="24"/>
                <w:u w:val="single"/>
                <w:lang w:val="en-US" w:eastAsia="zh-CN"/>
              </w:rPr>
              <w:t xml:space="preserve">   </w:t>
            </w:r>
            <w:r>
              <w:rPr>
                <w:rFonts w:hint="eastAsia" w:ascii="宋体" w:hAnsi="宋体" w:eastAsia="方正仿宋_GBK"/>
                <w:sz w:val="24"/>
              </w:rPr>
              <w:t>月</w:t>
            </w:r>
            <w:r>
              <w:rPr>
                <w:rFonts w:hint="eastAsia" w:ascii="宋体" w:hAnsi="宋体" w:eastAsia="方正仿宋_GBK"/>
                <w:sz w:val="24"/>
                <w:u w:val="single"/>
                <w:lang w:val="en-US" w:eastAsia="zh-CN"/>
              </w:rPr>
              <w:t xml:space="preserve">   </w:t>
            </w:r>
            <w:r>
              <w:rPr>
                <w:rFonts w:hint="eastAsia" w:ascii="宋体" w:hAnsi="宋体" w:eastAsia="方正仿宋_GBK"/>
                <w:sz w:val="24"/>
              </w:rPr>
              <w:t>日前整改完毕，改正要求如下：</w:t>
            </w:r>
            <w:r>
              <w:rPr>
                <w:rFonts w:hint="eastAsia" w:ascii="宋体" w:hAnsi="宋体" w:eastAsia="方正仿宋_GBK"/>
                <w:sz w:val="24"/>
                <w:u w:val="single"/>
                <w:lang w:val="en-US" w:eastAsia="zh-CN"/>
              </w:rPr>
              <w:t xml:space="preserve">                                               </w:t>
            </w:r>
          </w:p>
          <w:p w14:paraId="3F0E959E">
            <w:pPr>
              <w:keepNext w:val="0"/>
              <w:keepLines w:val="0"/>
              <w:pageBreakBefore w:val="0"/>
              <w:widowControl w:val="0"/>
              <w:kinsoku/>
              <w:wordWrap/>
              <w:overflowPunct/>
              <w:topLinePunct w:val="0"/>
              <w:autoSpaceDE/>
              <w:autoSpaceDN/>
              <w:bidi w:val="0"/>
              <w:adjustRightInd/>
              <w:spacing w:line="300" w:lineRule="exact"/>
              <w:ind w:left="0" w:leftChars="0" w:firstLine="0" w:firstLineChars="0"/>
              <w:jc w:val="left"/>
              <w:textAlignment w:val="auto"/>
              <w:rPr>
                <w:rFonts w:hint="eastAsia" w:ascii="宋体" w:hAnsi="宋体" w:eastAsia="方正仿宋_GBK"/>
                <w:sz w:val="24"/>
                <w:u w:val="single"/>
                <w:lang w:val="en-US" w:eastAsia="zh-CN"/>
              </w:rPr>
            </w:pPr>
            <w:r>
              <w:rPr>
                <w:rFonts w:hint="eastAsia" w:ascii="宋体" w:hAnsi="宋体" w:eastAsia="方正仿宋_GBK"/>
                <w:sz w:val="24"/>
                <w:u w:val="single"/>
                <w:lang w:val="en-US" w:eastAsia="zh-CN"/>
              </w:rPr>
              <w:t xml:space="preserve">                                                                        </w:t>
            </w:r>
          </w:p>
          <w:p w14:paraId="672D063C">
            <w:pPr>
              <w:keepNext w:val="0"/>
              <w:keepLines w:val="0"/>
              <w:pageBreakBefore w:val="0"/>
              <w:widowControl w:val="0"/>
              <w:kinsoku/>
              <w:wordWrap/>
              <w:overflowPunct/>
              <w:topLinePunct w:val="0"/>
              <w:autoSpaceDE/>
              <w:autoSpaceDN/>
              <w:bidi w:val="0"/>
              <w:adjustRightInd/>
              <w:spacing w:line="300" w:lineRule="exact"/>
              <w:ind w:left="0" w:leftChars="0" w:firstLine="0" w:firstLineChars="0"/>
              <w:jc w:val="left"/>
              <w:textAlignment w:val="auto"/>
              <w:rPr>
                <w:rFonts w:hint="eastAsia" w:ascii="宋体" w:hAnsi="宋体" w:eastAsia="方正仿宋_GBK"/>
                <w:sz w:val="24"/>
                <w:lang w:val="en-US" w:eastAsia="zh-CN"/>
              </w:rPr>
            </w:pPr>
            <w:r>
              <w:rPr>
                <w:rFonts w:hint="eastAsia" w:ascii="宋体" w:hAnsi="宋体" w:eastAsia="方正仿宋_GBK"/>
                <w:sz w:val="24"/>
                <w:u w:val="single"/>
                <w:lang w:val="en-US" w:eastAsia="zh-CN"/>
              </w:rPr>
              <w:t xml:space="preserve">                                                                        </w:t>
            </w:r>
            <w:r>
              <w:rPr>
                <w:rFonts w:hint="eastAsia" w:ascii="宋体" w:hAnsi="宋体" w:eastAsia="方正仿宋_GBK"/>
                <w:sz w:val="24"/>
                <w:lang w:val="en-US" w:eastAsia="zh-CN"/>
              </w:rPr>
              <w:t xml:space="preserve">      </w:t>
            </w:r>
          </w:p>
          <w:p w14:paraId="7B115E06">
            <w:pPr>
              <w:keepNext w:val="0"/>
              <w:keepLines w:val="0"/>
              <w:pageBreakBefore w:val="0"/>
              <w:widowControl w:val="0"/>
              <w:kinsoku/>
              <w:wordWrap/>
              <w:overflowPunct/>
              <w:topLinePunct w:val="0"/>
              <w:autoSpaceDE/>
              <w:autoSpaceDN/>
              <w:bidi w:val="0"/>
              <w:adjustRightInd/>
              <w:spacing w:line="300" w:lineRule="exact"/>
              <w:jc w:val="left"/>
              <w:textAlignment w:val="auto"/>
              <w:rPr>
                <w:rFonts w:ascii="宋体" w:hAnsi="宋体" w:eastAsia="方正仿宋_GBK"/>
                <w:sz w:val="24"/>
              </w:rPr>
            </w:pPr>
            <w:r>
              <w:rPr>
                <w:rFonts w:hint="eastAsia" w:ascii="宋体" w:hAnsi="宋体" w:eastAsia="方正仿宋_GBK"/>
                <w:sz w:val="24"/>
                <w:lang w:val="en-US" w:eastAsia="zh-CN"/>
              </w:rPr>
              <w:t xml:space="preserve">   </w:t>
            </w:r>
          </w:p>
          <w:p w14:paraId="774A30F8">
            <w:pPr>
              <w:keepNext w:val="0"/>
              <w:keepLines w:val="0"/>
              <w:pageBreakBefore w:val="0"/>
              <w:widowControl w:val="0"/>
              <w:kinsoku/>
              <w:wordWrap/>
              <w:overflowPunct/>
              <w:topLinePunct w:val="0"/>
              <w:autoSpaceDE/>
              <w:autoSpaceDN/>
              <w:bidi w:val="0"/>
              <w:adjustRightInd/>
              <w:snapToGrid w:val="0"/>
              <w:spacing w:line="300" w:lineRule="exact"/>
              <w:ind w:firstLine="3120" w:firstLineChars="1300"/>
              <w:textAlignment w:val="auto"/>
              <w:rPr>
                <w:rFonts w:hint="eastAsia" w:ascii="宋体" w:hAnsi="宋体" w:eastAsia="方正仿宋_GBK"/>
                <w:sz w:val="24"/>
                <w:lang w:eastAsia="zh-CN"/>
              </w:rPr>
            </w:pPr>
            <w:r>
              <w:rPr>
                <w:rFonts w:hint="eastAsia" w:ascii="宋体" w:hAnsi="宋体" w:eastAsia="方正仿宋_GBK"/>
                <w:sz w:val="24"/>
              </w:rPr>
              <w:t>执法人员</w:t>
            </w:r>
            <w:r>
              <w:rPr>
                <w:rFonts w:ascii="宋体" w:hAnsi="宋体" w:eastAsia="方正仿宋_GBK"/>
                <w:sz w:val="24"/>
              </w:rPr>
              <w:t>签名：</w:t>
            </w:r>
            <w:r>
              <w:rPr>
                <w:rFonts w:hint="eastAsia" w:ascii="宋体" w:hAnsi="宋体" w:eastAsia="方正仿宋_GBK"/>
                <w:sz w:val="24"/>
                <w:u w:val="single"/>
                <w:lang w:val="en-US" w:eastAsia="zh-CN"/>
              </w:rPr>
              <w:t xml:space="preserve">       </w:t>
            </w:r>
            <w:r>
              <w:rPr>
                <w:rFonts w:hint="eastAsia" w:ascii="宋体" w:hAnsi="宋体" w:eastAsia="方正仿宋_GBK"/>
                <w:sz w:val="24"/>
              </w:rPr>
              <w:t>执法证号</w:t>
            </w:r>
            <w:r>
              <w:rPr>
                <w:rFonts w:hint="eastAsia" w:ascii="宋体" w:hAnsi="宋体" w:eastAsia="方正仿宋_GBK"/>
                <w:sz w:val="24"/>
                <w:lang w:eastAsia="zh-CN"/>
              </w:rPr>
              <w:t>：</w:t>
            </w:r>
            <w:r>
              <w:rPr>
                <w:rFonts w:hint="eastAsia" w:ascii="宋体" w:hAnsi="宋体" w:eastAsia="方正仿宋_GBK"/>
                <w:sz w:val="24"/>
                <w:u w:val="single"/>
                <w:lang w:val="en-US" w:eastAsia="zh-CN"/>
              </w:rPr>
              <w:t xml:space="preserve">       </w:t>
            </w:r>
          </w:p>
          <w:p w14:paraId="32149333">
            <w:pPr>
              <w:keepNext w:val="0"/>
              <w:keepLines w:val="0"/>
              <w:pageBreakBefore w:val="0"/>
              <w:widowControl w:val="0"/>
              <w:kinsoku/>
              <w:wordWrap/>
              <w:overflowPunct/>
              <w:topLinePunct w:val="0"/>
              <w:autoSpaceDE/>
              <w:autoSpaceDN/>
              <w:bidi w:val="0"/>
              <w:adjustRightInd/>
              <w:snapToGrid w:val="0"/>
              <w:spacing w:line="300" w:lineRule="exact"/>
              <w:ind w:firstLine="3120" w:firstLineChars="1300"/>
              <w:textAlignment w:val="auto"/>
              <w:rPr>
                <w:rFonts w:hint="eastAsia" w:ascii="宋体" w:hAnsi="宋体" w:eastAsia="方正仿宋_GBK"/>
                <w:sz w:val="24"/>
                <w:lang w:eastAsia="zh-CN"/>
              </w:rPr>
            </w:pPr>
            <w:r>
              <w:rPr>
                <w:rFonts w:hint="eastAsia" w:ascii="宋体" w:hAnsi="宋体" w:eastAsia="方正仿宋_GBK"/>
                <w:sz w:val="24"/>
              </w:rPr>
              <w:t>执法人员</w:t>
            </w:r>
            <w:r>
              <w:rPr>
                <w:rFonts w:ascii="宋体" w:hAnsi="宋体" w:eastAsia="方正仿宋_GBK"/>
                <w:sz w:val="24"/>
              </w:rPr>
              <w:t>签名</w:t>
            </w:r>
            <w:r>
              <w:rPr>
                <w:rFonts w:hint="eastAsia" w:ascii="宋体" w:hAnsi="宋体" w:eastAsia="方正仿宋_GBK"/>
                <w:sz w:val="24"/>
                <w:lang w:eastAsia="zh-CN"/>
              </w:rPr>
              <w:t>：</w:t>
            </w:r>
            <w:r>
              <w:rPr>
                <w:rFonts w:hint="eastAsia" w:ascii="宋体" w:hAnsi="宋体" w:eastAsia="方正仿宋_GBK"/>
                <w:sz w:val="24"/>
                <w:u w:val="single"/>
                <w:lang w:val="en-US" w:eastAsia="zh-CN"/>
              </w:rPr>
              <w:t xml:space="preserve">       </w:t>
            </w:r>
            <w:r>
              <w:rPr>
                <w:rFonts w:hint="eastAsia" w:ascii="宋体" w:hAnsi="宋体" w:eastAsia="方正仿宋_GBK"/>
                <w:sz w:val="24"/>
              </w:rPr>
              <w:t>执法证号</w:t>
            </w:r>
            <w:r>
              <w:rPr>
                <w:rFonts w:hint="eastAsia" w:ascii="宋体" w:hAnsi="宋体" w:eastAsia="方正仿宋_GBK"/>
                <w:sz w:val="24"/>
                <w:lang w:eastAsia="zh-CN"/>
              </w:rPr>
              <w:t>：</w:t>
            </w:r>
            <w:r>
              <w:rPr>
                <w:rFonts w:hint="eastAsia" w:ascii="宋体" w:hAnsi="宋体" w:eastAsia="方正仿宋_GBK"/>
                <w:sz w:val="24"/>
                <w:u w:val="single"/>
                <w:lang w:val="en-US" w:eastAsia="zh-CN"/>
              </w:rPr>
              <w:t xml:space="preserve">       </w:t>
            </w:r>
          </w:p>
          <w:p w14:paraId="3FA5FB07">
            <w:pPr>
              <w:keepNext w:val="0"/>
              <w:keepLines w:val="0"/>
              <w:pageBreakBefore w:val="0"/>
              <w:widowControl w:val="0"/>
              <w:kinsoku/>
              <w:wordWrap/>
              <w:overflowPunct/>
              <w:topLinePunct w:val="0"/>
              <w:autoSpaceDE/>
              <w:autoSpaceDN/>
              <w:bidi w:val="0"/>
              <w:adjustRightInd/>
              <w:snapToGrid w:val="0"/>
              <w:spacing w:line="300" w:lineRule="exact"/>
              <w:textAlignment w:val="auto"/>
              <w:rPr>
                <w:rFonts w:ascii="宋体" w:hAnsi="宋体" w:eastAsia="方正仿宋_GBK"/>
                <w:sz w:val="24"/>
              </w:rPr>
            </w:pPr>
            <w:r>
              <w:rPr>
                <w:rFonts w:ascii="宋体" w:hAnsi="宋体" w:eastAsia="方正仿宋_GBK"/>
                <w:sz w:val="24"/>
              </w:rPr>
              <w:t xml:space="preserve">   </w:t>
            </w:r>
            <w:r>
              <w:rPr>
                <w:rFonts w:hint="eastAsia" w:ascii="宋体" w:hAnsi="宋体" w:eastAsia="方正仿宋_GBK"/>
                <w:sz w:val="24"/>
              </w:rPr>
              <w:t xml:space="preserve">                                      </w:t>
            </w:r>
            <w:r>
              <w:rPr>
                <w:rFonts w:hint="eastAsia" w:ascii="宋体" w:hAnsi="宋体" w:eastAsia="方正仿宋_GBK"/>
                <w:sz w:val="24"/>
                <w:lang w:val="en-US" w:eastAsia="zh-CN"/>
              </w:rPr>
              <w:t xml:space="preserve">  </w:t>
            </w:r>
            <w:r>
              <w:rPr>
                <w:rFonts w:hint="eastAsia" w:ascii="宋体" w:hAnsi="宋体" w:eastAsia="方正仿宋_GBK"/>
                <w:sz w:val="24"/>
                <w:u w:val="single"/>
                <w:lang w:val="en-US" w:eastAsia="zh-CN"/>
              </w:rPr>
              <w:t xml:space="preserve">    </w:t>
            </w:r>
            <w:r>
              <w:rPr>
                <w:rFonts w:ascii="宋体" w:hAnsi="宋体" w:eastAsia="方正仿宋_GBK"/>
                <w:sz w:val="24"/>
              </w:rPr>
              <w:t>年</w:t>
            </w:r>
            <w:r>
              <w:rPr>
                <w:rFonts w:hint="eastAsia" w:ascii="宋体" w:hAnsi="宋体" w:eastAsia="方正仿宋_GBK"/>
                <w:sz w:val="24"/>
                <w:u w:val="single"/>
                <w:lang w:val="en-US" w:eastAsia="zh-CN"/>
              </w:rPr>
              <w:t xml:space="preserve">   </w:t>
            </w:r>
            <w:r>
              <w:rPr>
                <w:rFonts w:ascii="宋体" w:hAnsi="宋体" w:eastAsia="方正仿宋_GBK"/>
                <w:sz w:val="24"/>
              </w:rPr>
              <w:t>月</w:t>
            </w:r>
            <w:r>
              <w:rPr>
                <w:rFonts w:hint="eastAsia" w:ascii="宋体" w:hAnsi="宋体" w:eastAsia="方正仿宋_GBK"/>
                <w:sz w:val="24"/>
                <w:u w:val="single"/>
                <w:lang w:val="en-US" w:eastAsia="zh-CN"/>
              </w:rPr>
              <w:t xml:space="preserve">   </w:t>
            </w:r>
            <w:r>
              <w:rPr>
                <w:rFonts w:ascii="宋体" w:hAnsi="宋体" w:eastAsia="方正仿宋_GBK"/>
                <w:sz w:val="24"/>
              </w:rPr>
              <w:t>日</w:t>
            </w:r>
          </w:p>
        </w:tc>
      </w:tr>
      <w:tr w14:paraId="43E35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77" w:hRule="atLeast"/>
        </w:trPr>
        <w:tc>
          <w:tcPr>
            <w:tcW w:w="727" w:type="dxa"/>
            <w:noWrap w:val="0"/>
            <w:vAlign w:val="center"/>
          </w:tcPr>
          <w:p w14:paraId="746DB850">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ascii="宋体" w:hAnsi="宋体" w:eastAsia="方正仿宋_GBK"/>
                <w:sz w:val="24"/>
              </w:rPr>
            </w:pPr>
            <w:r>
              <w:rPr>
                <w:rFonts w:hint="eastAsia" w:ascii="宋体" w:hAnsi="宋体" w:eastAsia="方正仿宋_GBK"/>
                <w:sz w:val="24"/>
              </w:rPr>
              <w:t>当事人承诺</w:t>
            </w:r>
          </w:p>
        </w:tc>
        <w:tc>
          <w:tcPr>
            <w:tcW w:w="8293" w:type="dxa"/>
            <w:gridSpan w:val="4"/>
            <w:noWrap w:val="0"/>
            <w:vAlign w:val="center"/>
          </w:tcPr>
          <w:p w14:paraId="573A5A08">
            <w:pPr>
              <w:keepNext w:val="0"/>
              <w:keepLines w:val="0"/>
              <w:pageBreakBefore w:val="0"/>
              <w:widowControl w:val="0"/>
              <w:kinsoku/>
              <w:wordWrap/>
              <w:overflowPunct/>
              <w:topLinePunct w:val="0"/>
              <w:autoSpaceDE/>
              <w:autoSpaceDN/>
              <w:bidi w:val="0"/>
              <w:adjustRightInd/>
              <w:spacing w:line="300" w:lineRule="exact"/>
              <w:jc w:val="left"/>
              <w:textAlignment w:val="auto"/>
              <w:rPr>
                <w:rFonts w:hint="eastAsia" w:ascii="宋体" w:hAnsi="宋体" w:eastAsia="方正仿宋_GBK"/>
                <w:sz w:val="24"/>
              </w:rPr>
            </w:pPr>
            <w:r>
              <w:rPr>
                <w:rFonts w:hint="eastAsia" w:ascii="宋体" w:hAnsi="宋体" w:eastAsia="方正仿宋_GBK"/>
                <w:sz w:val="24"/>
                <w:u w:val="single"/>
                <w:lang w:val="en-US" w:eastAsia="zh-CN"/>
              </w:rPr>
              <w:t xml:space="preserve">                      </w:t>
            </w:r>
            <w:r>
              <w:rPr>
                <w:rFonts w:hint="eastAsia" w:ascii="宋体" w:hAnsi="宋体" w:eastAsia="方正仿宋_GBK"/>
                <w:sz w:val="24"/>
              </w:rPr>
              <w:t>（执法单位全称）：</w:t>
            </w:r>
          </w:p>
          <w:p w14:paraId="2CC07C36">
            <w:pPr>
              <w:keepNext w:val="0"/>
              <w:keepLines w:val="0"/>
              <w:pageBreakBefore w:val="0"/>
              <w:widowControl w:val="0"/>
              <w:kinsoku/>
              <w:wordWrap/>
              <w:overflowPunct/>
              <w:topLinePunct w:val="0"/>
              <w:autoSpaceDE/>
              <w:autoSpaceDN/>
              <w:bidi w:val="0"/>
              <w:adjustRightInd/>
              <w:spacing w:line="300" w:lineRule="exact"/>
              <w:ind w:firstLine="480" w:firstLineChars="200"/>
              <w:jc w:val="left"/>
              <w:textAlignment w:val="auto"/>
              <w:rPr>
                <w:rFonts w:hint="eastAsia" w:ascii="宋体" w:hAnsi="宋体" w:eastAsia="方正仿宋_GBK"/>
                <w:sz w:val="24"/>
              </w:rPr>
            </w:pPr>
            <w:r>
              <w:rPr>
                <w:rFonts w:hint="eastAsia" w:ascii="宋体" w:hAnsi="宋体" w:eastAsia="方正仿宋_GBK"/>
                <w:sz w:val="24"/>
              </w:rPr>
              <w:t>执法人员已向本人（单位）进行了相关告知和法制宣传教育，并要求予以改正。</w:t>
            </w:r>
          </w:p>
          <w:p w14:paraId="640826BC">
            <w:pPr>
              <w:keepNext w:val="0"/>
              <w:keepLines w:val="0"/>
              <w:pageBreakBefore w:val="0"/>
              <w:widowControl w:val="0"/>
              <w:kinsoku/>
              <w:wordWrap/>
              <w:overflowPunct/>
              <w:topLinePunct w:val="0"/>
              <w:autoSpaceDE/>
              <w:autoSpaceDN/>
              <w:bidi w:val="0"/>
              <w:adjustRightInd/>
              <w:spacing w:line="300" w:lineRule="exact"/>
              <w:ind w:firstLine="480" w:firstLineChars="200"/>
              <w:jc w:val="left"/>
              <w:textAlignment w:val="auto"/>
              <w:rPr>
                <w:rFonts w:hint="eastAsia" w:ascii="宋体" w:hAnsi="宋体" w:eastAsia="方正仿宋_GBK"/>
                <w:color w:val="4F81BD"/>
                <w:sz w:val="24"/>
              </w:rPr>
            </w:pPr>
            <w:r>
              <w:rPr>
                <w:rFonts w:hint="eastAsia" w:ascii="宋体" w:hAnsi="宋体" w:eastAsia="方正仿宋_GBK"/>
                <w:sz w:val="24"/>
              </w:rPr>
              <w:t>本人（单位）对以上情况确认无误，并自愿承诺：</w:t>
            </w:r>
          </w:p>
          <w:p w14:paraId="100909FB">
            <w:pPr>
              <w:keepNext w:val="0"/>
              <w:keepLines w:val="0"/>
              <w:pageBreakBefore w:val="0"/>
              <w:widowControl w:val="0"/>
              <w:kinsoku/>
              <w:wordWrap/>
              <w:overflowPunct/>
              <w:topLinePunct w:val="0"/>
              <w:autoSpaceDE/>
              <w:autoSpaceDN/>
              <w:bidi w:val="0"/>
              <w:adjustRightInd/>
              <w:spacing w:line="300" w:lineRule="exact"/>
              <w:ind w:firstLine="480" w:firstLineChars="200"/>
              <w:jc w:val="left"/>
              <w:textAlignment w:val="auto"/>
              <w:rPr>
                <w:rFonts w:hint="eastAsia" w:ascii="宋体" w:hAnsi="宋体" w:eastAsia="方正仿宋_GBK"/>
                <w:sz w:val="24"/>
              </w:rPr>
            </w:pPr>
            <w:r>
              <w:rPr>
                <w:rFonts w:hint="eastAsia" w:ascii="宋体" w:hAnsi="宋体" w:eastAsia="方正仿宋_GBK"/>
                <w:sz w:val="24"/>
              </w:rPr>
              <w:t>□</w:t>
            </w:r>
            <w:r>
              <w:rPr>
                <w:rFonts w:hint="eastAsia" w:ascii="宋体" w:hAnsi="宋体" w:eastAsia="方正仿宋_GBK"/>
                <w:sz w:val="24"/>
                <w:lang w:val="en-US" w:eastAsia="zh-CN"/>
              </w:rPr>
              <w:t>1</w:t>
            </w:r>
            <w:r>
              <w:rPr>
                <w:rFonts w:hint="eastAsia" w:ascii="宋体" w:hAnsi="宋体" w:eastAsia="方正仿宋_GBK"/>
                <w:sz w:val="24"/>
              </w:rPr>
              <w:t>.在</w:t>
            </w:r>
            <w:r>
              <w:rPr>
                <w:rFonts w:hint="eastAsia" w:ascii="宋体" w:hAnsi="宋体" w:eastAsia="方正仿宋_GBK"/>
                <w:sz w:val="24"/>
                <w:lang w:val="en-US" w:eastAsia="zh-CN"/>
              </w:rPr>
              <w:t>XXX</w:t>
            </w:r>
            <w:r>
              <w:rPr>
                <w:rFonts w:hint="eastAsia" w:ascii="宋体" w:hAnsi="宋体" w:eastAsia="方正仿宋_GBK"/>
                <w:sz w:val="24"/>
              </w:rPr>
              <w:t xml:space="preserve">X年X月X日前改正； </w:t>
            </w:r>
          </w:p>
          <w:p w14:paraId="443E63EA">
            <w:pPr>
              <w:keepNext w:val="0"/>
              <w:keepLines w:val="0"/>
              <w:pageBreakBefore w:val="0"/>
              <w:widowControl w:val="0"/>
              <w:kinsoku/>
              <w:wordWrap/>
              <w:overflowPunct/>
              <w:topLinePunct w:val="0"/>
              <w:autoSpaceDE/>
              <w:autoSpaceDN/>
              <w:bidi w:val="0"/>
              <w:adjustRightInd/>
              <w:spacing w:line="300" w:lineRule="exact"/>
              <w:ind w:firstLine="480" w:firstLineChars="200"/>
              <w:jc w:val="left"/>
              <w:textAlignment w:val="auto"/>
              <w:rPr>
                <w:rFonts w:hint="eastAsia" w:ascii="宋体" w:hAnsi="宋体" w:eastAsia="方正仿宋_GBK"/>
                <w:sz w:val="24"/>
              </w:rPr>
            </w:pPr>
            <w:r>
              <w:rPr>
                <w:rFonts w:hint="eastAsia" w:ascii="宋体" w:hAnsi="宋体" w:eastAsia="方正仿宋_GBK"/>
                <w:sz w:val="24"/>
              </w:rPr>
              <w:t>□</w:t>
            </w:r>
            <w:r>
              <w:rPr>
                <w:rFonts w:hint="eastAsia" w:ascii="宋体" w:hAnsi="宋体" w:eastAsia="方正仿宋_GBK"/>
                <w:sz w:val="24"/>
                <w:lang w:val="en-US" w:eastAsia="zh-CN"/>
              </w:rPr>
              <w:t>2</w:t>
            </w:r>
            <w:r>
              <w:rPr>
                <w:rFonts w:hint="eastAsia" w:ascii="宋体" w:hAnsi="宋体" w:eastAsia="方正仿宋_GBK"/>
                <w:sz w:val="24"/>
              </w:rPr>
              <w:t>.遵守</w:t>
            </w:r>
            <w:r>
              <w:rPr>
                <w:rFonts w:hint="eastAsia" w:ascii="宋体" w:hAnsi="宋体" w:eastAsia="方正仿宋_GBK"/>
                <w:sz w:val="24"/>
                <w:lang w:val="en-US" w:eastAsia="zh-CN"/>
              </w:rPr>
              <w:t>XX</w:t>
            </w:r>
            <w:r>
              <w:rPr>
                <w:rFonts w:hint="eastAsia" w:ascii="宋体" w:hAnsi="宋体" w:eastAsia="方正仿宋_GBK"/>
                <w:sz w:val="24"/>
              </w:rPr>
              <w:t>法律法规规章的规定。</w:t>
            </w:r>
          </w:p>
          <w:p w14:paraId="10B3074E">
            <w:pPr>
              <w:keepNext w:val="0"/>
              <w:keepLines w:val="0"/>
              <w:pageBreakBefore w:val="0"/>
              <w:widowControl w:val="0"/>
              <w:kinsoku/>
              <w:wordWrap/>
              <w:overflowPunct/>
              <w:topLinePunct w:val="0"/>
              <w:autoSpaceDE/>
              <w:autoSpaceDN/>
              <w:bidi w:val="0"/>
              <w:adjustRightInd/>
              <w:spacing w:line="300" w:lineRule="exact"/>
              <w:ind w:firstLine="480" w:firstLineChars="200"/>
              <w:jc w:val="left"/>
              <w:textAlignment w:val="auto"/>
              <w:rPr>
                <w:rFonts w:hint="eastAsia" w:ascii="宋体" w:hAnsi="宋体" w:eastAsia="方正仿宋_GBK"/>
                <w:sz w:val="24"/>
              </w:rPr>
            </w:pPr>
            <w:r>
              <w:rPr>
                <w:rFonts w:hint="eastAsia" w:ascii="宋体" w:hAnsi="宋体" w:eastAsia="方正仿宋_GBK"/>
                <w:sz w:val="24"/>
              </w:rPr>
              <w:t>若本人（单位）未履行上述承诺的，愿依法承担相应的法律责任。</w:t>
            </w:r>
          </w:p>
          <w:p w14:paraId="1AC8BB89">
            <w:pPr>
              <w:keepNext w:val="0"/>
              <w:keepLines w:val="0"/>
              <w:pageBreakBefore w:val="0"/>
              <w:widowControl w:val="0"/>
              <w:kinsoku/>
              <w:wordWrap/>
              <w:overflowPunct/>
              <w:topLinePunct w:val="0"/>
              <w:autoSpaceDE/>
              <w:autoSpaceDN/>
              <w:bidi w:val="0"/>
              <w:adjustRightInd/>
              <w:snapToGrid w:val="0"/>
              <w:spacing w:line="300" w:lineRule="exact"/>
              <w:ind w:right="1440"/>
              <w:jc w:val="both"/>
              <w:textAlignment w:val="auto"/>
              <w:rPr>
                <w:rFonts w:ascii="宋体" w:hAnsi="宋体" w:eastAsia="方正仿宋_GBK"/>
                <w:sz w:val="24"/>
              </w:rPr>
            </w:pPr>
            <w:r>
              <w:rPr>
                <w:rFonts w:ascii="宋体" w:hAnsi="宋体" w:eastAsia="方正仿宋_GBK"/>
                <w:sz w:val="24"/>
              </w:rPr>
              <w:t xml:space="preserve">                    </w:t>
            </w:r>
          </w:p>
          <w:p w14:paraId="5228D3DE">
            <w:pPr>
              <w:keepNext w:val="0"/>
              <w:keepLines w:val="0"/>
              <w:pageBreakBefore w:val="0"/>
              <w:widowControl w:val="0"/>
              <w:kinsoku/>
              <w:wordWrap/>
              <w:overflowPunct/>
              <w:topLinePunct w:val="0"/>
              <w:autoSpaceDE/>
              <w:autoSpaceDN/>
              <w:bidi w:val="0"/>
              <w:adjustRightInd/>
              <w:snapToGrid w:val="0"/>
              <w:spacing w:line="300" w:lineRule="exact"/>
              <w:ind w:right="1440" w:firstLine="0" w:firstLineChars="0"/>
              <w:textAlignment w:val="auto"/>
              <w:rPr>
                <w:rFonts w:ascii="宋体" w:hAnsi="宋体" w:eastAsia="方正仿宋_GBK"/>
                <w:sz w:val="24"/>
              </w:rPr>
            </w:pPr>
            <w:r>
              <w:rPr>
                <w:rFonts w:hint="eastAsia" w:ascii="宋体" w:hAnsi="宋体" w:eastAsia="方正仿宋_GBK"/>
                <w:sz w:val="24"/>
                <w:lang w:val="en-US" w:eastAsia="zh-CN"/>
              </w:rPr>
              <w:t xml:space="preserve">                                    </w:t>
            </w:r>
            <w:r>
              <w:rPr>
                <w:rFonts w:ascii="宋体" w:hAnsi="宋体" w:eastAsia="方正仿宋_GBK"/>
                <w:sz w:val="24"/>
              </w:rPr>
              <w:t>签名</w:t>
            </w:r>
            <w:r>
              <w:rPr>
                <w:rFonts w:hint="eastAsia" w:ascii="宋体" w:hAnsi="宋体" w:eastAsia="方正仿宋_GBK"/>
                <w:sz w:val="24"/>
              </w:rPr>
              <w:t>或盖章</w:t>
            </w:r>
            <w:r>
              <w:rPr>
                <w:rFonts w:ascii="宋体" w:hAnsi="宋体" w:eastAsia="方正仿宋_GBK"/>
                <w:sz w:val="24"/>
              </w:rPr>
              <w:t>：</w:t>
            </w:r>
          </w:p>
          <w:p w14:paraId="5F5B3273">
            <w:pPr>
              <w:keepNext w:val="0"/>
              <w:keepLines w:val="0"/>
              <w:pageBreakBefore w:val="0"/>
              <w:widowControl w:val="0"/>
              <w:kinsoku/>
              <w:wordWrap/>
              <w:overflowPunct/>
              <w:topLinePunct w:val="0"/>
              <w:autoSpaceDE/>
              <w:autoSpaceDN/>
              <w:bidi w:val="0"/>
              <w:adjustRightInd/>
              <w:snapToGrid w:val="0"/>
              <w:spacing w:line="300" w:lineRule="exact"/>
              <w:ind w:firstLine="5520" w:firstLineChars="2300"/>
              <w:textAlignment w:val="auto"/>
              <w:rPr>
                <w:rFonts w:ascii="宋体" w:hAnsi="宋体" w:eastAsia="方正仿宋_GBK"/>
                <w:sz w:val="24"/>
              </w:rPr>
            </w:pPr>
            <w:r>
              <w:rPr>
                <w:rFonts w:hint="eastAsia" w:ascii="宋体" w:hAnsi="宋体" w:eastAsia="方正仿宋_GBK"/>
                <w:sz w:val="24"/>
                <w:lang w:val="en-US" w:eastAsia="zh-CN"/>
              </w:rPr>
              <w:t xml:space="preserve">    </w:t>
            </w:r>
            <w:r>
              <w:rPr>
                <w:rFonts w:hint="eastAsia" w:ascii="宋体" w:hAnsi="宋体" w:eastAsia="方正仿宋_GBK"/>
                <w:sz w:val="24"/>
                <w:u w:val="single"/>
                <w:lang w:val="en-US" w:eastAsia="zh-CN"/>
              </w:rPr>
              <w:t xml:space="preserve">    </w:t>
            </w:r>
            <w:r>
              <w:rPr>
                <w:rFonts w:ascii="宋体" w:hAnsi="宋体" w:eastAsia="方正仿宋_GBK"/>
                <w:sz w:val="24"/>
              </w:rPr>
              <w:t>年</w:t>
            </w:r>
            <w:r>
              <w:rPr>
                <w:rFonts w:hint="eastAsia" w:ascii="宋体" w:hAnsi="宋体" w:eastAsia="方正仿宋_GBK"/>
                <w:sz w:val="24"/>
                <w:u w:val="single"/>
                <w:lang w:val="en-US" w:eastAsia="zh-CN"/>
              </w:rPr>
              <w:t xml:space="preserve">   </w:t>
            </w:r>
            <w:r>
              <w:rPr>
                <w:rFonts w:ascii="宋体" w:hAnsi="宋体" w:eastAsia="方正仿宋_GBK"/>
                <w:sz w:val="24"/>
              </w:rPr>
              <w:t>月</w:t>
            </w:r>
            <w:r>
              <w:rPr>
                <w:rFonts w:hint="eastAsia" w:ascii="宋体" w:hAnsi="宋体" w:eastAsia="方正仿宋_GBK"/>
                <w:sz w:val="24"/>
                <w:u w:val="single"/>
                <w:lang w:val="en-US" w:eastAsia="zh-CN"/>
              </w:rPr>
              <w:t xml:space="preserve">   </w:t>
            </w:r>
            <w:r>
              <w:rPr>
                <w:rFonts w:ascii="宋体" w:hAnsi="宋体" w:eastAsia="方正仿宋_GBK"/>
                <w:sz w:val="24"/>
              </w:rPr>
              <w:t>日</w:t>
            </w:r>
          </w:p>
        </w:tc>
      </w:tr>
      <w:tr w14:paraId="68557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79" w:hRule="atLeast"/>
        </w:trPr>
        <w:tc>
          <w:tcPr>
            <w:tcW w:w="727" w:type="dxa"/>
            <w:noWrap w:val="0"/>
            <w:vAlign w:val="center"/>
          </w:tcPr>
          <w:p w14:paraId="3D64BD50">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ascii="宋体" w:hAnsi="宋体" w:eastAsia="方正仿宋_GBK"/>
                <w:sz w:val="24"/>
              </w:rPr>
            </w:pPr>
            <w:r>
              <w:rPr>
                <w:rFonts w:hint="eastAsia" w:ascii="宋体" w:hAnsi="宋体" w:eastAsia="方正仿宋_GBK"/>
                <w:sz w:val="24"/>
              </w:rPr>
              <w:t>备注</w:t>
            </w:r>
          </w:p>
        </w:tc>
        <w:tc>
          <w:tcPr>
            <w:tcW w:w="8293" w:type="dxa"/>
            <w:gridSpan w:val="4"/>
            <w:noWrap w:val="0"/>
            <w:vAlign w:val="center"/>
          </w:tcPr>
          <w:p w14:paraId="3A4035B7">
            <w:pPr>
              <w:keepNext w:val="0"/>
              <w:keepLines w:val="0"/>
              <w:pageBreakBefore w:val="0"/>
              <w:widowControl w:val="0"/>
              <w:kinsoku/>
              <w:wordWrap/>
              <w:overflowPunct/>
              <w:topLinePunct w:val="0"/>
              <w:autoSpaceDE/>
              <w:autoSpaceDN/>
              <w:bidi w:val="0"/>
              <w:adjustRightInd/>
              <w:snapToGrid w:val="0"/>
              <w:spacing w:line="300" w:lineRule="exact"/>
              <w:textAlignment w:val="auto"/>
              <w:rPr>
                <w:rFonts w:hint="eastAsia" w:ascii="宋体" w:hAnsi="宋体" w:eastAsia="方正仿宋_GBK"/>
                <w:sz w:val="24"/>
              </w:rPr>
            </w:pPr>
            <w:r>
              <w:rPr>
                <w:rFonts w:hint="eastAsia" w:ascii="宋体" w:hAnsi="宋体" w:eastAsia="方正仿宋_GBK"/>
                <w:sz w:val="24"/>
              </w:rPr>
              <w:t>（注明当事人的改正情况并核查后，执法人员签名）</w:t>
            </w:r>
          </w:p>
          <w:p w14:paraId="78140099">
            <w:pPr>
              <w:keepNext w:val="0"/>
              <w:keepLines w:val="0"/>
              <w:pageBreakBefore w:val="0"/>
              <w:widowControl w:val="0"/>
              <w:kinsoku/>
              <w:wordWrap/>
              <w:overflowPunct/>
              <w:topLinePunct w:val="0"/>
              <w:autoSpaceDE/>
              <w:autoSpaceDN/>
              <w:bidi w:val="0"/>
              <w:adjustRightInd/>
              <w:spacing w:line="300" w:lineRule="exact"/>
              <w:ind w:left="0" w:leftChars="0" w:firstLine="0" w:firstLineChars="0"/>
              <w:jc w:val="left"/>
              <w:textAlignment w:val="auto"/>
              <w:rPr>
                <w:rFonts w:hint="default" w:ascii="宋体" w:hAnsi="宋体" w:eastAsia="方正仿宋_GBK"/>
                <w:sz w:val="24"/>
                <w:u w:val="single"/>
                <w:lang w:val="en-US" w:eastAsia="zh-CN"/>
              </w:rPr>
            </w:pPr>
            <w:r>
              <w:rPr>
                <w:rFonts w:hint="eastAsia" w:ascii="宋体" w:hAnsi="宋体" w:eastAsia="方正仿宋_GBK"/>
                <w:sz w:val="24"/>
                <w:u w:val="single"/>
                <w:lang w:val="en-US" w:eastAsia="zh-CN"/>
              </w:rPr>
              <w:t xml:space="preserve">                                                                        </w:t>
            </w:r>
          </w:p>
          <w:p w14:paraId="21576C8F">
            <w:pPr>
              <w:keepNext w:val="0"/>
              <w:keepLines w:val="0"/>
              <w:pageBreakBefore w:val="0"/>
              <w:widowControl w:val="0"/>
              <w:kinsoku/>
              <w:wordWrap/>
              <w:overflowPunct/>
              <w:topLinePunct w:val="0"/>
              <w:autoSpaceDE/>
              <w:autoSpaceDN/>
              <w:bidi w:val="0"/>
              <w:adjustRightInd/>
              <w:spacing w:line="300" w:lineRule="exact"/>
              <w:ind w:left="0" w:leftChars="0" w:firstLine="0" w:firstLineChars="0"/>
              <w:jc w:val="left"/>
              <w:textAlignment w:val="auto"/>
              <w:rPr>
                <w:rFonts w:hint="eastAsia" w:ascii="宋体" w:hAnsi="宋体" w:eastAsia="方正仿宋_GBK"/>
                <w:sz w:val="24"/>
                <w:lang w:val="en-US" w:eastAsia="zh-CN"/>
              </w:rPr>
            </w:pPr>
            <w:r>
              <w:rPr>
                <w:rFonts w:hint="eastAsia" w:ascii="宋体" w:hAnsi="宋体" w:eastAsia="方正仿宋_GBK"/>
                <w:sz w:val="24"/>
                <w:u w:val="single"/>
                <w:lang w:val="en-US" w:eastAsia="zh-CN"/>
              </w:rPr>
              <w:t xml:space="preserve">                                                                        </w:t>
            </w:r>
            <w:r>
              <w:rPr>
                <w:rFonts w:hint="eastAsia" w:ascii="宋体" w:hAnsi="宋体" w:eastAsia="方正仿宋_GBK"/>
                <w:sz w:val="24"/>
                <w:lang w:val="en-US" w:eastAsia="zh-CN"/>
              </w:rPr>
              <w:t xml:space="preserve">                                                                    </w:t>
            </w:r>
          </w:p>
          <w:p w14:paraId="3B0EF954">
            <w:pPr>
              <w:keepNext w:val="0"/>
              <w:keepLines w:val="0"/>
              <w:pageBreakBefore w:val="0"/>
              <w:widowControl w:val="0"/>
              <w:kinsoku/>
              <w:wordWrap/>
              <w:overflowPunct/>
              <w:topLinePunct w:val="0"/>
              <w:autoSpaceDE/>
              <w:autoSpaceDN/>
              <w:bidi w:val="0"/>
              <w:adjustRightInd/>
              <w:snapToGrid w:val="0"/>
              <w:spacing w:line="300" w:lineRule="exact"/>
              <w:textAlignment w:val="auto"/>
              <w:rPr>
                <w:rFonts w:hint="eastAsia" w:ascii="宋体" w:hAnsi="宋体" w:eastAsia="方正仿宋_GBK"/>
                <w:sz w:val="24"/>
              </w:rPr>
            </w:pPr>
            <w:r>
              <w:rPr>
                <w:rFonts w:hint="eastAsia" w:ascii="宋体" w:hAnsi="宋体" w:eastAsia="方正仿宋_GBK"/>
                <w:sz w:val="24"/>
                <w:u w:val="single"/>
                <w:lang w:val="en-US" w:eastAsia="zh-CN"/>
              </w:rPr>
              <w:t xml:space="preserve">                                                                        </w:t>
            </w:r>
            <w:r>
              <w:rPr>
                <w:rFonts w:hint="eastAsia" w:ascii="宋体" w:hAnsi="宋体" w:eastAsia="方正仿宋_GBK"/>
                <w:sz w:val="24"/>
                <w:lang w:val="en-US" w:eastAsia="zh-CN"/>
              </w:rPr>
              <w:t xml:space="preserve">                                                                   </w:t>
            </w:r>
          </w:p>
          <w:p w14:paraId="6E8454A6">
            <w:pPr>
              <w:keepNext w:val="0"/>
              <w:keepLines w:val="0"/>
              <w:pageBreakBefore w:val="0"/>
              <w:widowControl w:val="0"/>
              <w:kinsoku/>
              <w:wordWrap/>
              <w:overflowPunct/>
              <w:topLinePunct w:val="0"/>
              <w:autoSpaceDE/>
              <w:autoSpaceDN/>
              <w:bidi w:val="0"/>
              <w:adjustRightInd/>
              <w:snapToGrid w:val="0"/>
              <w:spacing w:line="300" w:lineRule="exact"/>
              <w:ind w:firstLine="2400" w:firstLineChars="1000"/>
              <w:textAlignment w:val="auto"/>
              <w:rPr>
                <w:rFonts w:ascii="宋体" w:hAnsi="宋体" w:eastAsia="方正仿宋_GBK"/>
                <w:sz w:val="24"/>
              </w:rPr>
            </w:pPr>
            <w:r>
              <w:rPr>
                <w:rFonts w:hint="eastAsia" w:ascii="宋体" w:hAnsi="宋体" w:eastAsia="方正仿宋_GBK"/>
                <w:sz w:val="24"/>
              </w:rPr>
              <w:t>执法人员</w:t>
            </w:r>
            <w:r>
              <w:rPr>
                <w:rFonts w:ascii="宋体" w:hAnsi="宋体" w:eastAsia="方正仿宋_GBK"/>
                <w:sz w:val="24"/>
              </w:rPr>
              <w:t>签名：</w:t>
            </w:r>
          </w:p>
          <w:p w14:paraId="7EE97CB9">
            <w:pPr>
              <w:keepNext w:val="0"/>
              <w:keepLines w:val="0"/>
              <w:pageBreakBefore w:val="0"/>
              <w:widowControl w:val="0"/>
              <w:kinsoku/>
              <w:wordWrap/>
              <w:overflowPunct/>
              <w:topLinePunct w:val="0"/>
              <w:autoSpaceDE/>
              <w:autoSpaceDN/>
              <w:bidi w:val="0"/>
              <w:adjustRightInd/>
              <w:snapToGrid w:val="0"/>
              <w:spacing w:line="300" w:lineRule="exact"/>
              <w:textAlignment w:val="auto"/>
              <w:rPr>
                <w:rFonts w:ascii="宋体" w:hAnsi="宋体" w:eastAsia="方正仿宋_GBK"/>
                <w:sz w:val="24"/>
              </w:rPr>
            </w:pPr>
            <w:r>
              <w:rPr>
                <w:rFonts w:ascii="宋体" w:hAnsi="宋体" w:eastAsia="方正仿宋_GBK"/>
                <w:sz w:val="24"/>
              </w:rPr>
              <w:t xml:space="preserve">   </w:t>
            </w:r>
            <w:r>
              <w:rPr>
                <w:rFonts w:hint="eastAsia" w:ascii="宋体" w:hAnsi="宋体" w:eastAsia="方正仿宋_GBK"/>
                <w:sz w:val="24"/>
              </w:rPr>
              <w:t xml:space="preserve">                                         </w:t>
            </w:r>
            <w:r>
              <w:rPr>
                <w:rFonts w:hint="eastAsia" w:ascii="宋体" w:hAnsi="宋体" w:eastAsia="方正仿宋_GBK"/>
                <w:sz w:val="24"/>
                <w:lang w:val="en-US" w:eastAsia="zh-CN"/>
              </w:rPr>
              <w:t xml:space="preserve">   </w:t>
            </w:r>
            <w:r>
              <w:rPr>
                <w:rFonts w:hint="eastAsia" w:ascii="宋体" w:hAnsi="宋体" w:eastAsia="方正仿宋_GBK"/>
                <w:sz w:val="24"/>
                <w:u w:val="single"/>
                <w:lang w:val="en-US" w:eastAsia="zh-CN"/>
              </w:rPr>
              <w:t xml:space="preserve">    </w:t>
            </w:r>
            <w:r>
              <w:rPr>
                <w:rFonts w:ascii="宋体" w:hAnsi="宋体" w:eastAsia="方正仿宋_GBK"/>
                <w:sz w:val="24"/>
              </w:rPr>
              <w:t>年</w:t>
            </w:r>
            <w:r>
              <w:rPr>
                <w:rFonts w:hint="eastAsia" w:ascii="宋体" w:hAnsi="宋体" w:eastAsia="方正仿宋_GBK"/>
                <w:sz w:val="24"/>
                <w:u w:val="single"/>
                <w:lang w:val="en-US" w:eastAsia="zh-CN"/>
              </w:rPr>
              <w:t xml:space="preserve">   </w:t>
            </w:r>
            <w:r>
              <w:rPr>
                <w:rFonts w:ascii="宋体" w:hAnsi="宋体" w:eastAsia="方正仿宋_GBK"/>
                <w:sz w:val="24"/>
              </w:rPr>
              <w:t>月</w:t>
            </w:r>
            <w:r>
              <w:rPr>
                <w:rFonts w:hint="eastAsia" w:ascii="宋体" w:hAnsi="宋体" w:eastAsia="方正仿宋_GBK"/>
                <w:sz w:val="24"/>
                <w:u w:val="single"/>
                <w:lang w:val="en-US" w:eastAsia="zh-CN"/>
              </w:rPr>
              <w:t xml:space="preserve">   </w:t>
            </w:r>
            <w:r>
              <w:rPr>
                <w:rFonts w:ascii="宋体" w:hAnsi="宋体" w:eastAsia="方正仿宋_GBK"/>
                <w:sz w:val="24"/>
              </w:rPr>
              <w:t>日</w:t>
            </w:r>
          </w:p>
        </w:tc>
      </w:tr>
    </w:tbl>
    <w:p w14:paraId="1BE8D060"/>
    <w:sectPr>
      <w:pgSz w:w="11906" w:h="16838"/>
      <w:pgMar w:top="2098" w:right="1474" w:bottom="1984" w:left="1587" w:header="851" w:footer="822" w:gutter="0"/>
      <w:pgNumType w:fmt="decimal"/>
      <w:cols w:space="720" w:num="1"/>
      <w:rtlGutter w:val="0"/>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Verdana">
    <w:altName w:val="DejaVu Sans"/>
    <w:panose1 w:val="020B0604030504040204"/>
    <w:charset w:val="00"/>
    <w:family w:val="swiss"/>
    <w:pitch w:val="default"/>
    <w:sig w:usb0="00000000" w:usb1="00000000" w:usb2="00000010" w:usb3="00000000" w:csb0="2000019F"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方正小标宋简体">
    <w:panose1 w:val="02000000000000000000"/>
    <w:charset w:val="86"/>
    <w:family w:val="auto"/>
    <w:pitch w:val="default"/>
    <w:sig w:usb0="A00002BF" w:usb1="184F6CFA" w:usb2="00000012" w:usb3="00000000" w:csb0="00040001" w:csb1="00000000"/>
  </w:font>
  <w:font w:name="仿宋">
    <w:altName w:val="方正仿宋_GBK"/>
    <w:panose1 w:val="02010609060101010101"/>
    <w:charset w:val="86"/>
    <w:family w:val="auto"/>
    <w:pitch w:val="default"/>
    <w:sig w:usb0="00000000" w:usb1="00000000" w:usb2="00000016" w:usb3="00000000" w:csb0="00040001" w:csb1="00000000"/>
  </w:font>
  <w:font w:name="Noto Color Emoji">
    <w:altName w:val="国标仿宋"/>
    <w:panose1 w:val="00000000000000000000"/>
    <w:charset w:val="00"/>
    <w:family w:val="auto"/>
    <w:pitch w:val="default"/>
    <w:sig w:usb0="00000000" w:usb1="00000000" w:usb2="00000000" w:usb3="00000000" w:csb0="00000000" w:csb1="00000000"/>
  </w:font>
  <w:font w:name="国标仿宋">
    <w:panose1 w:val="02000500000000000000"/>
    <w:charset w:val="86"/>
    <w:family w:val="auto"/>
    <w:pitch w:val="default"/>
    <w:sig w:usb0="A00002BF" w:usb1="38C77CFA" w:usb2="00000016" w:usb3="00000000" w:csb0="00060007" w:csb1="00000000"/>
  </w:font>
  <w:font w:name="sans-serif">
    <w:altName w:val="国标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BF53C3">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A9BB7EB">
                          <w:pPr>
                            <w:pStyle w:val="5"/>
                            <w:rPr>
                              <w:rFonts w:hint="eastAsia"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  \* MERGEFORMAT </w:instrText>
                          </w:r>
                          <w:r>
                            <w:rPr>
                              <w:rFonts w:hint="eastAsia" w:ascii="仿宋" w:hAnsi="仿宋" w:eastAsia="仿宋" w:cs="仿宋"/>
                              <w:sz w:val="28"/>
                              <w:szCs w:val="28"/>
                            </w:rPr>
                            <w:fldChar w:fldCharType="separate"/>
                          </w:r>
                          <w:r>
                            <w:rPr>
                              <w:rFonts w:hint="eastAsia" w:ascii="仿宋" w:hAnsi="仿宋" w:eastAsia="仿宋" w:cs="仿宋"/>
                              <w:sz w:val="28"/>
                              <w:szCs w:val="28"/>
                            </w:rPr>
                            <w:t>- 1 -</w:t>
                          </w:r>
                          <w:r>
                            <w:rPr>
                              <w:rFonts w:hint="eastAsia" w:ascii="仿宋" w:hAnsi="仿宋" w:eastAsia="仿宋" w:cs="仿宋"/>
                              <w:sz w:val="28"/>
                              <w:szCs w:val="28"/>
                            </w:rPr>
                            <w:fldChar w:fldCharType="end"/>
                          </w:r>
                          <w:r>
                            <w:rPr>
                              <w:rFonts w:hint="eastAsia" w:ascii="仿宋" w:hAnsi="仿宋" w:eastAsia="仿宋" w:cs="仿宋"/>
                              <w:sz w:val="28"/>
                              <w:szCs w:val="28"/>
                            </w:rPr>
                            <w:t xml:space="preserve"> —</w:t>
                          </w:r>
                        </w:p>
                      </w:txbxContent>
                    </wps:txbx>
                    <wps:bodyPr vert="horz" wrap="none" lIns="0" tIns="0" rIns="0" bIns="0" anchor="t" anchorCtr="0" upright="0">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Jom5dHdAQAAvgMAAA4AAAAAAAAA&#10;AQAgAAAAHgEAAGRycy9lMm9Eb2MueG1sUEsFBgAAAAAGAAYAWQEAAG0FAAAAAA==&#10;">
              <v:fill on="f" focussize="0,0"/>
              <v:stroke on="f"/>
              <v:imagedata o:title=""/>
              <o:lock v:ext="edit" aspectratio="f"/>
              <v:textbox inset="0mm,0mm,0mm,0mm" style="mso-fit-shape-to-text:t;">
                <w:txbxContent>
                  <w:p w14:paraId="6A9BB7EB">
                    <w:pPr>
                      <w:pStyle w:val="5"/>
                      <w:rPr>
                        <w:rFonts w:hint="eastAsia"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  \* MERGEFORMAT </w:instrText>
                    </w:r>
                    <w:r>
                      <w:rPr>
                        <w:rFonts w:hint="eastAsia" w:ascii="仿宋" w:hAnsi="仿宋" w:eastAsia="仿宋" w:cs="仿宋"/>
                        <w:sz w:val="28"/>
                        <w:szCs w:val="28"/>
                      </w:rPr>
                      <w:fldChar w:fldCharType="separate"/>
                    </w:r>
                    <w:r>
                      <w:rPr>
                        <w:rFonts w:hint="eastAsia" w:ascii="仿宋" w:hAnsi="仿宋" w:eastAsia="仿宋" w:cs="仿宋"/>
                        <w:sz w:val="28"/>
                        <w:szCs w:val="28"/>
                      </w:rPr>
                      <w:t>- 1 -</w:t>
                    </w:r>
                    <w:r>
                      <w:rPr>
                        <w:rFonts w:hint="eastAsia" w:ascii="仿宋" w:hAnsi="仿宋" w:eastAsia="仿宋" w:cs="仿宋"/>
                        <w:sz w:val="28"/>
                        <w:szCs w:val="28"/>
                      </w:rPr>
                      <w:fldChar w:fldCharType="end"/>
                    </w:r>
                    <w:r>
                      <w:rPr>
                        <w:rFonts w:hint="eastAsia" w:ascii="仿宋" w:hAnsi="仿宋" w:eastAsia="仿宋" w:cs="仿宋"/>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F5B08A8"/>
    <w:rsid w:val="0E891F9D"/>
    <w:rsid w:val="0FD15AC9"/>
    <w:rsid w:val="2B7B9FFA"/>
    <w:rsid w:val="2FFFF280"/>
    <w:rsid w:val="37FFE027"/>
    <w:rsid w:val="3BA98DBD"/>
    <w:rsid w:val="3EFFBCDB"/>
    <w:rsid w:val="3FF8B34E"/>
    <w:rsid w:val="45EDB4B6"/>
    <w:rsid w:val="4DFD84DE"/>
    <w:rsid w:val="52244771"/>
    <w:rsid w:val="565B598C"/>
    <w:rsid w:val="5EFBE95B"/>
    <w:rsid w:val="5F751D37"/>
    <w:rsid w:val="5F7F3C59"/>
    <w:rsid w:val="5FD7E8CC"/>
    <w:rsid w:val="5FDF53BD"/>
    <w:rsid w:val="5FFF95B0"/>
    <w:rsid w:val="6A1C30ED"/>
    <w:rsid w:val="6FDD40BF"/>
    <w:rsid w:val="6FF6515F"/>
    <w:rsid w:val="7769A2DB"/>
    <w:rsid w:val="7AFF85BA"/>
    <w:rsid w:val="7BFBA69B"/>
    <w:rsid w:val="7D577486"/>
    <w:rsid w:val="7DAF39A3"/>
    <w:rsid w:val="7EFD5B3E"/>
    <w:rsid w:val="7F6B5B8C"/>
    <w:rsid w:val="7F7F954B"/>
    <w:rsid w:val="7FACC85D"/>
    <w:rsid w:val="7FE38174"/>
    <w:rsid w:val="7FFD7196"/>
    <w:rsid w:val="8F7B9510"/>
    <w:rsid w:val="97DF093F"/>
    <w:rsid w:val="9DF38CA7"/>
    <w:rsid w:val="A5FF84D5"/>
    <w:rsid w:val="AD3F1B9F"/>
    <w:rsid w:val="BB7DD215"/>
    <w:rsid w:val="BBEB57CF"/>
    <w:rsid w:val="BEFFEBEE"/>
    <w:rsid w:val="BFF9FADA"/>
    <w:rsid w:val="D71E88F4"/>
    <w:rsid w:val="DBAB8649"/>
    <w:rsid w:val="DFBE2D92"/>
    <w:rsid w:val="DFDFDFD9"/>
    <w:rsid w:val="EBAEF7D1"/>
    <w:rsid w:val="ED9B3842"/>
    <w:rsid w:val="EE9615D5"/>
    <w:rsid w:val="EF3F3982"/>
    <w:rsid w:val="F1FDDDC4"/>
    <w:rsid w:val="F6FE9617"/>
    <w:rsid w:val="F7E5944B"/>
    <w:rsid w:val="FA7EDBF4"/>
    <w:rsid w:val="FAE58D38"/>
    <w:rsid w:val="FAF36A7F"/>
    <w:rsid w:val="FDDD7A58"/>
    <w:rsid w:val="FE3FF70F"/>
    <w:rsid w:val="FF5B08A8"/>
    <w:rsid w:val="FF7E3E65"/>
    <w:rsid w:val="FFD5FD92"/>
    <w:rsid w:val="FFDF4D23"/>
    <w:rsid w:val="FFFEFD89"/>
    <w:rsid w:val="FFFF65B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spacing w:line="240" w:lineRule="atLeast"/>
      <w:ind w:firstLine="420"/>
    </w:pPr>
    <w:rPr>
      <w:rFonts w:ascii="Verdana" w:hAnsi="Verdana" w:eastAsia="仿宋_GB2312" w:cs="宋体"/>
      <w:sz w:val="32"/>
      <w:szCs w:val="32"/>
    </w:rPr>
  </w:style>
  <w:style w:type="paragraph" w:styleId="3">
    <w:name w:val="Body Text"/>
    <w:basedOn w:val="1"/>
    <w:next w:val="4"/>
    <w:qFormat/>
    <w:uiPriority w:val="0"/>
    <w:pPr>
      <w:jc w:val="center"/>
    </w:pPr>
    <w:rPr>
      <w:rFonts w:ascii="Times New Roman" w:hAnsi="Times New Roman" w:eastAsia="黑体" w:cs="Times New Roman"/>
      <w:sz w:val="44"/>
      <w:szCs w:val="20"/>
    </w:rPr>
  </w:style>
  <w:style w:type="paragraph" w:styleId="4">
    <w:name w:val="toc 5"/>
    <w:basedOn w:val="1"/>
    <w:next w:val="1"/>
    <w:qFormat/>
    <w:uiPriority w:val="0"/>
    <w:pPr>
      <w:ind w:left="1680" w:leftChars="800"/>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styleId="10">
    <w:name w:val="Strong"/>
    <w:basedOn w:val="9"/>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2408</Words>
  <Characters>2462</Characters>
  <Lines>0</Lines>
  <Paragraphs>0</Paragraphs>
  <TotalTime>38</TotalTime>
  <ScaleCrop>false</ScaleCrop>
  <LinksUpToDate>false</LinksUpToDate>
  <CharactersWithSpaces>3453</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2022-06-02T08:03:00Z</dcterms:created>
  <dc:creator>kylin</dc:creator>
  <cp:lastModifiedBy>微信用户</cp:lastModifiedBy>
  <cp:lastPrinted>2026-08-01T02:12:00Z</cp:lastPrinted>
  <dcterms:modified xsi:type="dcterms:W3CDTF">2026-09-03T17:08:04Z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E925FB99E89CE971F438996AB3EF83F0_43</vt:lpwstr>
  </property>
</Properties>
</file>