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rPr>
          <w:rFonts w:ascii="黑体" w:hAnsi="宋体" w:eastAsia="黑体"/>
          <w:color w:val="002060"/>
          <w:sz w:val="72"/>
          <w:szCs w:val="72"/>
        </w:rPr>
        <w:pict>
          <v:shape id="图片 7" o:spid="_x0000_s1026" o:spt="75" type="#_x0000_t75" style="position:absolute;left:0pt;margin-left:-78.75pt;margin-top:-106.7pt;height:850.15pt;width:596.6pt;z-index:-1024;mso-width-relative:page;mso-height-relative:page;" filled="f" o:preferrelative="t" stroked="f" coordsize="21600,21600">
            <v:path/>
            <v:fill on="f" focussize="0,0"/>
            <v:stroke on="f" joinstyle="miter"/>
            <v:imagedata r:id="rId4" o:title=""/>
            <o:lock v:ext="edit" aspectratio="t"/>
          </v:shape>
        </w:pict>
      </w:r>
    </w:p>
    <w:p>
      <w:pPr>
        <w:widowControl/>
        <w:jc w:val="center"/>
        <w:rPr>
          <w:rFonts w:ascii="黑体" w:hAnsi="宋体" w:eastAsia="黑体"/>
          <w:color w:val="002060"/>
          <w:sz w:val="72"/>
          <w:szCs w:val="72"/>
        </w:rPr>
      </w:pPr>
      <w:r>
        <w:rPr>
          <w:sz w:val="72"/>
        </w:rPr>
        <w:pict>
          <v:rect id="文本框 8" o:spid="_x0000_s1027" o:spt="1" style="position:absolute;left:0pt;margin-left:-83.1pt;margin-top:43.25pt;height:166.25pt;width:596.2pt;z-index:102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72"/>
                      <w:szCs w:val="72"/>
                    </w:rPr>
                    <w:t>中国共产党迁安市委员会组织部</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rect>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sectPr>
          <w:pgSz w:w="11906" w:h="16838"/>
          <w:pgMar w:top="2098" w:right="1474" w:bottom="1985" w:left="1588" w:header="851" w:footer="992" w:gutter="0"/>
          <w:cols w:space="720" w:num="1"/>
          <w:docGrid w:type="lines" w:linePitch="312" w:charSpace="0"/>
        </w:sectPr>
      </w:pPr>
      <w:r>
        <w:rPr>
          <w:rFonts w:hint="eastAsia" w:ascii="楷体" w:hAnsi="楷体" w:eastAsia="楷体" w:cs="楷体"/>
          <w:b/>
          <w:sz w:val="44"/>
          <w:szCs w:val="44"/>
        </w:rPr>
        <w:t>二〇一九年八月</w:t>
      </w:r>
    </w:p>
    <w:p>
      <w:pPr>
        <w:widowControl/>
        <w:jc w:val="center"/>
        <w:rPr>
          <w:rFonts w:ascii="黑体" w:hAnsi="黑体" w:eastAsia="黑体" w:cs="黑体"/>
          <w:b/>
          <w:sz w:val="44"/>
          <w:szCs w:val="44"/>
        </w:rPr>
      </w:pPr>
      <w:r>
        <w:rPr>
          <w:rFonts w:ascii="黑体" w:hAnsi="黑体" w:eastAsia="黑体" w:cs="黑体"/>
          <w:b/>
          <w:sz w:val="44"/>
          <w:szCs w:val="44"/>
        </w:rPr>
        <w:pict>
          <v:shape id="_x0000_s1028" o:spid="_x0000_s1028" o:spt="75" alt="微信图片_20190812082549" type="#_x0000_t75" style="position:absolute;left:0pt;margin-left:-59pt;margin-top:-78.05pt;height:763.6pt;width:550.4pt;z-index:-1024;mso-width-relative:page;mso-height-relative:page;" filled="f" o:preferrelative="t" stroked="f" coordsize="21600,21600">
            <v:path/>
            <v:fill on="f" focussize="0,0"/>
            <v:stroke on="f" joinstyle="miter"/>
            <v:imagedata r:id="rId5" o:title="微信图片_20190812082549"/>
            <o:lock v:ext="edit" aspectratio="t"/>
          </v:shape>
        </w:pict>
      </w:r>
    </w:p>
    <w:p>
      <w:pPr>
        <w:widowControl/>
        <w:jc w:val="center"/>
        <w:rPr>
          <w:rFonts w:ascii="黑体" w:hAnsi="黑体" w:eastAsia="黑体" w:cs="黑体"/>
          <w:bCs/>
          <w:sz w:val="44"/>
          <w:szCs w:val="44"/>
        </w:rPr>
      </w:pPr>
    </w:p>
    <w:p>
      <w:pPr>
        <w:widowControl/>
        <w:jc w:val="center"/>
        <w:rPr>
          <w:rFonts w:ascii="黑体" w:hAnsi="黑体" w:eastAsia="黑体" w:cs="黑体"/>
          <w:bCs/>
          <w:sz w:val="44"/>
          <w:szCs w:val="44"/>
        </w:rPr>
      </w:pPr>
    </w:p>
    <w:p>
      <w:pPr>
        <w:widowControl/>
        <w:spacing w:line="240" w:lineRule="auto"/>
        <w:ind w:firstLine="640" w:firstLineChars="200"/>
        <w:jc w:val="left"/>
        <w:rPr>
          <w:rFonts w:ascii="方正仿宋_GBK" w:hAnsi="方正仿宋_GBK" w:eastAsia="方正仿宋_GBK" w:cs="方正仿宋_GBK"/>
          <w:bCs/>
          <w:color w:val="333333"/>
          <w:sz w:val="32"/>
          <w:szCs w:val="32"/>
          <w:shd w:val="clear" w:color="auto" w:fill="FFFFFF"/>
        </w:rPr>
      </w:pPr>
    </w:p>
    <w:p>
      <w:pPr>
        <w:widowControl/>
        <w:spacing w:line="240" w:lineRule="auto"/>
        <w:ind w:firstLine="640" w:firstLineChars="200"/>
        <w:jc w:val="center"/>
        <w:rPr>
          <w:rFonts w:ascii="方正仿宋_GBK" w:hAnsi="方正仿宋_GBK" w:eastAsia="方正仿宋_GBK" w:cs="方正仿宋_GBK"/>
          <w:bCs/>
          <w:color w:val="333333"/>
          <w:sz w:val="32"/>
          <w:szCs w:val="32"/>
          <w:shd w:val="clear" w:color="auto" w:fill="FFFFFF"/>
        </w:rPr>
      </w:pPr>
    </w:p>
    <w:p>
      <w:pPr>
        <w:widowControl/>
        <w:spacing w:line="240" w:lineRule="auto"/>
        <w:ind w:firstLine="640" w:firstLineChars="200"/>
        <w:jc w:val="center"/>
        <w:rPr>
          <w:rFonts w:ascii="方正仿宋_GBK" w:hAnsi="方正仿宋_GBK" w:eastAsia="方正仿宋_GBK" w:cs="方正仿宋_GBK"/>
          <w:color w:val="333333"/>
          <w:sz w:val="32"/>
          <w:szCs w:val="32"/>
          <w:shd w:val="clear" w:color="auto" w:fill="FFFFFF"/>
        </w:rPr>
      </w:pPr>
    </w:p>
    <w:p>
      <w:pPr>
        <w:widowControl/>
        <w:spacing w:line="240" w:lineRule="auto"/>
        <w:ind w:firstLine="640" w:firstLineChars="200"/>
        <w:jc w:val="center"/>
        <w:rPr>
          <w:rFonts w:ascii="方正仿宋_GBK" w:hAnsi="方正仿宋_GBK" w:eastAsia="方正仿宋_GBK" w:cs="方正仿宋_GBK"/>
          <w:color w:val="333333"/>
          <w:sz w:val="32"/>
          <w:szCs w:val="32"/>
          <w:shd w:val="clear" w:color="auto" w:fill="FFFFFF"/>
        </w:rPr>
      </w:pPr>
    </w:p>
    <w:p>
      <w:pPr>
        <w:rPr>
          <w:rFonts w:ascii="黑体" w:eastAsia="黑体"/>
          <w:sz w:val="44"/>
          <w:szCs w:val="44"/>
        </w:rPr>
      </w:pPr>
    </w:p>
    <w:p>
      <w:pPr>
        <w:rPr>
          <w:rFonts w:ascii="黑体" w:eastAsia="黑体"/>
          <w:sz w:val="44"/>
          <w:szCs w:val="44"/>
        </w:rPr>
      </w:pPr>
    </w:p>
    <w:p>
      <w:pPr>
        <w:rPr>
          <w:rFonts w:ascii="黑体" w:eastAsia="黑体"/>
          <w:sz w:val="44"/>
          <w:szCs w:val="44"/>
        </w:rPr>
      </w:pPr>
    </w:p>
    <w:p>
      <w:pPr>
        <w:rPr>
          <w:rFonts w:ascii="黑体" w:eastAsia="黑体"/>
          <w:sz w:val="44"/>
          <w:szCs w:val="44"/>
        </w:rPr>
      </w:pPr>
    </w:p>
    <w:p>
      <w:pPr>
        <w:rPr>
          <w:rFonts w:ascii="黑体" w:eastAsia="黑体"/>
          <w:sz w:val="44"/>
          <w:szCs w:val="44"/>
        </w:rPr>
      </w:pPr>
    </w:p>
    <w:p>
      <w:pPr>
        <w:spacing w:before="624" w:beforeLines="200" w:after="0" w:line="1000" w:lineRule="exact"/>
        <w:jc w:val="center"/>
        <w:rPr>
          <w:rFonts w:ascii="黑体" w:eastAsia="黑体"/>
          <w:sz w:val="48"/>
          <w:szCs w:val="48"/>
        </w:rPr>
      </w:pPr>
    </w:p>
    <w:p>
      <w:pPr>
        <w:spacing w:before="624" w:beforeLines="200" w:after="0" w:line="1000" w:lineRule="exact"/>
        <w:jc w:val="center"/>
        <w:rPr>
          <w:rFonts w:ascii="黑体" w:eastAsia="黑体"/>
          <w:sz w:val="48"/>
          <w:szCs w:val="48"/>
        </w:rPr>
      </w:pPr>
    </w:p>
    <w:p>
      <w:pPr>
        <w:spacing w:before="624"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中国共产党迁安市委员会组织部</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pict>
          <v:shape id="图片 12" o:spid="_x0000_s1029" o:spt="75" type="#_x0000_t75" style="position:absolute;left:0pt;margin-left:-80.7pt;margin-top:-106.45pt;height:844.65pt;width:597.3pt;z-index:-1024;mso-width-relative:page;mso-height-relative:page;" filled="f" o:preferrelative="t" stroked="f" coordsize="21600,21600">
            <v:path/>
            <v:fill on="f" focussize="0,0"/>
            <v:stroke on="f" joinstyle="miter"/>
            <v:imagedata r:id="rId6" o:title=""/>
            <o:lock v:ext="edit" aspectratio="t"/>
          </v:shape>
        </w:pict>
      </w:r>
      <w:r>
        <w:rPr>
          <w:sz w:val="72"/>
        </w:rPr>
        <w:pict>
          <v:rect id="文本框 118" o:spid="_x0000_s1030" o:spt="1" style="position:absolute;left:0pt;margin-left:-97.3pt;margin-top:259.1pt;height:81.7pt;width:613.65pt;z-index:1024;mso-width-relative:page;mso-height-relative:page;" filled="f" o:preferrelative="t" stroked="f" coordsize="21600,21600">
            <v:path/>
            <v:fill on="f" focussize="0,0"/>
            <v:stroke on="f"/>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rect>
        </w:pict>
      </w:r>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根据《迁安市委组织部职能配置、内设机构和人员编制方案》规定，迁安市委组织部的主要职责是：</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1、根据党的路线、方针、政策，研究和解决全市组织工作方面的问题。</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2、负责全市干部的宏观管理，负责科级领导班子和领导干部考核、考察，负责培养、选拔、推荐乡科级领导干部，提出调整乡科级领导班子意见。</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3、总结和传播党的组织工作经验，研究和改进全市党的基层组织建设，提出我市实施党的组织路线和具体措施。</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4、搞好全市党员发展、教育和管理。</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5、检查下级党委组织生活情况，负责审查干部，落实干部和知识分子政策。</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6、负责全市干部和党员统计以及市委管理的干部档案等。</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7、管理市委老干部局。</w:t>
      </w:r>
    </w:p>
    <w:p>
      <w:pPr>
        <w:spacing w:after="0" w:line="560" w:lineRule="exact"/>
        <w:ind w:firstLine="640" w:firstLineChars="200"/>
        <w:rPr>
          <w:rFonts w:ascii="仿宋_GB2312" w:hAnsi="Cambria" w:eastAsia="仿宋_GB2312" w:cs="ArialUnicodeMS"/>
          <w:kern w:val="0"/>
          <w:sz w:val="32"/>
          <w:szCs w:val="32"/>
          <w:shd w:val="clear" w:color="FFFFFF" w:fill="D9D9D9"/>
        </w:rPr>
      </w:pPr>
      <w:r>
        <w:rPr>
          <w:rFonts w:hint="eastAsia" w:ascii="仿宋_GB2312" w:hAnsi="Cambria" w:eastAsia="仿宋_GB2312" w:cs="ArialUnicodeMS"/>
          <w:kern w:val="0"/>
          <w:sz w:val="32"/>
          <w:szCs w:val="32"/>
        </w:rPr>
        <w:t>8、承办市委交办的其他工作任务。</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按照编制方案规定，我部共有11个科室：</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1.办公室</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负责机关各科室的协调和部领导部署工作的督查；负责机关信息、调研工作；负责组织系统信访、机关保密工作；负责机关的安全保卫等事务性工作。</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2.干部一科</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乡科级领导班子的思想作风建设工作；负责全市科级领导干部和党群系统工作人员的任免、调配以及工资福利、离退休工作；负责县级和乡科级后备干部及选调生工作；负责干部统计工作；负责乡科级干部和乡镇行政编制及党群机关工作人员的档案管理使用，并对全市干部档案工作实施宏观指导。</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3.干部二科</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全市乡科级领导干部的审查监督工作；负责对犯错误干部的教育管理工作；负责对部管干部参加工作时间、工龄、年龄、学历审定工作；负责公派出国人员的政治、历史情况审查工作；负责领导干部离任审计工作的协调指导工作；负责全市干部培训工作规划的制定和实施；负责全市人才工作；负责组织史资料的征集和编写。</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4.市委考评委办</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起草、完善市委管理的领导班子和领导干部考评工作的有关政策、文件，分解考评目标，审定考评责任单位考评实施细则；负责市委管理的领导班子和领导干部考评内容及分值的设置；负责市委管理的领导班子和领导干部的年度和平时考评工作；向部委会、市委常委会提出市委管理的领导班子和领导干部的考评等次、奖惩等初步意见；组织考评干部的业务学习和培训工作；协助唐山市委完成唐山市管干部的考核工作；完成上级交办的其他工作任务。</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5.组织一科</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县、乡、村“三级联创”工作，负责全市乡村两级党组织的评先选优工作；负责全市农村基层组织建设工作，负责乡村两级党组织的设置、调整工作；负责全市农村干部队伍建设工作；负责全市到村任职干部的管理工作；负责大学生村官的管理工作；负责全市后进村整顿转化工作。</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6.组织二科</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全市机关事业单位、企业、街道社区、学校的基层党组织建设工作；抓好《中国共产党党和国家机关基层组织工作条例》和有关党内法规的贯彻落实；负责全市机关事业单位、企业、街道社区、学校党组织设置、调整工作；负责全市党费收缴、管理和使用工作。</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7.组织员办公室</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全市党员队伍建设；负责制定全市党员发展教育管理工作规划和发展教育管理工作；负责组织关系接转工作；负责“一助一”扶贫济困和困难党员的关爱扶助工作；负责党员年度统计工作；负责党刊的征订、发行和学刊用刊指导工作。</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8.市委党员电化(远程)教育中心</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负责全市党员电化远程教育工作，组织党教片的引进、复制和发行，办好自办节目，配合有关科室及时做好党建方面的宣传报道；负责全市的农村党员干部远程教育工作。</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9.人才科</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全市干部教育工作；负责全市干部培训工作规划的制定和实施；负责指导、协调、检查全市各单位的干部教育和培训工作；负责选派各级干部参加唐山市级以上各类培训；负责全市人才工作的牵头抓总和市委人才工作协调小组办公室的日常工作；负责研究制定并协调落实全市人才工作长远规划、年度计划；负责指导、研究、制定全市各类人才选拔、培养及引进工作有关政策；负责协调有关部门落实市委、市政府对各类高层次人才的优惠政策和奖励措施；负责协调指导全市拔尖人才和优秀专家的选拔管理工作。</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10.新闻和网络宣传中心</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围绕加强党的建设和组织工作中心任务，在重要新闻门户网站和论坛，及时发布事关全局的组织工作安排部署、政策规定和重大举措；负责对国内的主要新闻网站及热点论坛开展跟踪监控，及时发现、应对、处置涉组涉干涉党的负面网络舆情，并积极有序引导社会各界和人民群众关心关注的热点问题，防止和化解不当及恶意炒作。</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11.党代表联络科</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联系、协调、组织党代表的学习、培训、调研、视察等活动；负责党代表提案、提议、询问、质询办理的督促检查；收集、整理、综合党代表提出的意见和建议；承办党代表资格管理的具体工作；安排党代表列席有关会议，参加民主测评、评议和民主推荐；受上级党委委托组织上级党代表大会代表的活动；指导市、乡、村三级党员代表大会（党员大会）的组织、选举工作。</w:t>
      </w:r>
    </w:p>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 xml:space="preserve">    从决算编报单位构成看，纳入2018年度本部门决算汇编范围的独立核算单位（以下简称“单位”）共1个，具体情况如下：</w:t>
      </w:r>
    </w:p>
    <w:tbl>
      <w:tblPr>
        <w:tblStyle w:val="11"/>
        <w:tblpPr w:leftFromText="180" w:rightFromText="180" w:vertAnchor="text" w:horzAnchor="page" w:tblpXSpec="center" w:tblpY="10"/>
        <w:tblOverlap w:val="never"/>
        <w:tblW w:w="95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9"/>
        <w:gridCol w:w="5123"/>
        <w:gridCol w:w="2066"/>
        <w:gridCol w:w="15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atLeast"/>
          <w:jc w:val="center"/>
        </w:trPr>
        <w:tc>
          <w:tcPr>
            <w:tcW w:w="819"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5123"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066"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1532"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atLeast"/>
          <w:jc w:val="center"/>
        </w:trPr>
        <w:tc>
          <w:tcPr>
            <w:tcW w:w="819"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5123"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中国共产党迁安市委员会组织部(本级)</w:t>
            </w:r>
          </w:p>
        </w:tc>
        <w:tc>
          <w:tcPr>
            <w:tcW w:w="2066"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1532"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bl>
    <w:p>
      <w:pPr>
        <w:widowControl/>
        <w:spacing w:line="560" w:lineRule="exact"/>
        <w:jc w:val="center"/>
        <w:rPr>
          <w:rFonts w:ascii="黑体" w:hAnsi="Cambria" w:eastAsia="黑体" w:cs="MS-UIGothic,Bold"/>
          <w:bCs/>
          <w:kern w:val="0"/>
          <w:sz w:val="52"/>
          <w:szCs w:val="52"/>
        </w:rPr>
      </w:pPr>
    </w:p>
    <w:p>
      <w:pPr>
        <w:widowControl/>
        <w:spacing w:line="560" w:lineRule="exact"/>
        <w:jc w:val="center"/>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pict>
          <v:shape id="图片 16" o:spid="_x0000_s1031" o:spt="75" type="#_x0000_t75" style="position:absolute;left:0pt;margin-left:-80.6pt;margin-top:-104.5pt;height:840.95pt;width:596.15pt;z-index:-1024;mso-width-relative:page;mso-height-relative:page;" filled="f" o:preferrelative="t" stroked="f" coordsize="21600,21600">
            <v:path/>
            <v:fill on="f" focussize="0,0"/>
            <v:stroke on="f" joinstyle="miter"/>
            <v:imagedata r:id="rId6"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720" w:num="1"/>
          <w:docGrid w:type="lines" w:linePitch="312" w:charSpace="0"/>
        </w:sectPr>
      </w:pPr>
      <w:r>
        <w:rPr>
          <w:sz w:val="72"/>
        </w:rPr>
        <w:pict>
          <v:rect id="文本框 17" o:spid="_x0000_s1032" o:spt="1" style="position:absolute;left:0pt;margin-left:-74.2pt;margin-top:120.3pt;height:159.1pt;width:596.2pt;z-index:102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w:r>
    </w:p>
    <w:tbl>
      <w:tblPr>
        <w:tblStyle w:val="11"/>
        <w:tblW w:w="9300" w:type="dxa"/>
        <w:jc w:val="center"/>
        <w:tblInd w:w="0" w:type="dxa"/>
        <w:tblLayout w:type="fixed"/>
        <w:tblCellMar>
          <w:top w:w="0" w:type="dxa"/>
          <w:left w:w="0" w:type="dxa"/>
          <w:bottom w:w="0" w:type="dxa"/>
          <w:right w:w="0" w:type="dxa"/>
        </w:tblCellMar>
      </w:tblPr>
      <w:tblGrid>
        <w:gridCol w:w="2700"/>
        <w:gridCol w:w="567"/>
        <w:gridCol w:w="1336"/>
        <w:gridCol w:w="2700"/>
        <w:gridCol w:w="567"/>
        <w:gridCol w:w="1430"/>
      </w:tblGrid>
      <w:tr>
        <w:tblPrEx>
          <w:tblLayout w:type="fixed"/>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Layout w:type="fixed"/>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Layout w:type="fixed"/>
          <w:tblCellMar>
            <w:top w:w="0" w:type="dxa"/>
            <w:left w:w="0" w:type="dxa"/>
            <w:bottom w:w="0" w:type="dxa"/>
            <w:right w:w="0" w:type="dxa"/>
          </w:tblCellMar>
        </w:tblPrEx>
        <w:trPr>
          <w:trHeight w:val="418" w:hRule="atLeast"/>
          <w:jc w:val="center"/>
        </w:trPr>
        <w:tc>
          <w:tcPr>
            <w:tcW w:w="4603" w:type="dxa"/>
            <w:gridSpan w:val="3"/>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r>
              <w:rPr>
                <w:rFonts w:hint="eastAsia" w:ascii="宋体" w:hAnsi="宋体" w:cs="宋体"/>
                <w:color w:val="000000"/>
                <w:kern w:val="0"/>
                <w:sz w:val="20"/>
                <w:szCs w:val="20"/>
              </w:rPr>
              <w:t>部门：中国共产党迁安市委员会组织部</w:t>
            </w: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Layout w:type="fixed"/>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Layout w:type="fixed"/>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Layout w:type="fixed"/>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950.76</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877.70</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60.70</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25.06</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950.76</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963.45</w:t>
            </w:r>
          </w:p>
        </w:tc>
      </w:tr>
      <w:tr>
        <w:tblPrEx>
          <w:tblLayout w:type="fixed"/>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66.52</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53.82</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1017.28</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1017.28</w:t>
            </w:r>
          </w:p>
        </w:tc>
      </w:tr>
      <w:tr>
        <w:tblPrEx>
          <w:tblLayout w:type="fixed"/>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1"/>
        <w:tblW w:w="8800" w:type="dxa"/>
        <w:jc w:val="center"/>
        <w:tblInd w:w="0" w:type="dxa"/>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Layout w:type="fixed"/>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Layout w:type="fixed"/>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Layout w:type="fixed"/>
          <w:tblCellMar>
            <w:top w:w="0" w:type="dxa"/>
            <w:left w:w="0" w:type="dxa"/>
            <w:bottom w:w="0" w:type="dxa"/>
            <w:right w:w="0" w:type="dxa"/>
          </w:tblCellMar>
        </w:tblPrEx>
        <w:trPr>
          <w:trHeight w:val="362" w:hRule="atLeast"/>
          <w:jc w:val="center"/>
        </w:trPr>
        <w:tc>
          <w:tcPr>
            <w:tcW w:w="3960" w:type="dxa"/>
            <w:gridSpan w:val="8"/>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r>
              <w:rPr>
                <w:rFonts w:hint="eastAsia" w:ascii="宋体" w:hAnsi="宋体" w:cs="宋体"/>
                <w:color w:val="000000"/>
                <w:kern w:val="0"/>
                <w:szCs w:val="21"/>
              </w:rPr>
              <w:t>部门：中国共产党迁安市委员会组织部</w:t>
            </w: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Layout w:type="fixed"/>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Layout w:type="fixed"/>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Layout w:type="fixed"/>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950.76</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950.76</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865.01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865.01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组织事务</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865.01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865.01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865.01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865.01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60.70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60.70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其他行政事业单位离退休支出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其他优抚支出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1"/>
        <w:tblW w:w="9000" w:type="dxa"/>
        <w:tblInd w:w="0" w:type="dxa"/>
        <w:tblLayout w:type="fixed"/>
        <w:tblCellMar>
          <w:top w:w="0" w:type="dxa"/>
          <w:left w:w="0" w:type="dxa"/>
          <w:bottom w:w="0" w:type="dxa"/>
          <w:right w:w="0" w:type="dxa"/>
        </w:tblCellMar>
      </w:tblPr>
      <w:tblGrid>
        <w:gridCol w:w="290"/>
        <w:gridCol w:w="289"/>
        <w:gridCol w:w="335"/>
        <w:gridCol w:w="1585"/>
        <w:gridCol w:w="647"/>
        <w:gridCol w:w="436"/>
        <w:gridCol w:w="682"/>
        <w:gridCol w:w="402"/>
        <w:gridCol w:w="718"/>
        <w:gridCol w:w="365"/>
        <w:gridCol w:w="753"/>
        <w:gridCol w:w="331"/>
        <w:gridCol w:w="789"/>
        <w:gridCol w:w="294"/>
        <w:gridCol w:w="1084"/>
      </w:tblGrid>
      <w:tr>
        <w:tblPrEx>
          <w:tblLayout w:type="fixed"/>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Layout w:type="fixed"/>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58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Layout w:type="fixed"/>
          <w:tblCellMar>
            <w:top w:w="0" w:type="dxa"/>
            <w:left w:w="0" w:type="dxa"/>
            <w:bottom w:w="0" w:type="dxa"/>
            <w:right w:w="0" w:type="dxa"/>
          </w:tblCellMar>
        </w:tblPrEx>
        <w:trPr>
          <w:trHeight w:val="380" w:hRule="atLeast"/>
        </w:trPr>
        <w:tc>
          <w:tcPr>
            <w:tcW w:w="4264" w:type="dxa"/>
            <w:gridSpan w:val="7"/>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r>
              <w:rPr>
                <w:rFonts w:hint="eastAsia" w:ascii="宋体" w:hAnsi="宋体" w:cs="宋体"/>
                <w:color w:val="000000"/>
                <w:kern w:val="0"/>
                <w:szCs w:val="21"/>
              </w:rPr>
              <w:t>部门：中国共产党迁安市委员会组织部</w:t>
            </w: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748" w:hRule="atLeast"/>
        </w:trPr>
        <w:tc>
          <w:tcPr>
            <w:tcW w:w="249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Layout w:type="fixed"/>
          <w:tblCellMar>
            <w:top w:w="0" w:type="dxa"/>
            <w:left w:w="0" w:type="dxa"/>
            <w:bottom w:w="0" w:type="dxa"/>
            <w:right w:w="0" w:type="dxa"/>
          </w:tblCellMar>
        </w:tblPrEx>
        <w:trPr>
          <w:trHeight w:val="782"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963.45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402.53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560.92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877.70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376.06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501.64</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组织事务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877.70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376.06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501.64</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2013201</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877.70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376.06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501.64</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60.70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其他行政事业单位离退休支出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2080899</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其他优抚支出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91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cols w:space="720" w:num="1"/>
          <w:docGrid w:type="lines" w:linePitch="312" w:charSpace="0"/>
        </w:sectPr>
      </w:pPr>
    </w:p>
    <w:tbl>
      <w:tblPr>
        <w:tblStyle w:val="11"/>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Layout w:type="fixed"/>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Layout w:type="fixed"/>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Layout w:type="fixed"/>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rPr>
              <w:t>中国共产党迁安市委员会组织部</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Layout w:type="fixed"/>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950.76</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877.70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877.70</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60.70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60.70</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25.06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25.06</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950.76</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963.45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963.45</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66.52</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53.82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53.82</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66.52</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1017.28</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1017.28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1017.28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1"/>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Layout w:type="fixed"/>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Layout w:type="fixed"/>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Layout w:type="fixed"/>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部门：中国共产党迁安市委员会组织部</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Layout w:type="fixed"/>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Layout w:type="fixed"/>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Layout w:type="fixed"/>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963.45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402.53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560.92</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877.70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376.06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501.64</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组织事务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877.70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376.06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501.64</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877.70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376.06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501.64</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60.70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其他行政事业单位离退休支出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其他优抚支出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59.28</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1"/>
        <w:tblW w:w="9180" w:type="dxa"/>
        <w:jc w:val="center"/>
        <w:tblInd w:w="0" w:type="dxa"/>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Layout w:type="fixed"/>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Layout w:type="fixed"/>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Layout w:type="fixed"/>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Cs w:val="21"/>
              </w:rPr>
              <w:t>中国共产党迁安市委员会组织部</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Layout w:type="fixed"/>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Layout w:type="fixed"/>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Layout w:type="fixed"/>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332.14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68.92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112.22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5.80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130.09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64.67</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25.17</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1.47</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4.01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7.92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18.18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25.07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333.61</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68.92</w:t>
            </w:r>
          </w:p>
        </w:tc>
      </w:tr>
      <w:tr>
        <w:tblPrEx>
          <w:tblLayout w:type="fixed"/>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1"/>
        <w:tblW w:w="8800" w:type="dxa"/>
        <w:jc w:val="center"/>
        <w:tblInd w:w="0" w:type="dxa"/>
        <w:tblLayout w:type="fixed"/>
        <w:tblCellMar>
          <w:top w:w="0" w:type="dxa"/>
          <w:left w:w="0" w:type="dxa"/>
          <w:bottom w:w="0" w:type="dxa"/>
          <w:right w:w="0" w:type="dxa"/>
        </w:tblCellMar>
      </w:tblPr>
      <w:tblGrid>
        <w:gridCol w:w="1158"/>
        <w:gridCol w:w="1527"/>
        <w:gridCol w:w="1528"/>
        <w:gridCol w:w="1530"/>
        <w:gridCol w:w="1530"/>
        <w:gridCol w:w="1527"/>
      </w:tblGrid>
      <w:tr>
        <w:tblPrEx>
          <w:tblLayout w:type="fixed"/>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Layout w:type="fixed"/>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Layout w:type="fixed"/>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rPr>
              <w:t>中国共产党迁安市委员会组织部</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Layout w:type="fixed"/>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Layout w:type="fixed"/>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54.00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14.00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40.00</w:t>
            </w:r>
          </w:p>
        </w:tc>
      </w:tr>
      <w:tr>
        <w:tblPrEx>
          <w:tblLayout w:type="fixed"/>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Layout w:type="fixed"/>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Layout w:type="fixed"/>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24.59</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7.92</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7.92</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16.68</w:t>
            </w:r>
          </w:p>
        </w:tc>
      </w:tr>
      <w:tr>
        <w:tblPrEx>
          <w:tblLayout w:type="fixed"/>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1"/>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Layout w:type="fixed"/>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Layout w:type="fixed"/>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Layout w:type="fixed"/>
          <w:tblCellMar>
            <w:top w:w="0" w:type="dxa"/>
            <w:left w:w="0" w:type="dxa"/>
            <w:bottom w:w="0" w:type="dxa"/>
            <w:right w:w="0" w:type="dxa"/>
          </w:tblCellMar>
        </w:tblPrEx>
        <w:trPr>
          <w:trHeight w:val="411" w:hRule="atLeast"/>
        </w:trPr>
        <w:tc>
          <w:tcPr>
            <w:tcW w:w="4017" w:type="dxa"/>
            <w:gridSpan w:val="7"/>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r>
              <w:rPr>
                <w:rFonts w:hint="eastAsia" w:ascii="宋体" w:hAnsi="宋体" w:cs="宋体"/>
                <w:color w:val="000000"/>
                <w:kern w:val="0"/>
                <w:szCs w:val="21"/>
              </w:rPr>
              <w:t>部门：中国共产党迁安市委员会组织部</w:t>
            </w: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Layout w:type="fixed"/>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注：本表反映部门本年度政府性基金预算财政拨款收入、支出及结转和结余情况。本部门本年度无政府性基金预算收支及结转结余情况，按要求以空表列示。</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1"/>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Layout w:type="fixed"/>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Layout w:type="fixed"/>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Layout w:type="fixed"/>
          <w:tblCellMar>
            <w:top w:w="0" w:type="dxa"/>
            <w:left w:w="0" w:type="dxa"/>
            <w:bottom w:w="0" w:type="dxa"/>
            <w:right w:w="0" w:type="dxa"/>
          </w:tblCellMar>
        </w:tblPrEx>
        <w:trPr>
          <w:trHeight w:val="335" w:hRule="atLeast"/>
        </w:trPr>
        <w:tc>
          <w:tcPr>
            <w:tcW w:w="5362" w:type="dxa"/>
            <w:gridSpan w:val="9"/>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Cs w:val="21"/>
              </w:rPr>
              <w:t>中国共产党迁安市委员会组织部</w:t>
            </w: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Layout w:type="fixed"/>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Layout w:type="fixed"/>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Layout w:type="fixed"/>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Layout w:type="fixed"/>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注：本表反映部门本年度国有资本经营预算财政拨款支出情况。本部门本年度无国有资本经营预算相关支出情况，按要求以空表列示。</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1"/>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Layout w:type="fixed"/>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Layout w:type="fixed"/>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Layout w:type="fixed"/>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编制单位：中国共产党迁安市委员会组织部</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Layout w:type="fixed"/>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Layout w:type="fixed"/>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Layout w:type="fixed"/>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Layout w:type="fixed"/>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注：本表反映部门本年度纳入部门预算范围的政府采购预算及支出情况。本部门本年度无预算及支出情况，按要求以空表列示。</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sectPr>
          <w:pgSz w:w="11906" w:h="16838"/>
          <w:pgMar w:top="2098" w:right="1474" w:bottom="1984" w:left="1588" w:header="851" w:footer="992" w:gutter="0"/>
          <w:cols w:space="720" w:num="1"/>
          <w:docGrid w:type="lines" w:linePitch="312" w:charSpace="0"/>
        </w:sectPr>
      </w:pPr>
      <w:r>
        <w:rPr>
          <w:rFonts w:hint="eastAsia"/>
        </w:rPr>
        <w:tab/>
      </w: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_x0000_s1033" o:spid="_x0000_s1033" o:spt="75" type="#_x0000_t75" style="position:absolute;left:0pt;margin-left:-79.45pt;margin-top:-105.35pt;height:840.95pt;width:594.5pt;z-index:-1024;mso-width-relative:page;mso-height-relative:page;" filled="f" o:preferrelative="t" stroked="f" coordsize="21600,21600">
            <v:path/>
            <v:fill on="f" focussize="0,0"/>
            <v:stroke on="f" joinstyle="miter"/>
            <v:imagedata r:id="rId6" o:title=""/>
            <o:lock v:ext="edit" aspectratio="t"/>
          </v:shape>
        </w:pict>
      </w:r>
      <w:r>
        <w:rPr>
          <w:sz w:val="72"/>
        </w:rPr>
        <w:pict>
          <v:rect id="文本框 5" o:spid="_x0000_s1034" o:spt="1" style="position:absolute;left:0pt;margin-left:-78.7pt;margin-top:232.8pt;height:159.1pt;width:596.2pt;z-index:102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本部门2018年度收支总计（含结转和结余）1017.28万元。与2017年度决算相比，收支各增加239.16万元，增长23.51%，主要原因是开展的专项业务较多，项目支出增加。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黑体" w:eastAsia="黑体"/>
        </w:rPr>
      </w:pPr>
      <w:r>
        <w:rPr>
          <w:rFonts w:hint="eastAsia" w:ascii="仿宋_GB2312" w:eastAsia="仿宋_GB2312" w:cs="DengXian-Regular"/>
          <w:sz w:val="32"/>
          <w:szCs w:val="32"/>
        </w:rPr>
        <w:t>本部门2018年度本年收入合计950.76万元，其中：财政拨款收入950.76万元，占100%。</w: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黑体" w:eastAsia="黑体"/>
        </w:rPr>
      </w:pPr>
      <w:r>
        <w:rPr>
          <w:rFonts w:hint="eastAsia" w:ascii="仿宋_GB2312" w:eastAsia="仿宋_GB2312" w:cs="DengXian-Regular"/>
          <w:sz w:val="32"/>
          <w:szCs w:val="32"/>
        </w:rPr>
        <w:t>本部门2018年度本年支出合计963.45万元，其中：基本支出402.53万元，占41.78%；项目支出560.92万元，占58.22%。</w:t>
      </w:r>
      <w:r>
        <w:rPr>
          <w:sz w:val="44"/>
        </w:rPr>
        <w:pict>
          <v:group id="组合 1034" o:spid="_x0000_s1035" o:spt="203" style="position:absolute;left:0pt;margin-left:-79.95pt;margin-top:29.3pt;height:43.95pt;width:301.85pt;mso-position-vertical-relative:page;z-index:1024;mso-width-relative:page;mso-height-relative:page;" coordsize="9113,33961">
            <o:lock v:ext="edit"/>
            <v:rect id="矩形 1082" o:spid="_x0000_s1036" o:spt="1" style="position:absolute;left:3233;top:33255;height:706;width:5880;" fillcolor="#AD002D" filled="t" o:preferrelative="t" stroked="t" coordsize="21600,21600">
              <v:path/>
              <v:fill on="t" focussize="0,0"/>
              <v:stroke weight="2pt" color="#AF7621" miterlimit="2"/>
              <v:imagedata o:title=""/>
              <o:lock v:ext="edit"/>
            </v:rect>
            <v:shape id="未知" o:spid="_x0000_s1037" o:spt="100" style="position:absolute;left:0;top:0;height:0;width:0;" filled="f" stroked="f" coordsize="21600,21600" adj="">
              <v:fill on="f" focussize="0,0"/>
              <v:stroke on="f"/>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shape>
            <w10:anchorlock/>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拨款收入支出决算总体情况说明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950.76万元,比2017年度增加270.09万元，增长28.41%，主要是各类项目收入的增加；本年支出963.45万元，增加297.87万元，增长30.92%，主要是实施的各类项目多且支出效率高。</w: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950.76万元，完成年初预算的76.47%,比年初预算减少292.63万元，决算数小于预算数主要原因是部分资金调减，调增到各镇乡及城区办；本年支出963.45万元，完成年初预算的77.49%,比年初预算减少179.94万元，决算数小于预算数主要原因是部分资金调减，调增到各镇乡及城区办。</w: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2018年度财政拨款支出963.45万元，主要用于以下方面：一般公共服务（类）支出877.70万元，占91.10%；社会保障和就业（类）支出60.70万元，占6.3%；住房保障（类）支出25.06万元，占2.6%。</w: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年度财政拨款基本支出402.53万元，其中：人员经费333.61万元，主要包括基本工资、津贴补贴、奖金、绩效工资、机关事业单位基本养老保险缴费、职业年金缴费、职工基本医疗保险缴费、公务员医疗补助缴费、住房公积金、生活补助等支出；公用经费68.92万元，主要包括办公费、印刷费、手续费、邮电费、差旅费、维修（护）费、委托业务费、工会经费、福利费、公务用车运行维护费、其他交通费用、其他商品和服务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24.59万元，较年初预算减少29.41万元，降低54.46%，主要是严格管控公务用车和公务接待标准，使公务用车运行维护费和公务接待费用大幅降低；较2017年度减少1.76万元，降低6.68%，主要是加强了车辆管理，节约了开支。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本部门2018年度参加其他单位组织的因公出国（境）团组0人，未发生“因公出国（境）”经费支出，较年初预算无增减变化，较2017年度决算无增减变化。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（二）公务用车购置及运行维护费支出7.92万元。</w:t>
      </w:r>
      <w:r>
        <w:rPr>
          <w:rFonts w:hint="eastAsia" w:ascii="仿宋_GB2312" w:eastAsia="仿宋_GB2312" w:cs="DengXian-Regular"/>
          <w:sz w:val="32"/>
          <w:szCs w:val="32"/>
        </w:rPr>
        <w:t>本部门2018年度公务用车购置及运行维护费较年初预算减少6.08万元，降低43.43%,主要是加强了车辆管理，节约了开支；较上年减少2.32万元，降低22.66%,主要是加强了车辆管理，节约了开支。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color w:val="000000"/>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本部门2018年度公务用车购置量0辆，未发生“公务用车购置”经费支出，较年初预算无增减变化，较2017年度决算无增减变化。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本部门2018年度单位公务用车保有量2辆。公车运行维护费支出7</w:t>
      </w:r>
      <w:r>
        <w:rPr>
          <w:rFonts w:ascii="仿宋_GB2312" w:eastAsia="仿宋_GB2312" w:cs="DengXian-Regular"/>
          <w:sz w:val="32"/>
          <w:szCs w:val="32"/>
        </w:rPr>
        <w:t>.92</w:t>
      </w:r>
      <w:r>
        <w:rPr>
          <w:rFonts w:hint="eastAsia" w:ascii="仿宋_GB2312" w:eastAsia="仿宋_GB2312" w:cs="DengXian-Regular"/>
          <w:sz w:val="32"/>
          <w:szCs w:val="32"/>
        </w:rPr>
        <w:t>万元，较年初预算减少6.08万元，降低43.43%,主要是加强了车辆管理，节约了开支；较上年减少2.32万元，降低22.66%，主要是加强了车辆管理，节约了开支。</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（三）公务接待费支出16.68万元。</w:t>
      </w:r>
      <w:r>
        <w:rPr>
          <w:sz w:val="44"/>
        </w:rPr>
        <w:pict>
          <v:group id="组合 1037" o:spid="_x0000_s1038" o:spt="203" style="position:absolute;left:0pt;margin-left:-79.95pt;margin-top:29.3pt;height:43.95pt;width:301.85pt;mso-position-vertical-relative:page;z-index:1024;mso-width-relative:page;mso-height-relative:page;" coordsize="9113,33961">
            <o:lock v:ext="edit"/>
            <v:rect id="矩形 1106" o:spid="_x0000_s1039" o:spt="1" style="position:absolute;left:3233;top:33255;height:706;width:5880;" fillcolor="#AD002D" filled="t" o:preferrelative="t" stroked="t" coordsize="21600,21600">
              <v:path/>
              <v:fill on="t" focussize="0,0"/>
              <v:stroke weight="2pt" color="#AF7621" miterlimit="2"/>
              <v:imagedata o:title=""/>
              <o:lock v:ext="edit"/>
            </v:rect>
            <v:shape id="未知" o:spid="_x0000_s1040" o:spt="100" style="position:absolute;left:0;top:0;height:0;width:0;" filled="f" stroked="f" coordsize="21600,21600" adj="">
              <v:fill on="f" focussize="0,0"/>
              <v:stroke on="f"/>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shape>
            <w10:anchorlock/>
          </v:group>
        </w:pict>
      </w:r>
      <w:r>
        <w:rPr>
          <w:rFonts w:hint="eastAsia" w:ascii="仿宋_GB2312" w:eastAsia="仿宋_GB2312" w:cs="DengXian-Regular"/>
          <w:sz w:val="32"/>
          <w:szCs w:val="32"/>
        </w:rPr>
        <w:t>本部门2018年度公务接待共335批次1765人次。公务接待费支出较年初预算减少23.32万元，降低58.3%,主要是严格控制公务接待标准，节约开支；较上年度增加0.56万元，增长3.35%,主要是上级督导活动增多，来客人数比上年多。</w:t>
      </w:r>
    </w:p>
    <w:p>
      <w:pPr>
        <w:adjustRightInd w:val="0"/>
        <w:snapToGrid w:val="0"/>
        <w:spacing w:after="0" w:line="580" w:lineRule="exact"/>
        <w:ind w:firstLine="640" w:firstLineChars="200"/>
        <w:rPr>
          <w:rFonts w:ascii="黑体" w:eastAsia="黑体"/>
          <w:sz w:val="32"/>
          <w:szCs w:val="40"/>
        </w:rPr>
      </w:pPr>
      <w:r>
        <w:rPr>
          <w:rFonts w:hint="eastAsia" w:ascii="黑体" w:eastAsia="黑体"/>
          <w:sz w:val="32"/>
          <w:szCs w:val="40"/>
        </w:rPr>
        <w:t>六、预算绩效情况说明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w:t>
      </w:r>
      <w:r>
        <w:rPr>
          <w:rFonts w:hint="eastAsia" w:ascii="仿宋_GB2312" w:eastAsia="仿宋_GB2312" w:cs="DengXian-Regular"/>
          <w:sz w:val="32"/>
          <w:szCs w:val="32"/>
          <w:lang w:eastAsia="zh-CN"/>
        </w:rPr>
        <w:t>预算</w:t>
      </w:r>
      <w:r>
        <w:rPr>
          <w:rFonts w:hint="eastAsia" w:ascii="仿宋_GB2312" w:eastAsia="仿宋_GB2312" w:cs="DengXian-Regular"/>
          <w:sz w:val="32"/>
          <w:szCs w:val="32"/>
        </w:rPr>
        <w:t>绩效管理工作开展情况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根据预</w:t>
      </w:r>
      <w:bookmarkStart w:id="0" w:name="_GoBack"/>
      <w:bookmarkEnd w:id="0"/>
      <w:r>
        <w:rPr>
          <w:rFonts w:hint="eastAsia" w:ascii="仿宋_GB2312" w:eastAsia="仿宋_GB2312" w:cs="DengXian-Regular"/>
          <w:sz w:val="32"/>
          <w:szCs w:val="32"/>
        </w:rPr>
        <w:t>算绩效管理要求，本部门组织对201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年度一般公共预算项目支出全面开展绩效自评，其中，一级项目</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个，共涉及资金</w:t>
      </w:r>
      <w:r>
        <w:rPr>
          <w:rFonts w:hint="eastAsia" w:ascii="仿宋_GB2312" w:eastAsia="仿宋_GB2312" w:cs="DengXian-Regular"/>
          <w:sz w:val="32"/>
          <w:szCs w:val="32"/>
          <w:lang w:val="en-US" w:eastAsia="zh-CN"/>
        </w:rPr>
        <w:t>459.12</w:t>
      </w:r>
      <w:r>
        <w:rPr>
          <w:rFonts w:hint="eastAsia" w:ascii="仿宋_GB2312" w:eastAsia="仿宋_GB2312" w:cs="DengXian-Regular"/>
          <w:sz w:val="32"/>
          <w:szCs w:val="32"/>
        </w:rPr>
        <w:t>万元，占一般公共预算项目支出总额的</w:t>
      </w:r>
      <w:r>
        <w:rPr>
          <w:rFonts w:hint="eastAsia" w:ascii="仿宋_GB2312" w:eastAsia="仿宋_GB2312" w:cs="DengXian-Regular"/>
          <w:sz w:val="32"/>
          <w:szCs w:val="32"/>
          <w:lang w:val="en-US" w:eastAsia="zh-CN"/>
        </w:rPr>
        <w:t>81.85</w:t>
      </w:r>
      <w:r>
        <w:rPr>
          <w:rFonts w:hint="eastAsia" w:ascii="仿宋_GB2312" w:eastAsia="仿宋_GB2312" w:cs="DengXian-Regular"/>
          <w:sz w:val="32"/>
          <w:szCs w:val="32"/>
        </w:rPr>
        <w:t>%。组织对“</w:t>
      </w:r>
      <w:r>
        <w:rPr>
          <w:rFonts w:hint="eastAsia" w:ascii="仿宋_GB2312" w:eastAsia="仿宋_GB2312" w:cs="DengXian-Regular"/>
          <w:sz w:val="32"/>
          <w:szCs w:val="32"/>
          <w:lang w:eastAsia="zh-CN"/>
        </w:rPr>
        <w:t>人才</w:t>
      </w:r>
      <w:r>
        <w:rPr>
          <w:rFonts w:hint="eastAsia" w:ascii="仿宋_GB2312" w:eastAsia="仿宋_GB2312" w:cs="DengXian-Regular"/>
          <w:sz w:val="32"/>
          <w:szCs w:val="32"/>
        </w:rPr>
        <w:t>工作经费”“干部培训工作经费”等</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个项目开展了部门评价，涉及一般公共预算支出</w:t>
      </w:r>
      <w:r>
        <w:rPr>
          <w:rFonts w:hint="eastAsia" w:ascii="仿宋_GB2312" w:eastAsia="仿宋_GB2312" w:cs="DengXian-Regular"/>
          <w:sz w:val="32"/>
          <w:szCs w:val="32"/>
          <w:lang w:val="en-US" w:eastAsia="zh-CN"/>
        </w:rPr>
        <w:t>459.12</w:t>
      </w:r>
      <w:r>
        <w:rPr>
          <w:rFonts w:hint="eastAsia" w:ascii="仿宋_GB2312" w:eastAsia="仿宋_GB2312" w:cs="DengXian-Regular"/>
          <w:sz w:val="32"/>
          <w:szCs w:val="32"/>
        </w:rPr>
        <w:t>万元。从评价情况来看，每个项目都能按项目支出进度支出，支出绩效达到了9</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w:t>
      </w:r>
    </w:p>
    <w:p>
      <w:pPr>
        <w:numPr>
          <w:ilvl w:val="0"/>
          <w:numId w:val="0"/>
        </w:numPr>
        <w:adjustRightInd w:val="0"/>
        <w:snapToGrid w:val="0"/>
        <w:spacing w:after="0" w:line="580" w:lineRule="exact"/>
        <w:ind w:leftChars="200"/>
        <w:rPr>
          <w:rFonts w:hint="eastAsia" w:ascii="仿宋_GB2312" w:eastAsia="仿宋_GB2312" w:cs="DengXian-Regular"/>
          <w:sz w:val="32"/>
          <w:szCs w:val="32"/>
        </w:rPr>
      </w:pPr>
      <w:r>
        <w:rPr>
          <w:rFonts w:hint="eastAsia" w:ascii="仿宋_GB2312" w:eastAsia="仿宋_GB2312" w:cs="DengXian-Regular"/>
          <w:sz w:val="32"/>
          <w:szCs w:val="32"/>
          <w:lang w:eastAsia="zh-CN"/>
        </w:rPr>
        <w:t>（二）</w:t>
      </w:r>
      <w:r>
        <w:rPr>
          <w:rFonts w:hint="eastAsia" w:ascii="仿宋_GB2312" w:eastAsia="仿宋_GB2312" w:cs="DengXian-Regular"/>
          <w:sz w:val="32"/>
          <w:szCs w:val="32"/>
        </w:rPr>
        <w:t>项目绩效自评结果</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本部门在今年部门决算公开中反映人才工作经费项目绩效自评结果。</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人才工作经费项目自评综述：根据年初设定的绩效目标，人才工作经费项目绩效自评得分为98.</w:t>
      </w:r>
      <w:r>
        <w:rPr>
          <w:rFonts w:hint="eastAsia" w:ascii="仿宋_GB2312" w:eastAsia="仿宋_GB2312" w:cs="DengXian-Regular"/>
          <w:sz w:val="32"/>
          <w:szCs w:val="32"/>
          <w:lang w:val="en-US" w:eastAsia="zh-CN"/>
        </w:rPr>
        <w:t>02</w:t>
      </w:r>
      <w:r>
        <w:rPr>
          <w:rFonts w:hint="eastAsia" w:ascii="仿宋_GB2312" w:eastAsia="仿宋_GB2312" w:cs="DengXian-Regular"/>
          <w:sz w:val="32"/>
          <w:szCs w:val="32"/>
        </w:rPr>
        <w:t>分（绩效自评表附后）。全年预算数为10万元，执行数为</w:t>
      </w:r>
      <w:r>
        <w:rPr>
          <w:rFonts w:hint="eastAsia" w:ascii="仿宋_GB2312" w:eastAsia="仿宋_GB2312" w:cs="DengXian-Regular"/>
          <w:sz w:val="32"/>
          <w:szCs w:val="32"/>
          <w:lang w:val="en-US" w:eastAsia="zh-CN"/>
        </w:rPr>
        <w:t>8.02</w:t>
      </w:r>
      <w:r>
        <w:rPr>
          <w:rFonts w:hint="eastAsia" w:ascii="仿宋_GB2312" w:eastAsia="仿宋_GB2312" w:cs="DengXian-Regular"/>
          <w:sz w:val="32"/>
          <w:szCs w:val="32"/>
        </w:rPr>
        <w:t>万元，完成预算的</w:t>
      </w:r>
      <w:r>
        <w:rPr>
          <w:rFonts w:hint="eastAsia" w:ascii="仿宋_GB2312" w:eastAsia="仿宋_GB2312" w:cs="DengXian-Regular"/>
          <w:sz w:val="32"/>
          <w:szCs w:val="32"/>
          <w:lang w:val="en-US" w:eastAsia="zh-CN"/>
        </w:rPr>
        <w:t>80.2</w:t>
      </w:r>
      <w:r>
        <w:rPr>
          <w:rFonts w:hint="eastAsia" w:ascii="仿宋_GB2312" w:eastAsia="仿宋_GB2312" w:cs="DengXian-Regular"/>
          <w:sz w:val="32"/>
          <w:szCs w:val="32"/>
        </w:rPr>
        <w:t>。项目绩效目标完成情况：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年度，市财政预算安排人才工作经费10万元，实际支出</w:t>
      </w:r>
      <w:r>
        <w:rPr>
          <w:rFonts w:hint="eastAsia" w:ascii="仿宋_GB2312" w:eastAsia="仿宋_GB2312" w:cs="DengXian-Regular"/>
          <w:sz w:val="32"/>
          <w:szCs w:val="32"/>
          <w:lang w:val="en-US" w:eastAsia="zh-CN"/>
        </w:rPr>
        <w:t>8.02</w:t>
      </w:r>
      <w:r>
        <w:rPr>
          <w:rFonts w:hint="eastAsia" w:ascii="仿宋_GB2312" w:eastAsia="仿宋_GB2312" w:cs="DengXian-Regular"/>
          <w:sz w:val="32"/>
          <w:szCs w:val="32"/>
        </w:rPr>
        <w:t>万元，预算资金执行率</w:t>
      </w:r>
      <w:r>
        <w:rPr>
          <w:rFonts w:hint="eastAsia" w:ascii="仿宋_GB2312" w:eastAsia="仿宋_GB2312" w:cs="DengXian-Regular"/>
          <w:sz w:val="32"/>
          <w:szCs w:val="32"/>
          <w:lang w:val="en-US" w:eastAsia="zh-CN"/>
        </w:rPr>
        <w:t>80.2</w:t>
      </w:r>
      <w:r>
        <w:rPr>
          <w:rFonts w:hint="eastAsia" w:ascii="仿宋_GB2312" w:eastAsia="仿宋_GB2312" w:cs="DengXian-Regular"/>
          <w:sz w:val="32"/>
          <w:szCs w:val="32"/>
        </w:rPr>
        <w:t>%，该指标总分值10分，项目实际得分为</w:t>
      </w:r>
      <w:r>
        <w:rPr>
          <w:rFonts w:hint="eastAsia" w:ascii="仿宋_GB2312" w:eastAsia="仿宋_GB2312" w:cs="DengXian-Regular"/>
          <w:sz w:val="32"/>
          <w:szCs w:val="32"/>
          <w:lang w:val="en-US" w:eastAsia="zh-CN"/>
        </w:rPr>
        <w:t>8.02</w:t>
      </w:r>
      <w:r>
        <w:rPr>
          <w:rFonts w:hint="eastAsia" w:ascii="仿宋_GB2312" w:eastAsia="仿宋_GB2312" w:cs="DengXian-Regular"/>
          <w:sz w:val="32"/>
          <w:szCs w:val="32"/>
        </w:rPr>
        <w:t>分。发现的主要问题及原因：存在着对绩效评价工作的了解和认识程度不够等问题。下一步改进措施：根据绩效评价工作的开展，我们会弥补工作中的不足之处，注重与业务部门沟通，根据业务实际细化更新评价指标体系，加强项目财政预算和实际支出的吻合度，提高资金的使用效率，提高政府效能。</w: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line="580" w:lineRule="exact"/>
        <w:rPr>
          <w:rFonts w:hint="eastAsia" w:ascii="仿宋" w:hAnsi="仿宋" w:eastAsia="仿宋" w:cs="宋体"/>
          <w:color w:val="000000"/>
          <w:kern w:val="0"/>
          <w:sz w:val="32"/>
          <w:szCs w:val="32"/>
        </w:rPr>
      </w:pPr>
    </w:p>
    <w:p>
      <w:pPr>
        <w:adjustRightInd w:val="0"/>
        <w:snapToGrid w:val="0"/>
        <w:spacing w:line="580" w:lineRule="exact"/>
        <w:rPr>
          <w:rFonts w:hint="eastAsia" w:ascii="仿宋" w:hAnsi="仿宋" w:eastAsia="仿宋" w:cs="宋体"/>
          <w:color w:val="000000"/>
          <w:kern w:val="0"/>
          <w:sz w:val="32"/>
          <w:szCs w:val="32"/>
        </w:rPr>
      </w:pPr>
    </w:p>
    <w:p>
      <w:pPr>
        <w:adjustRightInd w:val="0"/>
        <w:snapToGrid w:val="0"/>
        <w:spacing w:line="580" w:lineRule="exact"/>
        <w:rPr>
          <w:rFonts w:hint="eastAsia" w:ascii="仿宋" w:hAnsi="仿宋" w:eastAsia="仿宋" w:cs="宋体"/>
          <w:color w:val="000000"/>
          <w:kern w:val="0"/>
          <w:sz w:val="32"/>
          <w:szCs w:val="32"/>
        </w:rPr>
      </w:pPr>
    </w:p>
    <w:p>
      <w:pPr>
        <w:adjustRightInd w:val="0"/>
        <w:snapToGrid w:val="0"/>
        <w:spacing w:line="580" w:lineRule="exact"/>
        <w:rPr>
          <w:rFonts w:hint="eastAsia" w:ascii="仿宋" w:hAnsi="仿宋" w:eastAsia="仿宋" w:cs="宋体"/>
          <w:color w:val="000000"/>
          <w:kern w:val="0"/>
          <w:sz w:val="32"/>
          <w:szCs w:val="32"/>
        </w:rPr>
      </w:pPr>
    </w:p>
    <w:p>
      <w:pPr>
        <w:adjustRightInd w:val="0"/>
        <w:snapToGrid w:val="0"/>
        <w:spacing w:line="580" w:lineRule="exact"/>
        <w:rPr>
          <w:rFonts w:hint="eastAsia" w:ascii="仿宋" w:hAnsi="仿宋" w:eastAsia="仿宋" w:cs="宋体"/>
          <w:color w:val="000000"/>
          <w:kern w:val="0"/>
          <w:sz w:val="32"/>
          <w:szCs w:val="32"/>
        </w:rPr>
      </w:pPr>
    </w:p>
    <w:p>
      <w:pPr>
        <w:adjustRightInd w:val="0"/>
        <w:snapToGrid w:val="0"/>
        <w:spacing w:line="580" w:lineRule="exact"/>
        <w:rPr>
          <w:rFonts w:hint="eastAsia" w:ascii="仿宋" w:hAnsi="仿宋" w:eastAsia="仿宋" w:cs="宋体"/>
          <w:color w:val="000000"/>
          <w:kern w:val="0"/>
          <w:sz w:val="32"/>
          <w:szCs w:val="32"/>
        </w:rPr>
      </w:pPr>
    </w:p>
    <w:p>
      <w:pPr>
        <w:adjustRightInd w:val="0"/>
        <w:snapToGrid w:val="0"/>
        <w:spacing w:line="580" w:lineRule="exact"/>
        <w:rPr>
          <w:rFonts w:hint="eastAsia" w:ascii="仿宋" w:hAnsi="仿宋" w:eastAsia="仿宋" w:cs="宋体"/>
          <w:color w:val="000000"/>
          <w:kern w:val="0"/>
          <w:sz w:val="32"/>
          <w:szCs w:val="32"/>
        </w:rPr>
      </w:pPr>
    </w:p>
    <w:p>
      <w:pPr>
        <w:adjustRightInd w:val="0"/>
        <w:snapToGrid w:val="0"/>
        <w:spacing w:line="580" w:lineRule="exact"/>
        <w:rPr>
          <w:rFonts w:hint="eastAsia" w:ascii="仿宋" w:hAnsi="仿宋" w:eastAsia="仿宋" w:cs="宋体"/>
          <w:color w:val="000000"/>
          <w:kern w:val="0"/>
          <w:sz w:val="32"/>
          <w:szCs w:val="32"/>
        </w:rPr>
      </w:pPr>
    </w:p>
    <w:p>
      <w:pPr>
        <w:adjustRightInd w:val="0"/>
        <w:snapToGrid w:val="0"/>
        <w:spacing w:line="580" w:lineRule="exact"/>
        <w:rPr>
          <w:rFonts w:hint="eastAsia" w:ascii="仿宋" w:hAnsi="仿宋" w:eastAsia="仿宋" w:cs="宋体"/>
          <w:color w:val="000000"/>
          <w:kern w:val="0"/>
          <w:sz w:val="32"/>
          <w:szCs w:val="32"/>
        </w:rPr>
      </w:pPr>
    </w:p>
    <w:tbl>
      <w:tblPr>
        <w:tblStyle w:val="11"/>
        <w:tblW w:w="8874" w:type="dxa"/>
        <w:tblInd w:w="0" w:type="dxa"/>
        <w:tblLayout w:type="fixed"/>
        <w:tblCellMar>
          <w:top w:w="0" w:type="dxa"/>
          <w:left w:w="108" w:type="dxa"/>
          <w:bottom w:w="0" w:type="dxa"/>
          <w:right w:w="108" w:type="dxa"/>
        </w:tblCellMar>
      </w:tblPr>
      <w:tblGrid>
        <w:gridCol w:w="567"/>
        <w:gridCol w:w="709"/>
        <w:gridCol w:w="1125"/>
        <w:gridCol w:w="694"/>
        <w:gridCol w:w="1076"/>
        <w:gridCol w:w="270"/>
        <w:gridCol w:w="808"/>
        <w:gridCol w:w="809"/>
        <w:gridCol w:w="267"/>
        <w:gridCol w:w="271"/>
        <w:gridCol w:w="402"/>
        <w:gridCol w:w="354"/>
        <w:gridCol w:w="681"/>
        <w:gridCol w:w="832"/>
        <w:gridCol w:w="9"/>
      </w:tblGrid>
      <w:tr>
        <w:tblPrEx>
          <w:tblLayout w:type="fixed"/>
          <w:tblCellMar>
            <w:top w:w="0" w:type="dxa"/>
            <w:left w:w="108" w:type="dxa"/>
            <w:bottom w:w="0" w:type="dxa"/>
            <w:right w:w="108" w:type="dxa"/>
          </w:tblCellMar>
        </w:tblPrEx>
        <w:trPr>
          <w:trHeight w:val="453" w:hRule="exact"/>
        </w:trPr>
        <w:tc>
          <w:tcPr>
            <w:tcW w:w="8874" w:type="dxa"/>
            <w:gridSpan w:val="15"/>
            <w:tcBorders>
              <w:top w:val="nil"/>
              <w:left w:val="nil"/>
              <w:bottom w:val="nil"/>
              <w:right w:val="nil"/>
            </w:tcBorders>
            <w:vAlign w:val="center"/>
          </w:tcPr>
          <w:p>
            <w:pPr>
              <w:widowControl/>
              <w:spacing w:line="320" w:lineRule="exact"/>
              <w:jc w:val="center"/>
              <w:rPr>
                <w:rFonts w:ascii="黑体" w:hAnsi="黑体" w:eastAsia="黑体"/>
                <w:kern w:val="0"/>
                <w:sz w:val="32"/>
                <w:szCs w:val="32"/>
              </w:rPr>
            </w:pPr>
            <w:r>
              <w:rPr>
                <w:rFonts w:hint="eastAsia" w:ascii="黑体" w:hAnsi="黑体" w:eastAsia="黑体"/>
                <w:kern w:val="0"/>
                <w:sz w:val="32"/>
                <w:szCs w:val="32"/>
              </w:rPr>
              <w:t>201</w:t>
            </w:r>
            <w:r>
              <w:rPr>
                <w:rFonts w:hint="eastAsia" w:ascii="黑体" w:hAnsi="黑体" w:eastAsia="黑体"/>
                <w:kern w:val="0"/>
                <w:sz w:val="32"/>
                <w:szCs w:val="32"/>
                <w:lang w:val="en-US" w:eastAsia="zh-CN"/>
              </w:rPr>
              <w:t>8</w:t>
            </w:r>
            <w:r>
              <w:rPr>
                <w:rFonts w:hint="eastAsia" w:ascii="黑体" w:hAnsi="黑体" w:eastAsia="黑体"/>
                <w:kern w:val="0"/>
                <w:sz w:val="32"/>
                <w:szCs w:val="32"/>
              </w:rPr>
              <w:t>年度预算项目绩效自评表</w:t>
            </w:r>
          </w:p>
          <w:p>
            <w:pPr>
              <w:widowControl/>
              <w:spacing w:line="320" w:lineRule="exact"/>
              <w:jc w:val="center"/>
              <w:rPr>
                <w:rFonts w:ascii="黑体" w:hAnsi="黑体" w:eastAsia="黑体"/>
                <w:kern w:val="0"/>
                <w:sz w:val="32"/>
                <w:szCs w:val="32"/>
              </w:rPr>
            </w:pPr>
          </w:p>
          <w:p>
            <w:pPr>
              <w:widowControl/>
              <w:spacing w:line="320" w:lineRule="exact"/>
              <w:jc w:val="center"/>
              <w:rPr>
                <w:rFonts w:ascii="黑体" w:hAnsi="黑体" w:eastAsia="黑体"/>
                <w:kern w:val="0"/>
                <w:sz w:val="32"/>
                <w:szCs w:val="32"/>
              </w:rPr>
            </w:pPr>
          </w:p>
        </w:tc>
      </w:tr>
      <w:tr>
        <w:tblPrEx>
          <w:tblLayout w:type="fixed"/>
          <w:tblCellMar>
            <w:top w:w="0" w:type="dxa"/>
            <w:left w:w="108" w:type="dxa"/>
            <w:bottom w:w="0" w:type="dxa"/>
            <w:right w:w="108" w:type="dxa"/>
          </w:tblCellMar>
        </w:tblPrEx>
        <w:trPr>
          <w:trHeight w:val="200" w:hRule="atLeast"/>
        </w:trPr>
        <w:tc>
          <w:tcPr>
            <w:tcW w:w="8874" w:type="dxa"/>
            <w:gridSpan w:val="15"/>
            <w:tcBorders>
              <w:top w:val="nil"/>
              <w:left w:val="nil"/>
              <w:bottom w:val="nil"/>
              <w:right w:val="nil"/>
            </w:tcBorders>
          </w:tcPr>
          <w:p>
            <w:pPr>
              <w:widowControl/>
              <w:wordWrap w:val="0"/>
              <w:jc w:val="right"/>
              <w:rPr>
                <w:rFonts w:ascii="宋体" w:hAnsi="宋体" w:cs="宋体"/>
                <w:kern w:val="0"/>
                <w:sz w:val="22"/>
              </w:rPr>
            </w:pPr>
            <w:r>
              <w:rPr>
                <w:rFonts w:hint="eastAsia" w:ascii="宋体" w:hAnsi="宋体" w:cs="宋体"/>
                <w:kern w:val="0"/>
                <w:sz w:val="22"/>
              </w:rPr>
              <w:t xml:space="preserve">                      金额：万元</w:t>
            </w:r>
          </w:p>
        </w:tc>
      </w:tr>
      <w:tr>
        <w:tblPrEx>
          <w:tblLayout w:type="fixed"/>
          <w:tblCellMar>
            <w:top w:w="0" w:type="dxa"/>
            <w:left w:w="108" w:type="dxa"/>
            <w:bottom w:w="0" w:type="dxa"/>
            <w:right w:w="108" w:type="dxa"/>
          </w:tblCellMar>
        </w:tblPrEx>
        <w:trPr>
          <w:trHeight w:val="299" w:hRule="exact"/>
        </w:trPr>
        <w:tc>
          <w:tcPr>
            <w:tcW w:w="1276"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598" w:type="dxa"/>
            <w:gridSpan w:val="1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人才工作经费</w:t>
            </w:r>
          </w:p>
        </w:tc>
      </w:tr>
      <w:tr>
        <w:tblPrEx>
          <w:tblLayout w:type="fixed"/>
          <w:tblCellMar>
            <w:top w:w="0" w:type="dxa"/>
            <w:left w:w="108" w:type="dxa"/>
            <w:bottom w:w="0" w:type="dxa"/>
            <w:right w:w="108" w:type="dxa"/>
          </w:tblCellMar>
        </w:tblPrEx>
        <w:trPr>
          <w:trHeight w:val="299" w:hRule="exact"/>
        </w:trPr>
        <w:tc>
          <w:tcPr>
            <w:tcW w:w="1276"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3973"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7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549"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市委组织部</w:t>
            </w:r>
          </w:p>
        </w:tc>
      </w:tr>
      <w:tr>
        <w:tblPrEx>
          <w:tblLayout w:type="fixed"/>
          <w:tblCellMar>
            <w:top w:w="0" w:type="dxa"/>
            <w:left w:w="108" w:type="dxa"/>
            <w:bottom w:w="0" w:type="dxa"/>
            <w:right w:w="108" w:type="dxa"/>
          </w:tblCellMar>
        </w:tblPrEx>
        <w:trPr>
          <w:trHeight w:val="299" w:hRule="exact"/>
        </w:trPr>
        <w:tc>
          <w:tcPr>
            <w:tcW w:w="1276"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1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0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07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67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103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84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Layout w:type="fixed"/>
          <w:tblCellMar>
            <w:top w:w="0" w:type="dxa"/>
            <w:left w:w="108" w:type="dxa"/>
            <w:bottom w:w="0" w:type="dxa"/>
            <w:right w:w="108" w:type="dxa"/>
          </w:tblCellMar>
        </w:tblPrEx>
        <w:trPr>
          <w:trHeight w:val="299" w:hRule="exact"/>
        </w:trPr>
        <w:tc>
          <w:tcPr>
            <w:tcW w:w="127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19"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0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0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076" w:type="dxa"/>
            <w:gridSpan w:val="2"/>
            <w:tcBorders>
              <w:top w:val="nil"/>
              <w:left w:val="nil"/>
              <w:bottom w:val="single" w:color="auto" w:sz="4" w:space="0"/>
              <w:right w:val="single" w:color="auto" w:sz="4" w:space="0"/>
            </w:tcBorders>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8.02</w:t>
            </w:r>
          </w:p>
        </w:tc>
        <w:tc>
          <w:tcPr>
            <w:tcW w:w="67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03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8.02</w:t>
            </w:r>
          </w:p>
        </w:tc>
        <w:tc>
          <w:tcPr>
            <w:tcW w:w="841" w:type="dxa"/>
            <w:gridSpan w:val="2"/>
            <w:tcBorders>
              <w:top w:val="nil"/>
              <w:left w:val="nil"/>
              <w:bottom w:val="single" w:color="auto" w:sz="4" w:space="0"/>
              <w:right w:val="single" w:color="auto" w:sz="4" w:space="0"/>
            </w:tcBorders>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8.02</w:t>
            </w:r>
          </w:p>
        </w:tc>
      </w:tr>
      <w:tr>
        <w:tblPrEx>
          <w:tblLayout w:type="fixed"/>
          <w:tblCellMar>
            <w:top w:w="0" w:type="dxa"/>
            <w:left w:w="108" w:type="dxa"/>
            <w:bottom w:w="0" w:type="dxa"/>
            <w:right w:w="108" w:type="dxa"/>
          </w:tblCellMar>
        </w:tblPrEx>
        <w:trPr>
          <w:trHeight w:val="299" w:hRule="exact"/>
        </w:trPr>
        <w:tc>
          <w:tcPr>
            <w:tcW w:w="127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19"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其中：上级资金</w:t>
            </w:r>
          </w:p>
        </w:tc>
        <w:tc>
          <w:tcPr>
            <w:tcW w:w="10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7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7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103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4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Layout w:type="fixed"/>
          <w:tblCellMar>
            <w:top w:w="0" w:type="dxa"/>
            <w:left w:w="108" w:type="dxa"/>
            <w:bottom w:w="0" w:type="dxa"/>
            <w:right w:w="108" w:type="dxa"/>
          </w:tblCellMar>
        </w:tblPrEx>
        <w:trPr>
          <w:trHeight w:val="299" w:hRule="exact"/>
        </w:trPr>
        <w:tc>
          <w:tcPr>
            <w:tcW w:w="127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19"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 xml:space="preserve">      本级资金</w:t>
            </w:r>
          </w:p>
        </w:tc>
        <w:tc>
          <w:tcPr>
            <w:tcW w:w="10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0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076" w:type="dxa"/>
            <w:gridSpan w:val="2"/>
            <w:tcBorders>
              <w:top w:val="nil"/>
              <w:left w:val="nil"/>
              <w:bottom w:val="single" w:color="auto" w:sz="4" w:space="0"/>
              <w:right w:val="single" w:color="auto" w:sz="4" w:space="0"/>
            </w:tcBorders>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8.02</w:t>
            </w:r>
          </w:p>
        </w:tc>
        <w:tc>
          <w:tcPr>
            <w:tcW w:w="67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103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4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Layout w:type="fixed"/>
          <w:tblCellMar>
            <w:top w:w="0" w:type="dxa"/>
            <w:left w:w="108" w:type="dxa"/>
            <w:bottom w:w="0" w:type="dxa"/>
            <w:right w:w="108" w:type="dxa"/>
          </w:tblCellMar>
        </w:tblPrEx>
        <w:trPr>
          <w:trHeight w:val="299" w:hRule="exact"/>
        </w:trPr>
        <w:tc>
          <w:tcPr>
            <w:tcW w:w="127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19" w:type="dxa"/>
            <w:gridSpan w:val="2"/>
            <w:tcBorders>
              <w:top w:val="single" w:color="auto" w:sz="4" w:space="0"/>
              <w:left w:val="nil"/>
              <w:bottom w:val="single" w:color="auto" w:sz="4" w:space="0"/>
              <w:right w:val="single" w:color="auto" w:sz="4" w:space="0"/>
            </w:tcBorders>
            <w:vAlign w:val="center"/>
          </w:tcPr>
          <w:p>
            <w:pPr>
              <w:widowControl/>
              <w:spacing w:line="240" w:lineRule="exact"/>
              <w:ind w:firstLine="540" w:firstLineChars="300"/>
              <w:rPr>
                <w:rFonts w:ascii="宋体" w:hAnsi="宋体" w:cs="宋体"/>
                <w:kern w:val="0"/>
                <w:sz w:val="18"/>
                <w:szCs w:val="18"/>
              </w:rPr>
            </w:pPr>
            <w:r>
              <w:rPr>
                <w:rFonts w:hint="eastAsia" w:ascii="宋体" w:hAnsi="宋体" w:cs="宋体"/>
                <w:kern w:val="0"/>
                <w:sz w:val="18"/>
                <w:szCs w:val="18"/>
              </w:rPr>
              <w:t>其他资金</w:t>
            </w:r>
          </w:p>
        </w:tc>
        <w:tc>
          <w:tcPr>
            <w:tcW w:w="10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7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7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103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4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Layout w:type="fixed"/>
          <w:tblCellMar>
            <w:top w:w="0" w:type="dxa"/>
            <w:left w:w="108" w:type="dxa"/>
            <w:bottom w:w="0" w:type="dxa"/>
            <w:right w:w="108" w:type="dxa"/>
          </w:tblCellMar>
        </w:tblPrEx>
        <w:trPr>
          <w:trHeight w:val="299" w:hRule="exact"/>
        </w:trPr>
        <w:tc>
          <w:tcPr>
            <w:tcW w:w="567"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4682"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625" w:type="dxa"/>
            <w:gridSpan w:val="8"/>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实际完成情况综述</w:t>
            </w:r>
          </w:p>
        </w:tc>
      </w:tr>
      <w:tr>
        <w:tblPrEx>
          <w:tblLayout w:type="fixed"/>
          <w:tblCellMar>
            <w:top w:w="0" w:type="dxa"/>
            <w:left w:w="108" w:type="dxa"/>
            <w:bottom w:w="0" w:type="dxa"/>
            <w:right w:w="108" w:type="dxa"/>
          </w:tblCellMar>
        </w:tblPrEx>
        <w:trPr>
          <w:trHeight w:val="927" w:hRule="exact"/>
        </w:trPr>
        <w:tc>
          <w:tcPr>
            <w:tcW w:w="567"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4682"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目标1：深入实施人才强市战略，加快人才队伍建设，优化人才工作环境，全面提升人才工作水平，为把迁安经济社会发展提供人才保证和智力支撑。</w:t>
            </w:r>
          </w:p>
        </w:tc>
        <w:tc>
          <w:tcPr>
            <w:tcW w:w="3625" w:type="dxa"/>
            <w:gridSpan w:val="8"/>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目标1完成情况：圆满</w:t>
            </w:r>
            <w:r>
              <w:rPr>
                <w:rFonts w:ascii="宋体" w:hAnsi="宋体" w:cs="宋体"/>
                <w:kern w:val="0"/>
                <w:sz w:val="18"/>
                <w:szCs w:val="18"/>
              </w:rPr>
              <w:t>完成</w:t>
            </w:r>
            <w:r>
              <w:rPr>
                <w:rFonts w:hint="eastAsia" w:ascii="宋体" w:hAnsi="宋体" w:cs="宋体"/>
                <w:kern w:val="0"/>
                <w:sz w:val="18"/>
                <w:szCs w:val="18"/>
              </w:rPr>
              <w:t>各项目标</w:t>
            </w:r>
          </w:p>
        </w:tc>
      </w:tr>
      <w:tr>
        <w:tblPrEx>
          <w:tblLayout w:type="fixed"/>
          <w:tblCellMar>
            <w:top w:w="0" w:type="dxa"/>
            <w:left w:w="108" w:type="dxa"/>
            <w:bottom w:w="0" w:type="dxa"/>
            <w:right w:w="108" w:type="dxa"/>
          </w:tblCellMar>
        </w:tblPrEx>
        <w:trPr>
          <w:gridAfter w:val="1"/>
          <w:wAfter w:w="9" w:type="dxa"/>
          <w:trHeight w:val="532" w:hRule="exact"/>
        </w:trPr>
        <w:tc>
          <w:tcPr>
            <w:tcW w:w="567"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7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2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040"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8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Layout w:type="fixed"/>
          <w:tblCellMar>
            <w:top w:w="0" w:type="dxa"/>
            <w:left w:w="108" w:type="dxa"/>
            <w:bottom w:w="0" w:type="dxa"/>
            <w:right w:w="108" w:type="dxa"/>
          </w:tblCellMar>
        </w:tblPrEx>
        <w:trPr>
          <w:gridAfter w:val="1"/>
          <w:wAfter w:w="9" w:type="dxa"/>
          <w:trHeight w:val="911" w:hRule="exact"/>
        </w:trPr>
        <w:tc>
          <w:tcPr>
            <w:tcW w:w="567"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125"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04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全市引进人才数量</w:t>
            </w:r>
          </w:p>
        </w:tc>
        <w:tc>
          <w:tcPr>
            <w:tcW w:w="8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r>
              <w:rPr>
                <w:rFonts w:ascii="宋体" w:hAnsi="宋体" w:cs="宋体"/>
                <w:kern w:val="0"/>
                <w:sz w:val="18"/>
                <w:szCs w:val="18"/>
              </w:rPr>
              <w:t>100</w:t>
            </w:r>
            <w:r>
              <w:rPr>
                <w:rFonts w:hint="eastAsia" w:ascii="宋体" w:hAnsi="宋体" w:cs="宋体"/>
                <w:kern w:val="0"/>
                <w:sz w:val="18"/>
                <w:szCs w:val="18"/>
              </w:rPr>
              <w:t>人</w:t>
            </w: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1</w:t>
            </w:r>
            <w:r>
              <w:rPr>
                <w:rFonts w:hint="eastAsia" w:ascii="宋体" w:hAnsi="宋体" w:cs="宋体"/>
                <w:kern w:val="0"/>
                <w:sz w:val="18"/>
                <w:szCs w:val="18"/>
                <w:lang w:val="en-US" w:eastAsia="zh-CN"/>
              </w:rPr>
              <w:t>0</w:t>
            </w:r>
            <w:r>
              <w:rPr>
                <w:rFonts w:ascii="宋体" w:hAnsi="宋体" w:cs="宋体"/>
                <w:kern w:val="0"/>
                <w:sz w:val="18"/>
                <w:szCs w:val="18"/>
              </w:rPr>
              <w:t>0%</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711" w:hRule="exact"/>
        </w:trPr>
        <w:tc>
          <w:tcPr>
            <w:tcW w:w="567"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25"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040" w:type="dxa"/>
            <w:gridSpan w:val="3"/>
            <w:tcBorders>
              <w:top w:val="single" w:color="auto" w:sz="4" w:space="0"/>
              <w:left w:val="nil"/>
              <w:bottom w:val="single" w:color="auto" w:sz="4" w:space="0"/>
              <w:right w:val="single" w:color="auto" w:sz="4" w:space="0"/>
            </w:tcBorders>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有效举措推进人才工作持续发展</w:t>
            </w:r>
          </w:p>
        </w:tc>
        <w:tc>
          <w:tcPr>
            <w:tcW w:w="8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≥80分</w:t>
            </w: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r>
              <w:rPr>
                <w:rFonts w:ascii="宋体" w:hAnsi="宋体" w:cs="宋体"/>
                <w:kern w:val="0"/>
                <w:sz w:val="18"/>
                <w:szCs w:val="18"/>
              </w:rPr>
              <w:t>%</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432" w:hRule="exact"/>
        </w:trPr>
        <w:tc>
          <w:tcPr>
            <w:tcW w:w="567"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25"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04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 xml:space="preserve"> </w:t>
            </w:r>
          </w:p>
        </w:tc>
        <w:tc>
          <w:tcPr>
            <w:tcW w:w="8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w:t>
            </w: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 xml:space="preserve"> </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 xml:space="preserve"> </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 xml:space="preserve"> </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268" w:hRule="exact"/>
        </w:trPr>
        <w:tc>
          <w:tcPr>
            <w:tcW w:w="567"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25"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04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p>
        </w:tc>
        <w:tc>
          <w:tcPr>
            <w:tcW w:w="8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741" w:hRule="exact"/>
        </w:trPr>
        <w:tc>
          <w:tcPr>
            <w:tcW w:w="567"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125"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04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人才队伍合理、素质过硬，切实提高经济水平</w:t>
            </w:r>
          </w:p>
        </w:tc>
        <w:tc>
          <w:tcPr>
            <w:tcW w:w="8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≥80分</w:t>
            </w: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r>
              <w:rPr>
                <w:rFonts w:ascii="宋体" w:hAnsi="宋体" w:cs="宋体"/>
                <w:kern w:val="0"/>
                <w:sz w:val="18"/>
                <w:szCs w:val="18"/>
              </w:rPr>
              <w:t>%</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cs="宋体"/>
                <w:kern w:val="0"/>
                <w:sz w:val="18"/>
                <w:szCs w:val="18"/>
              </w:rPr>
              <w:t>1</w:t>
            </w:r>
            <w:r>
              <w:rPr>
                <w:rFonts w:hint="eastAsia" w:ascii="宋体" w:hAnsi="宋体" w:cs="宋体"/>
                <w:kern w:val="0"/>
                <w:sz w:val="18"/>
                <w:szCs w:val="18"/>
                <w:lang w:val="en-US" w:eastAsia="zh-CN"/>
              </w:rPr>
              <w:t>5</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801" w:hRule="exact"/>
        </w:trPr>
        <w:tc>
          <w:tcPr>
            <w:tcW w:w="567"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25"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040" w:type="dxa"/>
            <w:gridSpan w:val="3"/>
            <w:tcBorders>
              <w:top w:val="single" w:color="auto" w:sz="4" w:space="0"/>
              <w:left w:val="nil"/>
              <w:bottom w:val="single" w:color="auto" w:sz="4" w:space="0"/>
              <w:right w:val="single" w:color="auto" w:sz="4" w:space="0"/>
            </w:tcBorders>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能为人才提供优质服务和优惠政策，吸引来迁投资</w:t>
            </w:r>
          </w:p>
        </w:tc>
        <w:tc>
          <w:tcPr>
            <w:tcW w:w="808" w:type="dxa"/>
            <w:tcBorders>
              <w:top w:val="nil"/>
              <w:left w:val="nil"/>
              <w:bottom w:val="single" w:color="auto" w:sz="4" w:space="0"/>
              <w:right w:val="single" w:color="auto" w:sz="4" w:space="0"/>
            </w:tcBorders>
          </w:tcPr>
          <w:p>
            <w:r>
              <w:rPr>
                <w:rFonts w:hint="eastAsia" w:ascii="宋体" w:hAnsi="宋体" w:cs="宋体"/>
                <w:kern w:val="0"/>
                <w:sz w:val="18"/>
                <w:szCs w:val="18"/>
              </w:rPr>
              <w:t>≥80分</w:t>
            </w:r>
            <w:r>
              <w:rPr>
                <w:rFonts w:hint="eastAsia"/>
              </w:rPr>
              <w:t>分</w:t>
            </w: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r>
              <w:rPr>
                <w:rFonts w:ascii="宋体" w:hAnsi="宋体" w:cs="宋体"/>
                <w:kern w:val="0"/>
                <w:sz w:val="18"/>
                <w:szCs w:val="18"/>
              </w:rPr>
              <w:t>%</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587" w:hRule="exact"/>
        </w:trPr>
        <w:tc>
          <w:tcPr>
            <w:tcW w:w="567"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25"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04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p>
        </w:tc>
        <w:tc>
          <w:tcPr>
            <w:tcW w:w="8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689" w:hRule="exact"/>
        </w:trPr>
        <w:tc>
          <w:tcPr>
            <w:tcW w:w="567"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25"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040" w:type="dxa"/>
            <w:gridSpan w:val="3"/>
            <w:tcBorders>
              <w:top w:val="single" w:color="auto" w:sz="4" w:space="0"/>
              <w:left w:val="nil"/>
              <w:bottom w:val="single" w:color="auto" w:sz="4" w:space="0"/>
              <w:right w:val="single" w:color="auto" w:sz="4" w:space="0"/>
            </w:tcBorders>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能够做好人才培养、引进、使用、管理人才</w:t>
            </w:r>
          </w:p>
        </w:tc>
        <w:tc>
          <w:tcPr>
            <w:tcW w:w="808" w:type="dxa"/>
            <w:tcBorders>
              <w:top w:val="nil"/>
              <w:left w:val="nil"/>
              <w:bottom w:val="single" w:color="auto" w:sz="4" w:space="0"/>
              <w:right w:val="single" w:color="auto" w:sz="4" w:space="0"/>
            </w:tcBorders>
          </w:tcPr>
          <w:p>
            <w:r>
              <w:rPr>
                <w:rFonts w:hint="eastAsia" w:ascii="宋体" w:hAnsi="宋体" w:cs="宋体"/>
                <w:kern w:val="0"/>
                <w:sz w:val="18"/>
                <w:szCs w:val="18"/>
              </w:rPr>
              <w:t>≥80分</w:t>
            </w: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r>
              <w:rPr>
                <w:rFonts w:ascii="宋体" w:hAnsi="宋体" w:cs="宋体"/>
                <w:kern w:val="0"/>
                <w:sz w:val="18"/>
                <w:szCs w:val="18"/>
              </w:rPr>
              <w:t>%</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897" w:hRule="exact"/>
        </w:trPr>
        <w:tc>
          <w:tcPr>
            <w:tcW w:w="567"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25"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04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人才队伍</w:t>
            </w:r>
            <w:r>
              <w:rPr>
                <w:rFonts w:ascii="宋体" w:hAnsi="宋体" w:cs="宋体"/>
                <w:color w:val="000000"/>
                <w:kern w:val="0"/>
                <w:sz w:val="18"/>
                <w:szCs w:val="18"/>
              </w:rPr>
              <w:t>满意率</w:t>
            </w:r>
          </w:p>
        </w:tc>
        <w:tc>
          <w:tcPr>
            <w:tcW w:w="8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≥80%</w:t>
            </w:r>
          </w:p>
        </w:tc>
        <w:tc>
          <w:tcPr>
            <w:tcW w:w="8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r>
              <w:rPr>
                <w:rFonts w:ascii="宋体" w:hAnsi="宋体" w:cs="宋体"/>
                <w:kern w:val="0"/>
                <w:sz w:val="18"/>
                <w:szCs w:val="18"/>
              </w:rPr>
              <w:t>%</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20</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20</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413" w:hRule="exact"/>
        </w:trPr>
        <w:tc>
          <w:tcPr>
            <w:tcW w:w="6058"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预算执行率</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p>
        </w:tc>
      </w:tr>
      <w:tr>
        <w:tblPrEx>
          <w:tblLayout w:type="fixed"/>
          <w:tblCellMar>
            <w:top w:w="0" w:type="dxa"/>
            <w:left w:w="108" w:type="dxa"/>
            <w:bottom w:w="0" w:type="dxa"/>
            <w:right w:w="108" w:type="dxa"/>
          </w:tblCellMar>
        </w:tblPrEx>
        <w:trPr>
          <w:gridAfter w:val="1"/>
          <w:wAfter w:w="9" w:type="dxa"/>
          <w:trHeight w:val="420" w:hRule="exact"/>
        </w:trPr>
        <w:tc>
          <w:tcPr>
            <w:tcW w:w="6058"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756" w:type="dxa"/>
            <w:gridSpan w:val="2"/>
            <w:tcBorders>
              <w:top w:val="nil"/>
              <w:left w:val="nil"/>
              <w:bottom w:val="single" w:color="auto" w:sz="4" w:space="0"/>
              <w:right w:val="single" w:color="auto" w:sz="4" w:space="0"/>
            </w:tcBorders>
            <w:vAlign w:val="center"/>
          </w:tcPr>
          <w:p>
            <w:pPr>
              <w:widowControl/>
              <w:spacing w:line="240" w:lineRule="exact"/>
              <w:jc w:val="center"/>
              <w:rPr>
                <w:rFonts w:hint="default" w:ascii="宋体" w:hAnsi="宋体" w:eastAsia="宋体" w:cs="宋体"/>
                <w:color w:val="000000"/>
                <w:kern w:val="0"/>
                <w:sz w:val="18"/>
                <w:szCs w:val="18"/>
                <w:lang w:val="en-US" w:eastAsia="zh-CN"/>
              </w:rPr>
            </w:pPr>
            <w:r>
              <w:rPr>
                <w:rFonts w:ascii="宋体" w:hAnsi="宋体" w:cs="宋体"/>
                <w:color w:val="000000"/>
                <w:kern w:val="0"/>
                <w:sz w:val="18"/>
                <w:szCs w:val="18"/>
              </w:rPr>
              <w:t>98.</w:t>
            </w:r>
            <w:r>
              <w:rPr>
                <w:rFonts w:hint="eastAsia" w:ascii="宋体" w:hAnsi="宋体" w:cs="宋体"/>
                <w:color w:val="000000"/>
                <w:kern w:val="0"/>
                <w:sz w:val="18"/>
                <w:szCs w:val="18"/>
                <w:lang w:val="en-US" w:eastAsia="zh-CN"/>
              </w:rPr>
              <w:t>02</w:t>
            </w:r>
          </w:p>
        </w:tc>
        <w:tc>
          <w:tcPr>
            <w:tcW w:w="151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pPr>
        <w:pStyle w:val="9"/>
        <w:shd w:val="clear" w:color="auto" w:fill="FFFFFF"/>
        <w:spacing w:before="0" w:beforeAutospacing="0" w:after="0" w:afterAutospacing="0" w:line="600" w:lineRule="exact"/>
        <w:ind w:firstLine="480"/>
        <w:rPr>
          <w:rFonts w:hint="eastAsia" w:ascii="仿宋_GB2312" w:eastAsia="仿宋_GB2312"/>
          <w:color w:val="000000"/>
          <w:sz w:val="32"/>
          <w:szCs w:val="32"/>
        </w:rPr>
      </w:pPr>
    </w:p>
    <w:p>
      <w:pPr>
        <w:spacing w:line="580" w:lineRule="exact"/>
        <w:rPr>
          <w:rFonts w:ascii="黑体" w:eastAsia="黑体"/>
          <w:sz w:val="32"/>
          <w:szCs w:val="32"/>
        </w:rPr>
      </w:pPr>
      <w:r>
        <w:rPr>
          <w:rFonts w:hint="eastAsia" w:ascii="黑体" w:eastAsia="黑体"/>
          <w:sz w:val="32"/>
          <w:szCs w:val="32"/>
        </w:rPr>
        <w:t xml:space="preserve">    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 xml:space="preserve">本部门2018年度机关运行经费支出68.92万元，比2017年度减少5.49万元，降低7.39%，比2018年年初预算安排增加35.35万元，增长105.3%，其中干部工作和人才工作专项业务费支出增加67万元，主要是新增了组织史续编、重点工作大督查、加快引进人才、加强人才队伍建设等工作任务，致使支出增加。 </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截至2018年12月31日，本部门共有车辆2辆，与上年持平。其中，应急保障用车2辆；</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万元以上通用设备0台（套），与上年比无增减变化，单位价值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万元以上专用设备0台（套），与上年比无增减变化。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1、本部门2018年度无政府性基金预算财政拨款收入、支出及结转和结余情况，故政府性基金预算财政拨款收入支出决算表以空表列示。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2、本部门2018年度无国有资本经营预算财政拨款支出情况，故国有资本经营预算财政拨款支出决算表以空表列示。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3、本部门2018年度无纳入部门预算范围的政府采购预算及支出情况，故政府采购情况表以空表列示。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4、由于决算公开表格中金额数值应当保留两位小数，公开数据为四舍五入计算结果，个别数据合计项与分项之和存在小数点后差额，特此说明。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图片 21" o:spid="_x0000_s1041" o:spt="75" type="#_x0000_t75" style="position:absolute;left:0pt;margin-left:-79.45pt;margin-top:-105.35pt;height:840.95pt;width:594.5pt;z-index:-1024;mso-width-relative:page;mso-height-relative:page;" filled="f" o:preferrelative="t" stroked="f" coordsize="21600,21600">
            <v:path/>
            <v:fill on="f" focussize="0,0"/>
            <v:stroke on="f" joinstyle="miter"/>
            <v:imagedata r:id="rId6" o:title=""/>
            <o:lock v:ext="edit" aspectratio="t"/>
          </v:shape>
        </w:pict>
      </w:r>
      <w:r>
        <w:rPr>
          <w:sz w:val="72"/>
        </w:rPr>
        <w:pict>
          <v:rect id="文本框 22" o:spid="_x0000_s1042" o:spt="1" style="position:absolute;left:0pt;margin-left:-78.7pt;margin-top:232.8pt;height:159.1pt;width:596.2pt;z-index:102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相关名词解释</w:t>
                  </w:r>
                </w:p>
              </w:txbxContent>
            </v:textbox>
          </v:rect>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w:pict>
          <v:group id="组合 149" o:spid="_x0000_s1055" o:spt="203" style="position:absolute;left:0pt;margin-left:-81.05pt;margin-top:39.65pt;height:43.95pt;width:264.85pt;mso-position-vertical-relative:page;z-index:50331136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FjhCF8nAwAA8ggAAA4AAAAAAAAA&#10;AQAgAAAAKgEAAGRycy9lMm9Eb2MueG1sUEsFBgAAAAAGAAYAWQEAAMMGAAAAAA==&#10;">
            <o:lock v:ext="edit" aspectratio="f"/>
            <v:rect id="矩形 13" o:spid="_x0000_s1053"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aspectratio="f"/>
            </v:rect>
            <v:rect id="矩形 14" o:spid="_x0000_s1054" o:spt="1" style="position:absolute;left:4577;top:52890;height:1123;width:8324;v-text-anchor:middle;" fillcolor="#AD002D" filled="t" stroked="t" coordsize="21600,21600" o:gfxdata="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4uMMvQAA&#10;ANwAAAAPAAAAAAAAAAEAIAAAACIAAABkcnMvZG93bnJldi54bWxQSwECFAAUAAAACACHTuJAMy8F&#10;njsAAAA5AAAAEAAAAAAAAAABACAAAAAMAQAAZHJzL3NoYXBleG1sLnhtbFBLBQYAAAAABgAGAFsB&#10;AAC2AwAAAAA=&#10;">
              <v:path/>
              <v:fill on="t" focussize="0,0"/>
              <v:stroke weight="2pt" color="#385D8A"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w:pict>
          <v:group id="组合 94" o:spid="_x0000_s1061" o:spt="203" style="position:absolute;left:0pt;margin-left:-81.05pt;margin-top:39.65pt;height:43.95pt;width:264.85pt;mso-position-vertical-relative:page;z-index:50333286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IWM/JvbAAAACwEAAA8AAAAAAAAA&#10;AQAgAAAAIgAAAGRycy9kb3ducmV2LnhtbFBLAQIUABQAAAAIAIdO4kAjjgW/KwMAAO4IAAAOAAAA&#10;AAAAAAEAIAAAACoBAABkcnMvZTJvRG9jLnhtbFBLBQYAAAAABgAGAFkBAADHBgAAAAA=&#10;">
            <o:lock v:ext="edit" aspectratio="f"/>
            <v:rect id="矩形 13" o:spid="_x0000_s1059"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aspectratio="f"/>
            </v:rect>
            <v:rect id="矩形 14" o:spid="_x0000_s1060" o:spt="1" style="position:absolute;left:4577;top:52890;height:1123;width:8324;v-text-anchor:middle;" fillcolor="#AD002D" filled="t" stroked="t" coordsize="21600,21600" o:gfxdata="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NyGir4A&#10;AADbAAAADwAAAAAAAAABACAAAAAiAAAAZHJzL2Rvd25yZXYueG1sUEsBAhQAFAAAAAgAh07iQDMv&#10;BZ47AAAAOQAAABAAAAAAAAAAAQAgAAAADQEAAGRycy9zaGFwZXhtbC54bWxQSwUGAAAAAAYABgBb&#10;AQAAtwMAAAAA&#10;">
              <v:path/>
              <v:fill on="t" focussize="0,0"/>
              <v:stroke weight="2pt" color="#385D8A"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w:pict>
          <v:group id="组合 97" o:spid="_x0000_s1058" o:spt="203" style="position:absolute;left:0pt;margin-left:-81.05pt;margin-top:39.65pt;height:43.95pt;width:264.85pt;mso-position-vertical-relative:page;z-index:50333388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CFjPyb2wAAAAsBAAAPAAAAAAAAAAEAIAAA&#10;ACIAAABkcnMvZG93bnJldi54bWxQSwECFAAUAAAACACHTuJA5A+SRiYDAADuCAAADgAAAAAAAAAB&#10;ACAAAAAqAQAAZHJzL2Uyb0RvYy54bWxQSwUGAAAAAAYABgBZAQAAwgYAAAAA&#10;">
            <o:lock v:ext="edit" aspectratio="f"/>
            <v:rect id="矩形 13" o:spid="_x0000_s1056"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aspectratio="f"/>
            </v:rect>
            <v:rect id="矩形 14" o:spid="_x0000_s1057" o:spt="1" style="position:absolute;left:4577;top:52890;height:1123;width:8324;v-text-anchor:middle;" fillcolor="#AD002D" filled="t" stroked="t" coordsize="21600,21600" o:gfxdata="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UMS+L4A&#10;AADbAAAADwAAAAAAAAABACAAAAAiAAAAZHJzL2Rvd25yZXYueG1sUEsBAhQAFAAAAAgAh07iQDMv&#10;BZ47AAAAOQAAABAAAAAAAAAAAQAgAAAADQEAAGRycy9zaGFwZXhtbC54bWxQSwUGAAAAAAYABgBb&#10;AQAAtwMAAAAA&#10;">
              <v:path/>
              <v:fill on="t" focussize="0,0"/>
              <v:stroke weight="2pt" color="#385D8A"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pict>
          <v:shape id="图片 101" o:spid="_x0000_s1049" o:spt="75" type="#_x0000_t75" style="position:absolute;left:0pt;margin-left:-78pt;margin-top:-106.7pt;height:845.35pt;width:597.65pt;z-index:-1024;mso-width-relative:page;mso-height-relative:page;" filled="f" o:preferrelative="t" stroked="f" coordsize="21600,21600">
            <v:path/>
            <v:fill on="f" focussize="0,0"/>
            <v:stroke on="f" joinstyle="miter"/>
            <v:imagedata r:id="rId7" o:title=""/>
            <o:lock v:ext="edit" aspectratio="t"/>
          </v:shape>
        </w:pict>
      </w:r>
    </w:p>
    <w:p>
      <w:pPr>
        <w:widowControl/>
        <w:spacing w:after="0" w:line="560" w:lineRule="exact"/>
        <w:ind w:firstLine="640" w:firstLineChars="200"/>
        <w:rPr>
          <w:rFonts w:ascii="仿宋_GB2312" w:hAnsi="Cambria" w:eastAsia="仿宋_GB2312" w:cs="ArialUnicodeMS"/>
          <w:kern w:val="0"/>
          <w:sz w:val="32"/>
          <w:szCs w:val="32"/>
        </w:rPr>
      </w:pPr>
    </w:p>
    <w:p>
      <w:pPr>
        <w:widowControl/>
        <w:spacing w:after="0" w:line="560" w:lineRule="exact"/>
        <w:ind w:firstLine="640" w:firstLineChars="200"/>
        <w:rPr>
          <w:rFonts w:ascii="仿宋_GB2312" w:hAnsi="Cambria" w:eastAsia="仿宋_GB2312" w:cs="ArialUnicodeMS"/>
          <w:kern w:val="0"/>
          <w:sz w:val="32"/>
          <w:szCs w:val="32"/>
        </w:rPr>
      </w:pPr>
    </w:p>
    <w:p>
      <w:pPr>
        <w:widowControl/>
        <w:spacing w:after="0" w:line="560" w:lineRule="exact"/>
        <w:ind w:firstLine="640" w:firstLineChars="200"/>
        <w:rPr>
          <w:rFonts w:ascii="仿宋_GB2312" w:hAnsi="Cambria" w:eastAsia="仿宋_GB2312" w:cs="ArialUnicodeMS"/>
          <w:kern w:val="0"/>
          <w:sz w:val="32"/>
          <w:szCs w:val="32"/>
        </w:rPr>
      </w:pPr>
    </w:p>
    <w:p>
      <w:pPr>
        <w:widowControl/>
        <w:spacing w:after="0" w:line="560" w:lineRule="exact"/>
        <w:ind w:firstLine="640" w:firstLineChars="200"/>
        <w:rPr>
          <w:rFonts w:ascii="仿宋_GB2312" w:hAnsi="Cambria" w:eastAsia="仿宋_GB2312" w:cs="ArialUnicodeMS"/>
          <w:kern w:val="0"/>
          <w:sz w:val="32"/>
          <w:szCs w:val="32"/>
        </w:rPr>
      </w:pPr>
    </w:p>
    <w:p>
      <w:pPr>
        <w:widowControl/>
        <w:spacing w:after="0" w:line="240" w:lineRule="auto"/>
        <w:ind w:firstLine="640" w:firstLineChars="200"/>
        <w:rPr>
          <w:rFonts w:ascii="仿宋_GB2312" w:hAnsi="Cambria" w:eastAsia="仿宋_GB2312" w:cs="ArialUnicodeMS"/>
          <w:kern w:val="0"/>
          <w:sz w:val="32"/>
          <w:szCs w:val="32"/>
        </w:rPr>
      </w:pP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auto"/>
    <w:pitch w:val="default"/>
    <w:sig w:usb0="00000000" w:usb1="00000000" w:usb2="00082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0000000000000000000"/>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方正仿宋简体">
    <w:altName w:val="微软雅黑"/>
    <w:panose1 w:val="00000000000000000000"/>
    <w:charset w:val="86"/>
    <w:family w:val="auto"/>
    <w:pitch w:val="default"/>
    <w:sig w:usb0="00000000" w:usb1="00000000" w:usb2="00000000" w:usb3="00000000" w:csb0="00040000" w:csb1="00000000"/>
  </w:font>
  <w:font w:name="TimesNewRomanPSMT">
    <w:altName w:val="Arial"/>
    <w:panose1 w:val="00000000000000000000"/>
    <w:charset w:val="00"/>
    <w:family w:val="auto"/>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singleLevel"/>
    <w:tmpl w:val="0000000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749C9"/>
    <w:rsid w:val="00735B04"/>
    <w:rsid w:val="00C36658"/>
    <w:rsid w:val="00C749C9"/>
    <w:rsid w:val="03855334"/>
    <w:rsid w:val="042344D8"/>
    <w:rsid w:val="06322184"/>
    <w:rsid w:val="06686D93"/>
    <w:rsid w:val="080B59D8"/>
    <w:rsid w:val="0FD45FC7"/>
    <w:rsid w:val="12534347"/>
    <w:rsid w:val="13B2378B"/>
    <w:rsid w:val="13D61535"/>
    <w:rsid w:val="15D72895"/>
    <w:rsid w:val="160A66DD"/>
    <w:rsid w:val="1829455D"/>
    <w:rsid w:val="19E413C9"/>
    <w:rsid w:val="1D9A16AB"/>
    <w:rsid w:val="26CA7DB5"/>
    <w:rsid w:val="2A51325B"/>
    <w:rsid w:val="2D167CDF"/>
    <w:rsid w:val="36EE3502"/>
    <w:rsid w:val="37AB4CC5"/>
    <w:rsid w:val="3A585D3E"/>
    <w:rsid w:val="3B6B74D9"/>
    <w:rsid w:val="3D492F2B"/>
    <w:rsid w:val="3E3E6FF9"/>
    <w:rsid w:val="3ED17009"/>
    <w:rsid w:val="3EEF25E9"/>
    <w:rsid w:val="405B6B6E"/>
    <w:rsid w:val="40E02470"/>
    <w:rsid w:val="42712EE2"/>
    <w:rsid w:val="4362792B"/>
    <w:rsid w:val="43E31512"/>
    <w:rsid w:val="456E0A26"/>
    <w:rsid w:val="477572FE"/>
    <w:rsid w:val="49064A01"/>
    <w:rsid w:val="49DA1A64"/>
    <w:rsid w:val="4A6614EF"/>
    <w:rsid w:val="4C0D0F54"/>
    <w:rsid w:val="5BC575FA"/>
    <w:rsid w:val="5D1B17E4"/>
    <w:rsid w:val="5DD316AB"/>
    <w:rsid w:val="5F23097D"/>
    <w:rsid w:val="60312533"/>
    <w:rsid w:val="614C7B3A"/>
    <w:rsid w:val="64F438DA"/>
    <w:rsid w:val="6794343C"/>
    <w:rsid w:val="69517FCD"/>
    <w:rsid w:val="69751A01"/>
    <w:rsid w:val="6AEA59CD"/>
    <w:rsid w:val="6BEB39D0"/>
    <w:rsid w:val="716108CA"/>
    <w:rsid w:val="75042714"/>
    <w:rsid w:val="79E63723"/>
    <w:rsid w:val="7ACB24A0"/>
    <w:rsid w:val="7D142FA3"/>
    <w:rsid w:val="7EBD14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9"/>
    <w:qFormat/>
    <w:uiPriority w:val="0"/>
    <w:pPr>
      <w:keepNext/>
      <w:keepLines/>
      <w:spacing w:before="260" w:after="260" w:line="416" w:lineRule="auto"/>
      <w:outlineLvl w:val="1"/>
    </w:pPr>
    <w:rPr>
      <w:rFonts w:ascii="Calibri" w:hAnsi="Calibri" w:cs="宋体"/>
      <w:b/>
      <w:bCs/>
      <w:sz w:val="32"/>
      <w:szCs w:val="32"/>
    </w:rPr>
  </w:style>
  <w:style w:type="paragraph" w:styleId="4">
    <w:name w:val="heading 3"/>
    <w:basedOn w:val="1"/>
    <w:next w:val="1"/>
    <w:link w:val="20"/>
    <w:qFormat/>
    <w:uiPriority w:val="0"/>
    <w:pPr>
      <w:keepNext/>
      <w:keepLines/>
      <w:spacing w:before="260" w:after="260" w:line="416" w:lineRule="auto"/>
      <w:outlineLvl w:val="2"/>
    </w:pPr>
    <w:rPr>
      <w:b/>
      <w:bCs/>
      <w:sz w:val="32"/>
      <w:szCs w:val="32"/>
    </w:rPr>
  </w:style>
  <w:style w:type="paragraph" w:styleId="5">
    <w:name w:val="heading 4"/>
    <w:basedOn w:val="1"/>
    <w:next w:val="1"/>
    <w:link w:val="21"/>
    <w:qFormat/>
    <w:uiPriority w:val="0"/>
    <w:pPr>
      <w:keepNext/>
      <w:keepLines/>
      <w:spacing w:before="280" w:after="290" w:line="376" w:lineRule="auto"/>
      <w:outlineLvl w:val="3"/>
    </w:pPr>
    <w:rPr>
      <w:rFonts w:ascii="Calibri" w:hAnsi="Calibri" w:cs="宋体"/>
      <w:b/>
      <w:bCs/>
      <w:sz w:val="28"/>
      <w:szCs w:val="28"/>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footer"/>
    <w:basedOn w:val="1"/>
    <w:link w:val="22"/>
    <w:qFormat/>
    <w:uiPriority w:val="0"/>
    <w:pPr>
      <w:tabs>
        <w:tab w:val="center" w:pos="4153"/>
        <w:tab w:val="right" w:pos="8306"/>
      </w:tabs>
      <w:snapToGrid w:val="0"/>
      <w:jc w:val="left"/>
    </w:pPr>
    <w:rPr>
      <w:sz w:val="18"/>
      <w:szCs w:val="18"/>
    </w:rPr>
  </w:style>
  <w:style w:type="paragraph" w:styleId="7">
    <w:name w:val="header"/>
    <w:basedOn w:val="1"/>
    <w:link w:val="23"/>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4"/>
    <w:qFormat/>
    <w:uiPriority w:val="0"/>
    <w:pPr>
      <w:widowControl/>
      <w:spacing w:after="200" w:line="276" w:lineRule="auto"/>
      <w:jc w:val="left"/>
    </w:pPr>
    <w:rPr>
      <w:rFonts w:ascii="Calibri" w:hAnsi="Calibri" w:cs="宋体"/>
      <w:i/>
      <w:iCs/>
      <w:color w:val="F0A22E"/>
      <w:spacing w:val="15"/>
      <w:kern w:val="0"/>
      <w:sz w:val="24"/>
    </w:rPr>
  </w:style>
  <w:style w:type="paragraph" w:styleId="9">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0">
    <w:name w:val="Title"/>
    <w:basedOn w:val="1"/>
    <w:next w:val="1"/>
    <w:link w:val="25"/>
    <w:qFormat/>
    <w:uiPriority w:val="0"/>
    <w:pPr>
      <w:widowControl/>
      <w:pBdr>
        <w:bottom w:val="single" w:color="F0A22E" w:sz="8" w:space="4"/>
      </w:pBdr>
      <w:spacing w:after="300"/>
      <w:contextualSpacing/>
      <w:jc w:val="left"/>
    </w:pPr>
    <w:rPr>
      <w:rFonts w:ascii="Calibri" w:hAnsi="Calibri" w:cs="宋体"/>
      <w:color w:val="3B2C24"/>
      <w:spacing w:val="5"/>
      <w:kern w:val="28"/>
      <w:sz w:val="52"/>
      <w:szCs w:val="52"/>
    </w:rPr>
  </w:style>
  <w:style w:type="character" w:customStyle="1" w:styleId="13">
    <w:name w:val="日期 Char"/>
    <w:link w:val="14"/>
    <w:semiHidden/>
    <w:qFormat/>
    <w:uiPriority w:val="0"/>
    <w:rPr>
      <w:rFonts w:ascii="Times New Roman" w:hAnsi="Times New Roman" w:eastAsia="宋体" w:cs="Times New Roman"/>
      <w:szCs w:val="24"/>
    </w:rPr>
  </w:style>
  <w:style w:type="paragraph" w:customStyle="1" w:styleId="14">
    <w:name w:val="日期1"/>
    <w:basedOn w:val="1"/>
    <w:next w:val="1"/>
    <w:link w:val="13"/>
    <w:qFormat/>
    <w:uiPriority w:val="0"/>
    <w:pPr>
      <w:ind w:left="100" w:leftChars="2500"/>
    </w:pPr>
  </w:style>
  <w:style w:type="character" w:customStyle="1" w:styleId="15">
    <w:name w:val="批注框文本 Char"/>
    <w:link w:val="16"/>
    <w:semiHidden/>
    <w:qFormat/>
    <w:uiPriority w:val="0"/>
    <w:rPr>
      <w:rFonts w:ascii="Times New Roman" w:hAnsi="Times New Roman" w:eastAsia="宋体" w:cs="Times New Roman"/>
      <w:sz w:val="18"/>
      <w:szCs w:val="18"/>
    </w:rPr>
  </w:style>
  <w:style w:type="paragraph" w:customStyle="1" w:styleId="16">
    <w:name w:val="批注框文本1"/>
    <w:basedOn w:val="1"/>
    <w:link w:val="15"/>
    <w:qFormat/>
    <w:uiPriority w:val="0"/>
    <w:rPr>
      <w:sz w:val="18"/>
      <w:szCs w:val="18"/>
    </w:rPr>
  </w:style>
  <w:style w:type="paragraph" w:customStyle="1" w:styleId="17">
    <w:name w:val="无间隔1"/>
    <w:link w:val="26"/>
    <w:qFormat/>
    <w:uiPriority w:val="0"/>
    <w:pPr>
      <w:spacing w:after="160" w:line="480" w:lineRule="auto"/>
    </w:pPr>
    <w:rPr>
      <w:rFonts w:ascii="Times New Roman" w:hAnsi="Times New Roman" w:eastAsia="宋体" w:cs="Times New Roman"/>
      <w:sz w:val="22"/>
      <w:lang w:val="en-US" w:eastAsia="zh-CN" w:bidi="ar-SA"/>
    </w:rPr>
  </w:style>
  <w:style w:type="character" w:customStyle="1" w:styleId="18">
    <w:name w:val="标题 1 字符"/>
    <w:link w:val="2"/>
    <w:qFormat/>
    <w:uiPriority w:val="0"/>
    <w:rPr>
      <w:rFonts w:ascii="Times New Roman" w:hAnsi="Times New Roman" w:eastAsia="宋体" w:cs="Times New Roman"/>
      <w:b/>
      <w:bCs/>
      <w:kern w:val="44"/>
      <w:sz w:val="44"/>
      <w:szCs w:val="44"/>
    </w:rPr>
  </w:style>
  <w:style w:type="character" w:customStyle="1" w:styleId="19">
    <w:name w:val="标题 2 字符"/>
    <w:link w:val="3"/>
    <w:qFormat/>
    <w:uiPriority w:val="0"/>
    <w:rPr>
      <w:rFonts w:ascii="Calibri" w:hAnsi="Calibri" w:eastAsia="宋体" w:cs="宋体"/>
      <w:b/>
      <w:bCs/>
      <w:sz w:val="32"/>
      <w:szCs w:val="32"/>
    </w:rPr>
  </w:style>
  <w:style w:type="character" w:customStyle="1" w:styleId="20">
    <w:name w:val="标题 3 字符"/>
    <w:link w:val="4"/>
    <w:qFormat/>
    <w:uiPriority w:val="0"/>
    <w:rPr>
      <w:rFonts w:ascii="Times New Roman" w:hAnsi="Times New Roman" w:eastAsia="宋体" w:cs="Times New Roman"/>
      <w:b/>
      <w:bCs/>
      <w:sz w:val="32"/>
      <w:szCs w:val="32"/>
    </w:rPr>
  </w:style>
  <w:style w:type="character" w:customStyle="1" w:styleId="21">
    <w:name w:val="标题 4 字符"/>
    <w:link w:val="5"/>
    <w:qFormat/>
    <w:uiPriority w:val="0"/>
    <w:rPr>
      <w:rFonts w:ascii="Calibri" w:hAnsi="Calibri" w:eastAsia="宋体" w:cs="宋体"/>
      <w:b/>
      <w:bCs/>
      <w:sz w:val="28"/>
      <w:szCs w:val="28"/>
    </w:rPr>
  </w:style>
  <w:style w:type="character" w:customStyle="1" w:styleId="22">
    <w:name w:val="页脚 字符"/>
    <w:link w:val="6"/>
    <w:qFormat/>
    <w:uiPriority w:val="0"/>
    <w:rPr>
      <w:sz w:val="18"/>
      <w:szCs w:val="18"/>
    </w:rPr>
  </w:style>
  <w:style w:type="character" w:customStyle="1" w:styleId="23">
    <w:name w:val="页眉 字符"/>
    <w:link w:val="7"/>
    <w:qFormat/>
    <w:uiPriority w:val="0"/>
    <w:rPr>
      <w:sz w:val="18"/>
      <w:szCs w:val="18"/>
    </w:rPr>
  </w:style>
  <w:style w:type="character" w:customStyle="1" w:styleId="24">
    <w:name w:val="副标题 字符"/>
    <w:link w:val="8"/>
    <w:qFormat/>
    <w:uiPriority w:val="0"/>
    <w:rPr>
      <w:rFonts w:ascii="Calibri" w:hAnsi="Calibri" w:eastAsia="宋体" w:cs="宋体"/>
      <w:i/>
      <w:iCs/>
      <w:color w:val="F0A22E"/>
      <w:spacing w:val="15"/>
      <w:kern w:val="0"/>
      <w:sz w:val="24"/>
      <w:szCs w:val="24"/>
    </w:rPr>
  </w:style>
  <w:style w:type="character" w:customStyle="1" w:styleId="25">
    <w:name w:val="标题 字符"/>
    <w:link w:val="10"/>
    <w:qFormat/>
    <w:uiPriority w:val="0"/>
    <w:rPr>
      <w:rFonts w:ascii="Calibri" w:hAnsi="Calibri" w:eastAsia="宋体" w:cs="宋体"/>
      <w:color w:val="3B2C24"/>
      <w:spacing w:val="5"/>
      <w:kern w:val="28"/>
      <w:sz w:val="52"/>
      <w:szCs w:val="52"/>
    </w:rPr>
  </w:style>
  <w:style w:type="character" w:customStyle="1" w:styleId="26">
    <w:name w:val="无间隔 Char"/>
    <w:link w:val="17"/>
    <w:semiHidden/>
    <w:qFormat/>
    <w:uiPriority w:val="0"/>
    <w:rPr>
      <w:kern w:val="0"/>
      <w:sz w:val="22"/>
    </w:rPr>
  </w:style>
  <w:style w:type="character" w:customStyle="1" w:styleId="27">
    <w:name w:val="Style1"/>
    <w:qFormat/>
    <w:uiPriority w:val="0"/>
    <w:rPr>
      <w:rFonts w:ascii="Cambria" w:hAnsi="黑体" w:eastAsia="黑体" w:cs="宋体"/>
      <w:sz w:val="22"/>
      <w:szCs w:val="22"/>
      <w:lang w:eastAsia="zh-CN"/>
    </w:rPr>
  </w:style>
  <w:style w:type="character" w:customStyle="1" w:styleId="28">
    <w:name w:val="Style2"/>
    <w:qFormat/>
    <w:uiPriority w:val="0"/>
    <w:rPr>
      <w:rFonts w:ascii="Cambria" w:hAnsi="黑体" w:eastAsia="黑体" w:cs="宋体"/>
      <w:sz w:val="22"/>
      <w:szCs w:val="22"/>
      <w:lang w:eastAsia="zh-CN"/>
    </w:rPr>
  </w:style>
  <w:style w:type="character" w:customStyle="1" w:styleId="29">
    <w:name w:val="Style3"/>
    <w:qFormat/>
    <w:uiPriority w:val="0"/>
    <w:rPr>
      <w:rFonts w:ascii="Cambria" w:hAnsi="黑体" w:eastAsia="黑体" w:cs="宋体"/>
      <w:szCs w:val="22"/>
      <w:lang w:eastAsia="zh-CN"/>
    </w:rPr>
  </w:style>
  <w:style w:type="character" w:customStyle="1" w:styleId="30">
    <w:name w:val="Style4"/>
    <w:qFormat/>
    <w:uiPriority w:val="0"/>
    <w:rPr>
      <w:rFonts w:ascii="Cambria" w:hAnsi="黑体" w:eastAsia="黑体" w:cs="宋体"/>
      <w:szCs w:val="22"/>
      <w:lang w:eastAsia="zh-CN"/>
    </w:rPr>
  </w:style>
  <w:style w:type="character" w:customStyle="1" w:styleId="31">
    <w:name w:val="Style5"/>
    <w:qFormat/>
    <w:uiPriority w:val="0"/>
    <w:rPr>
      <w:rFonts w:ascii="Cambria" w:hAnsi="黑体" w:eastAsia="黑体" w:cs="宋体"/>
      <w:sz w:val="22"/>
      <w:szCs w:val="22"/>
      <w:lang w:eastAsia="zh-CN"/>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ntTable.xml" Type="http://schemas.openxmlformats.org/officeDocument/2006/relationships/fontTable"/><Relationship Id="rId2" Target="settings.xml" Type="http://schemas.openxmlformats.org/officeDocument/2006/relationships/settings"/><Relationship Id="rId3" Target="theme/theme1.xml" Type="http://schemas.openxmlformats.org/officeDocument/2006/relationships/theme"/><Relationship Id="rId4" Target="media/image1.jpeg" Type="http://schemas.openxmlformats.org/officeDocument/2006/relationships/image"/><Relationship Id="rId5" Target="media/image2.jpeg" Type="http://schemas.openxmlformats.org/officeDocument/2006/relationships/image"/><Relationship Id="rId6" Target="media/image3.jpeg" Type="http://schemas.openxmlformats.org/officeDocument/2006/relationships/image"/><Relationship Id="rId7" Target="media/image4.jpeg" Type="http://schemas.openxmlformats.org/officeDocument/2006/relationships/imag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6"/>
    <customShpInfo spid="_x0000_s1037"/>
    <customShpInfo spid="_x0000_s1035"/>
    <customShpInfo spid="_x0000_s1039"/>
    <customShpInfo spid="_x0000_s1040"/>
    <customShpInfo spid="_x0000_s1038"/>
    <customShpInfo spid="_x0000_s1041"/>
    <customShpInfo spid="_x0000_s1042"/>
    <customShpInfo spid="_x0000_s1053"/>
    <customShpInfo spid="_x0000_s1054"/>
    <customShpInfo spid="_x0000_s1055"/>
    <customShpInfo spid="_x0000_s1059"/>
    <customShpInfo spid="_x0000_s1060"/>
    <customShpInfo spid="_x0000_s1061"/>
    <customShpInfo spid="_x0000_s1056"/>
    <customShpInfo spid="_x0000_s1057"/>
    <customShpInfo spid="_x0000_s1058"/>
    <customShpInfo spid="_x0000_s1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32</Pages>
  <Words>1824</Words>
  <Characters>10397</Characters>
  <Lines>86</Lines>
  <Paragraphs>24</Paragraphs>
  <TotalTime>44</TotalTime>
  <ScaleCrop>false</ScaleCrop>
  <LinksUpToDate>false</LinksUpToDate>
  <CharactersWithSpaces>12197</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2018-08-29T16:38:00Z</dcterms:created>
  <dc:creator>User</dc:creator>
  <cp:lastModifiedBy>Administrator</cp:lastModifiedBy>
  <cp:lastPrinted>2019-08-12T00:17:00Z</cp:lastPrinted>
  <dcterms:modified xsi:type="dcterms:W3CDTF">2021-05-16T06:24:08Z</dcterms:modified>
  <cp:revision>2</cp:revision>
  <dc:subject>石家庄市xxx部门</dc:subject>
  <dc:title>TNY-AL00</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845FACFDBE22406098ACA68F47A11DF9</vt:lpwstr>
  </property>
</Properties>
</file>