
<file path=[Content_Types].xml><?xml version="1.0" encoding="utf-8"?>
<Types xmlns="http://schemas.openxmlformats.org/package/2006/content-types">
  <Default ContentType="image/bmp" Extension="bmp"/>
  <Default ContentType="image/jpeg" Extension="jpe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header+xml" PartName="/word/header1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w:rPr>
          <w:rFonts w:ascii="等线" w:hAnsi="等线" w:eastAsia="等线" w:cs="SimHei"/>
          <w:kern w:val="2"/>
          <w:sz w:val="21"/>
          <w:szCs w:val="22"/>
          <w:lang w:val="en-US" w:eastAsia="zh-CN" w:bidi="ar-SA"/>
        </w:rPr>
        <w:pict>
          <v:rect id="文本框 10" o:spid="_x0000_s1080" o:spt="1" style="position:absolute;left:0pt;margin-left:106.25pt;margin-top:693.55pt;height:79.95pt;width:404.15pt;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rPr>
          <w:rFonts w:ascii="等线" w:hAnsi="等线" w:eastAsia="等线" w:cs="SimHei"/>
          <w:kern w:val="2"/>
          <w:sz w:val="21"/>
          <w:szCs w:val="22"/>
          <w:lang w:val="en-US" w:eastAsia="zh-CN" w:bidi="ar-SA"/>
        </w:rPr>
        <w:pict>
          <v:shape id="椭圆 8" o:spid="_x0000_s1081" o:spt="3" type="#_x0000_t3" style="position:absolute;left:0pt;margin-left:53.5pt;margin-top:232.45pt;height:121.95pt;width:121.95pt;z-index:251660288;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SimHei"/>
          <w:kern w:val="2"/>
          <w:sz w:val="21"/>
          <w:szCs w:val="22"/>
          <w:lang w:val="en-US" w:eastAsia="zh-CN" w:bidi="ar-SA"/>
        </w:rPr>
        <w:pict>
          <v:rect id="矩形 14" o:spid="_x0000_s1082" o:spt="1" style="position:absolute;left:0pt;margin-left:33.6pt;margin-top:256.75pt;height:69.6pt;width:160.65pt;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spacing w:line="360" w:lineRule="auto"/>
                    <w:jc w:val="center"/>
                    <w:rPr>
                      <w:kern w:val="0"/>
                      <w:sz w:val="28"/>
                      <w:szCs w:val="28"/>
                    </w:rPr>
                  </w:pPr>
                  <w:r>
                    <w:rPr>
                      <w:rFonts w:hint="eastAsia" w:ascii="Yu Gothic UI Semibold" w:hAnsi="Yu Gothic UI Semibold" w:eastAsia="SimSun"/>
                      <w:color w:val="FFFFFF"/>
                      <w:kern w:val="24"/>
                      <w:sz w:val="72"/>
                      <w:szCs w:val="72"/>
                    </w:rPr>
                    <w:t>2019</w:t>
                  </w:r>
                </w:p>
              </w:txbxContent>
            </v:textbox>
          </v:rect>
        </w:pict>
      </w:r>
      <w:r>
        <w:rPr>
          <w:rFonts w:ascii="等线" w:hAnsi="等线" w:eastAsia="等线" w:cs="SimHei"/>
          <w:kern w:val="2"/>
          <w:sz w:val="21"/>
          <w:szCs w:val="22"/>
          <w:lang w:val="en-US" w:eastAsia="zh-CN" w:bidi="ar-SA"/>
        </w:rPr>
        <w:pict>
          <v:shape id="椭圆 9" o:spid="_x0000_s1083" o:spt="3" type="#_x0000_t3" style="position:absolute;left:0pt;margin-left:62.2pt;margin-top:242.75pt;height:103.45pt;width:103.45pt;z-index:251662336;mso-width-relative:page;mso-height-relative:page;" fillcolor="#1F2959"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SimHei"/>
          <w:kern w:val="2"/>
          <w:sz w:val="21"/>
          <w:szCs w:val="22"/>
          <w:lang w:val="en-US" w:eastAsia="zh-CN" w:bidi="ar-SA"/>
        </w:rPr>
        <w:pict>
          <v:group id="组合 1036" o:spid="_x0000_s1084" o:spt="203" style="position:absolute;left:0pt;margin-left:1.25pt;margin-top:821.7pt;height:21.45pt;width:595.25pt;z-index:251663360;mso-width-relative:page;mso-height-relative:page;" coordorigin="1483,16692" coordsize="11905,429">
            <o:lock v:ext="edit" position="f" selection="f" grouping="f" rotation="f" cropping="f" text="f" aspectratio="f"/>
            <v:rect id="矩形 1037" o:spid="_x0000_s1085" o:spt="1" style="position:absolute;left:1483;top:16692;height:428;width:1125;" fillcolor="#FDBC11" filled="t" o:preferrelative="t" stroked="f" coordsize="21600,21600">
              <v:path/>
              <v:fill on="t" focussize="0,0"/>
              <v:stroke on="f"/>
              <v:imagedata gain="65536f" blacklevel="0f" gamma="0" o:title=""/>
              <o:lock v:ext="edit" position="f" selection="f" grouping="f" rotation="f" cropping="f" text="f" aspectratio="f"/>
            </v:rect>
            <v:rect id="矩形 1038" o:spid="_x0000_s1086" o:spt="1" style="position:absolute;left:2608;top:16693;height:428;width:10780;" fillcolor="#1F2959"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SimHei"/>
          <w:kern w:val="2"/>
          <w:sz w:val="21"/>
          <w:szCs w:val="22"/>
          <w:lang w:val="en-US" w:eastAsia="zh-CN" w:bidi="ar-SA"/>
        </w:rPr>
        <w:pict>
          <v:group id="组合 1039" o:spid="_x0000_s1087" o:spt="203" style="position:absolute;left:0pt;margin-left:-2.5pt;margin-top:0pt;height:308.5pt;width:600.25pt;z-index:-251652096;mso-width-relative:page;mso-height-relative:page;" coordorigin="13622,283" coordsize="12005,6170">
            <o:lock v:ext="edit" position="f" selection="f" grouping="f" rotation="f" cropping="f" text="f" aspectratio="f"/>
            <v:rect id="矩形 1040" o:spid="_x0000_s1088" o:spt="1" style="position:absolute;left:13622;top:283;height:6170;width:12005;" fillcolor="#FDBC11" filled="t" stroked="f" coordsize="21600,21600">
              <v:path/>
              <v:fill on="t" color2="#FFFFFF" focussize="0,0"/>
              <v:stroke on="f"/>
              <v:imagedata o:title=""/>
              <o:lock v:ext="edit" aspectratio="f"/>
            </v:rect>
            <v:rect id="矩形 1041" o:spid="_x0000_s1089" o:spt="1" style="position:absolute;left:17229;top:5021;height:1392;width:8083;" filled="f" stroked="f" coordsize="21600,21600">
              <v:path/>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rPr>
          <w:rFonts w:ascii="等线" w:hAnsi="等线" w:eastAsia="等线" w:cs="SimHei"/>
          <w:kern w:val="2"/>
          <w:sz w:val="21"/>
          <w:szCs w:val="22"/>
          <w:lang w:val="en-US" w:eastAsia="zh-CN" w:bidi="ar-SA"/>
        </w:rPr>
        <w:pict>
          <v:rect id="矩形 11" o:spid="_x0000_s1090" o:spt="1" style="position:absolute;left:0pt;margin-left:184.75pt;margin-top:286.6pt;height:31.25pt;width:339.65pt;mso-wrap-style:none;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txbxContent>
            </v:textbox>
          </v:rect>
        </w:pict>
      </w:r>
    </w:p>
    <w:p/>
    <w:p>
      <w:pPr>
        <w:jc w:val="center"/>
        <w:rPr>
          <w:rFonts w:ascii="SimHei" w:hAnsi="SimHei" w:eastAsia="SimHei" w:cs="SimHei"/>
          <w:sz w:val="56"/>
          <w:szCs w:val="72"/>
        </w:rPr>
      </w:pPr>
    </w:p>
    <w:p>
      <w:pPr>
        <w:jc w:val="center"/>
        <w:rPr>
          <w:rFonts w:ascii="SimHei" w:hAnsi="SimHei" w:eastAsia="SimHei" w:cs="SimHei"/>
          <w:sz w:val="56"/>
          <w:szCs w:val="72"/>
        </w:rPr>
      </w:pPr>
    </w:p>
    <w:p>
      <w:pPr>
        <w:rPr>
          <w:rFonts w:ascii="SimHei" w:hAnsi="Times New Roman" w:eastAsia="SimHei" w:cs="Times New Roman"/>
          <w:sz w:val="48"/>
          <w:szCs w:val="48"/>
        </w:rPr>
      </w:pPr>
      <w:r>
        <w:rPr>
          <w:rFonts w:hint="eastAsia" w:ascii="SimHei" w:hAnsi="Times New Roman" w:eastAsia="SimHei" w:cs="Times New Roman"/>
          <w:sz w:val="48"/>
          <w:szCs w:val="48"/>
        </w:rPr>
        <w:br w:type="page"/>
      </w:r>
    </w:p>
    <w:p>
      <w:pPr>
        <w:tabs>
          <w:tab w:val="left" w:pos="2728"/>
        </w:tabs>
        <w:rPr>
          <w:rFonts w:ascii="SimHei" w:hAnsi="Times New Roman" w:eastAsia="SimHei" w:cs="Times New Roman"/>
          <w:sz w:val="48"/>
          <w:szCs w:val="48"/>
        </w:rPr>
      </w:pPr>
      <w:r>
        <w:rPr>
          <w:rFonts w:hint="eastAsia" w:ascii="SimHei" w:hAnsi="Times New Roman" w:eastAsia="SimHei" w:cs="Times New Roman"/>
          <w:sz w:val="48"/>
          <w:szCs w:val="48"/>
        </w:rPr>
        <w:tab/>
      </w:r>
      <w:r>
        <w:rPr>
          <w:rFonts w:ascii="SimHei" w:hAnsi="Times New Roman" w:eastAsia="SimHei" w:cs="Times New Roman"/>
          <w:kern w:val="2"/>
          <w:sz w:val="48"/>
          <w:szCs w:val="48"/>
          <w:lang w:val="en-US" w:eastAsia="zh-CN" w:bidi="ar-SA"/>
        </w:rPr>
        <w:pict>
          <v:shape id="_x0000_i1025" o:spt="75" type="#_x0000_t75" style="height:442.2pt;width:589.6pt;rotation:5898240f;" fillcolor="#FFFFFF" filled="f" o:preferrelative="t" stroked="f" coordsize="21600,21600">
            <v:path/>
            <v:fill on="f" color2="#FFFFFF" focussize="0,0"/>
            <v:stroke on="f"/>
            <v:imagedata r:id="rId22" gain="65536f" blacklevel="0f" gamma="0" o:title=""/>
            <o:lock v:ext="edit" position="f" selection="f" grouping="f" rotation="f" cropping="f" text="f" aspectratio="t"/>
            <w10:wrap type="none"/>
            <w10:anchorlock/>
          </v:shape>
        </w:pict>
      </w:r>
    </w:p>
    <w:p>
      <w:pPr>
        <w:tabs>
          <w:tab w:val="left" w:pos="2728"/>
        </w:tabs>
        <w:jc w:val="center"/>
        <w:rPr>
          <w:rFonts w:ascii="SimHei" w:hAnsi="Times New Roman" w:eastAsia="SimHei" w:cs="Times New Roman"/>
          <w:sz w:val="48"/>
          <w:szCs w:val="48"/>
        </w:rPr>
      </w:pPr>
    </w:p>
    <w:p>
      <w:pPr>
        <w:tabs>
          <w:tab w:val="left" w:pos="2728"/>
        </w:tabs>
        <w:jc w:val="center"/>
        <w:rPr>
          <w:rFonts w:ascii="SimHei" w:hAnsi="Times New Roman" w:eastAsia="SimHei" w:cs="Times New Roman"/>
          <w:sz w:val="48"/>
          <w:szCs w:val="48"/>
        </w:rPr>
      </w:pPr>
      <w:r>
        <w:rPr>
          <w:rFonts w:hint="eastAsia" w:ascii="SimHei" w:hAnsi="Times New Roman" w:eastAsia="SimHei" w:cs="Times New Roman"/>
          <w:sz w:val="48"/>
          <w:szCs w:val="48"/>
        </w:rPr>
        <w:t>目    录</w:t>
      </w:r>
    </w:p>
    <w:p>
      <w:pPr>
        <w:widowControl/>
        <w:spacing w:after="160" w:line="580" w:lineRule="exact"/>
        <w:ind w:firstLine="640" w:firstLineChars="200"/>
        <w:rPr>
          <w:rFonts w:ascii="Times New Roman" w:hAnsi="Times New Roman" w:eastAsia="SimHei"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SimHei"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SimHei" w:cs="Times New Roman"/>
          <w:sz w:val="32"/>
          <w:szCs w:val="32"/>
        </w:rPr>
      </w:pPr>
      <w:r>
        <w:rPr>
          <w:rFonts w:ascii="Times New Roman" w:hAnsi="Times New Roman" w:eastAsia="SimHei" w:cs="Times New Roman"/>
          <w:sz w:val="32"/>
          <w:szCs w:val="32"/>
        </w:rPr>
        <w:t>第二部分   201</w:t>
      </w:r>
      <w:r>
        <w:rPr>
          <w:rFonts w:hint="eastAsia" w:ascii="Times New Roman" w:hAnsi="Times New Roman" w:eastAsia="SimHei" w:cs="Times New Roman"/>
          <w:sz w:val="32"/>
          <w:szCs w:val="32"/>
        </w:rPr>
        <w:t>9</w:t>
      </w:r>
      <w:r>
        <w:rPr>
          <w:rFonts w:ascii="Times New Roman" w:hAnsi="Times New Roman" w:eastAsia="SimHei"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SimHei" w:cs="Times New Roman"/>
          <w:sz w:val="32"/>
          <w:szCs w:val="32"/>
        </w:rPr>
      </w:pPr>
      <w:r>
        <w:rPr>
          <w:rFonts w:ascii="Times New Roman" w:hAnsi="Times New Roman" w:eastAsia="SimHei" w:cs="Times New Roman"/>
          <w:sz w:val="32"/>
          <w:szCs w:val="32"/>
        </w:rPr>
        <w:t>第三部分</w:t>
      </w:r>
      <w:r>
        <w:rPr>
          <w:rFonts w:hint="eastAsia" w:ascii="Times New Roman" w:hAnsi="Times New Roman" w:eastAsia="SimHei" w:cs="Times New Roman"/>
          <w:sz w:val="32"/>
          <w:szCs w:val="32"/>
        </w:rPr>
        <w:t xml:space="preserve">  </w:t>
      </w:r>
      <w:r>
        <w:rPr>
          <w:rFonts w:ascii="Times New Roman" w:hAnsi="Times New Roman" w:eastAsia="SimHei"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SimHei" w:cs="Times New Roman"/>
          <w:sz w:val="32"/>
          <w:szCs w:val="32"/>
        </w:rPr>
        <w:t>第</w:t>
      </w:r>
      <w:r>
        <w:rPr>
          <w:rFonts w:hint="eastAsia" w:ascii="Times New Roman" w:hAnsi="Times New Roman" w:eastAsia="SimHei" w:cs="Times New Roman"/>
          <w:sz w:val="32"/>
          <w:szCs w:val="32"/>
        </w:rPr>
        <w:t>四</w:t>
      </w:r>
      <w:r>
        <w:rPr>
          <w:rFonts w:ascii="Times New Roman" w:hAnsi="Times New Roman" w:eastAsia="SimHei" w:cs="Times New Roman"/>
          <w:sz w:val="32"/>
          <w:szCs w:val="32"/>
        </w:rPr>
        <w:t>部分</w:t>
      </w:r>
      <w:r>
        <w:rPr>
          <w:rFonts w:hint="eastAsia" w:ascii="Times New Roman" w:hAnsi="Times New Roman" w:eastAsia="SimHei" w:cs="Times New Roman"/>
          <w:sz w:val="32"/>
          <w:szCs w:val="32"/>
        </w:rPr>
        <w:t xml:space="preserve">  </w:t>
      </w:r>
      <w:r>
        <w:rPr>
          <w:rFonts w:ascii="Times New Roman" w:hAnsi="Times New Roman" w:eastAsia="SimHei" w:cs="Times New Roman"/>
          <w:sz w:val="32"/>
          <w:szCs w:val="32"/>
        </w:rPr>
        <w:t>201</w:t>
      </w:r>
      <w:r>
        <w:rPr>
          <w:rFonts w:hint="eastAsia" w:ascii="Times New Roman" w:hAnsi="Times New Roman" w:eastAsia="SimHei" w:cs="Times New Roman"/>
          <w:sz w:val="32"/>
          <w:szCs w:val="32"/>
        </w:rPr>
        <w:t>9</w:t>
      </w:r>
      <w:r>
        <w:rPr>
          <w:rFonts w:ascii="Times New Roman" w:hAnsi="Times New Roman" w:eastAsia="SimHei" w:cs="Times New Roman"/>
          <w:sz w:val="32"/>
          <w:szCs w:val="32"/>
        </w:rPr>
        <w:t>年度部门决算报表</w:t>
      </w:r>
    </w:p>
    <w:p>
      <w:pPr>
        <w:widowControl/>
        <w:spacing w:after="160" w:line="580" w:lineRule="exact"/>
        <w:rPr>
          <w:rFonts w:ascii="Times New Roman" w:hAnsi="Times New Roman" w:eastAsia="SimHei" w:cs="Times New Roman"/>
          <w:sz w:val="32"/>
          <w:szCs w:val="32"/>
        </w:rPr>
        <w:sectPr>
          <w:headerReference r:id="rId5" w:type="first"/>
          <w:footerReference r:id="rId7" w:type="first"/>
          <w:headerReference r:id="rId4" w:type="default"/>
          <w:footerReference r:id="rId6"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SimHei"/>
          <w:sz w:val="32"/>
          <w:szCs w:val="32"/>
        </w:rPr>
      </w:pPr>
    </w:p>
    <w:p>
      <w:pPr>
        <w:widowControl/>
        <w:spacing w:line="580" w:lineRule="exact"/>
        <w:ind w:firstLine="640" w:firstLineChars="200"/>
        <w:rPr>
          <w:rFonts w:eastAsia="SimHei"/>
          <w:sz w:val="32"/>
          <w:szCs w:val="32"/>
        </w:rPr>
      </w:pPr>
    </w:p>
    <w:p>
      <w:pPr>
        <w:widowControl/>
        <w:spacing w:line="580" w:lineRule="exact"/>
        <w:ind w:firstLine="640" w:firstLineChars="200"/>
        <w:rPr>
          <w:rFonts w:eastAsia="SimHei"/>
          <w:sz w:val="32"/>
          <w:szCs w:val="32"/>
        </w:rPr>
      </w:pPr>
    </w:p>
    <w:p>
      <w:r>
        <w:rPr>
          <w:rFonts w:ascii="等线" w:hAnsi="等线" w:eastAsia="等线" w:cs="SimHei"/>
          <w:kern w:val="2"/>
          <w:sz w:val="72"/>
          <w:szCs w:val="22"/>
          <w:lang w:val="en-US" w:eastAsia="zh-CN" w:bidi="ar-SA"/>
        </w:rPr>
        <w:pict>
          <v:rect id="文本框 143" o:spid="_x0000_s1092" o:spt="1" style="position:absolute;left:0pt;margin-left:-85.7pt;margin-top:80.7pt;height:263.1pt;width:613.65pt;z-index:251666432;mso-width-relative:page;mso-height-relative:page;" fillcolor="#FFD966" filled="t" o:preferrelative="t" stroked="t" coordsize="21600,21600">
            <v:path/>
            <v:fill type="pattern" on="t" color2="#FFFFFF" o:opacity2="65536f" focussize="0,0" r:id="rId23"/>
            <v:stroke weight="1pt" color="#FFD966" color2="#FFFFFF" opacity="65536f" miterlimit="2"/>
            <v:imagedata gain="65536f" blacklevel="0f" gamma="0" o:title=""/>
            <o:lock v:ext="edit" position="f" selection="f" grouping="f" rotation="f" cropping="f" text="f" aspectratio="f"/>
            <v:textbox>
              <w:txbxContent>
                <w:p>
                  <w:pPr>
                    <w:widowControl/>
                    <w:jc w:val="center"/>
                    <w:rPr>
                      <w:rFonts w:ascii="SimHei" w:hAnsi="SimHei" w:eastAsia="SimHei" w:cs="SimHei"/>
                      <w:color w:val="000000"/>
                      <w:sz w:val="96"/>
                      <w:szCs w:val="96"/>
                    </w:rPr>
                  </w:pPr>
                  <w:r>
                    <w:rPr>
                      <w:rFonts w:hint="eastAsia" w:ascii="SimHei" w:hAnsi="SimHei" w:eastAsia="SimHei" w:cs="SimHei"/>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SimHei" w:eastAsia="SimHei" w:cs="SimHei"/>
          <w:b w:val="0"/>
          <w:bCs w:val="0"/>
          <w:kern w:val="0"/>
          <w:sz w:val="32"/>
          <w:szCs w:val="32"/>
        </w:rPr>
      </w:pPr>
      <w:r>
        <w:rPr>
          <w:rFonts w:hint="eastAsia" w:ascii="SimHei" w:eastAsia="SimHei" w:cs="SimHei"/>
          <w:b w:val="0"/>
          <w:bCs w:val="0"/>
          <w:kern w:val="0"/>
          <w:sz w:val="32"/>
          <w:szCs w:val="32"/>
        </w:rPr>
        <w:t>一、部门职责</w:t>
      </w:r>
    </w:p>
    <w:p>
      <w:pPr>
        <w:ind w:firstLine="640" w:firstLineChars="200"/>
        <w:rPr>
          <w:rFonts w:ascii="仿宋_GB2312" w:hAnsi="FangSong" w:eastAsia="仿宋_GB2312"/>
          <w:sz w:val="32"/>
          <w:szCs w:val="32"/>
        </w:rPr>
      </w:pPr>
      <w:r>
        <w:rPr>
          <w:rFonts w:hint="eastAsia" w:ascii="仿宋_GB2312" w:hAnsi="FangSong" w:eastAsia="仿宋_GB2312"/>
          <w:sz w:val="32"/>
          <w:szCs w:val="32"/>
        </w:rPr>
        <w:t>根据《河北河北迁安高新技术产业开发区管理委员会职能配置、内设机构和人员编制方案》规定，河北河北迁安高新技术产业开发区管理委员会的主要职责是：</w:t>
      </w:r>
    </w:p>
    <w:p>
      <w:pPr>
        <w:pStyle w:val="13"/>
        <w:ind w:firstLine="640"/>
        <w:rPr>
          <w:rFonts w:ascii="FangSong" w:hAnsi="FangSong" w:eastAsia="FangSong"/>
          <w:sz w:val="32"/>
          <w:szCs w:val="32"/>
        </w:rPr>
      </w:pPr>
      <w:r>
        <w:rPr>
          <w:rFonts w:hint="eastAsia" w:ascii="FangSong" w:hAnsi="FangSong" w:eastAsia="FangSong"/>
          <w:sz w:val="32"/>
          <w:szCs w:val="32"/>
        </w:rPr>
        <w:t>1、贯彻执行河北省人民政府关于加快开发区改革工作的方针政策和法律、法规、规章；拟订并组织实施开发区经济和社会发展战略、中长期规划和年度计划；统筹协调经济社会发展，提出开发区经济发展和优化经济结构的目标、政策的建议；提出综合运用各种经济手段和政策的建议；拟订和执行市与开发区与企业的相关方针、政策。</w:t>
      </w:r>
    </w:p>
    <w:p>
      <w:pPr>
        <w:ind w:firstLine="640" w:firstLineChars="200"/>
        <w:rPr>
          <w:rFonts w:ascii="FangSong" w:hAnsi="FangSong" w:eastAsia="FangSong" w:cs="SimSun"/>
          <w:color w:val="000000"/>
          <w:kern w:val="0"/>
          <w:sz w:val="32"/>
          <w:szCs w:val="32"/>
        </w:rPr>
      </w:pPr>
      <w:r>
        <w:rPr>
          <w:rFonts w:hint="eastAsia" w:ascii="FangSong" w:hAnsi="FangSong" w:eastAsia="FangSong" w:cs="SimSun"/>
          <w:color w:val="000000"/>
          <w:kern w:val="0"/>
          <w:sz w:val="32"/>
          <w:szCs w:val="32"/>
        </w:rPr>
        <w:t>2、负责机关行政管理、信息反馈、会议活动组织、接待等后勤保障工作;负责文件收发、文书档案、印章管理、保密等工作;拟订开发区中长期计划和年度计划,开展调查研究,起草和审核文字材料;负责开发区各项政策、制度的法制审查工作和电子政务信息工作以及年终综合考核和专项考核工作;负责政务督查,并按工作要求督促落实;负责推进依法行政工作;负责党建、宣传、统战、群团、精神文明建设等工作;负责民政、人口和计划生育、公共卫生等方面的工作;负责组织维护辖区社会稳定和信访工作。</w:t>
      </w:r>
    </w:p>
    <w:p>
      <w:pPr>
        <w:ind w:firstLine="640" w:firstLineChars="200"/>
        <w:rPr>
          <w:rFonts w:ascii="FangSong" w:hAnsi="FangSong" w:eastAsia="FangSong" w:cs="仿宋_GB2312"/>
          <w:sz w:val="32"/>
          <w:szCs w:val="32"/>
        </w:rPr>
      </w:pPr>
      <w:r>
        <w:rPr>
          <w:rFonts w:hint="eastAsia" w:ascii="FangSong" w:hAnsi="FangSong" w:eastAsia="FangSong" w:cs="仿宋_GB2312"/>
          <w:sz w:val="32"/>
          <w:szCs w:val="32"/>
        </w:rPr>
        <w:t>3、负责开发区区域性城市发展建设规划、国土利用规划的编制、报批、调整、组织实施和管理工作;负责建设项目的选址意见书、建设用地规划许可证、建设工程规划许可证的颁发和建设工程规划验收工作;负责在建工程进度和质量的日常监督和检查,负责建设项目登记、招投标及造价管理、质量监督、安全监督、施工许可证颁发等工作负责开发区公用基础设施、配套设施的建设管理和监督;负责建筑市场稽查、建筑节能改造、墙体材料革新和建筑队伍管理工作负责解决建筑领域的拖欠问题;负责上级下达给园区年度土地支持指标的统筹分配;负责辖区地名申报及管理工作。负责贯彻执行国家、省、市行政审批相关政策、法律、法规和规定;负责辖区承接的相关行政审批及相关事项,并承担相应的法律责任;负责按照相关法律、法规编制服务指南,规范行政审批行为,优化审批流程,提高审批效率,并依法全面公开行政审批信息;负责辖区行政审批业务和人员的教育培训、管理、监督和考核工作。</w:t>
      </w:r>
    </w:p>
    <w:p>
      <w:pPr>
        <w:ind w:firstLine="640" w:firstLineChars="200"/>
        <w:rPr>
          <w:rFonts w:ascii="FangSong" w:hAnsi="FangSong" w:eastAsia="FangSong"/>
          <w:sz w:val="32"/>
          <w:szCs w:val="32"/>
        </w:rPr>
      </w:pPr>
      <w:r>
        <w:rPr>
          <w:rFonts w:hint="eastAsia" w:ascii="FangSong" w:hAnsi="FangSong" w:eastAsia="FangSong"/>
          <w:sz w:val="32"/>
          <w:szCs w:val="32"/>
        </w:rPr>
        <w:t>4、负责编制开发区招商计划,并组织实施负责招商引资的策划、宣传、组织以及项目包装、前期、预审工作;负责招商引资项目信息库和招商网络建设,做好项目信息的搜集、整理和储备;负责国内外客商的日常联络、接待和招商项目的评估、推介、洽谈和协调等工作;负责外来投资项目申请享受优惠政策的审查、落实工作;负责利用外资和对外经济合作等涉外经济工作</w:t>
      </w:r>
    </w:p>
    <w:p>
      <w:pPr>
        <w:ind w:firstLine="640" w:firstLineChars="200"/>
        <w:rPr>
          <w:rFonts w:ascii="FangSong" w:hAnsi="FangSong" w:eastAsia="FangSong"/>
          <w:sz w:val="32"/>
          <w:szCs w:val="32"/>
        </w:rPr>
      </w:pPr>
      <w:r>
        <w:rPr>
          <w:rFonts w:hint="eastAsia" w:ascii="FangSong" w:hAnsi="FangSong" w:eastAsia="FangSong"/>
          <w:sz w:val="32"/>
          <w:szCs w:val="32"/>
        </w:rPr>
        <w:t>5、负责制定开发区年度财务计划、日常会计核算、票据领购和管理,各项资金的筹措调拨、收付审核、财务结算等管理和内部审计工作;负责财政预算内资金的管理和使用,政府投资项目的投融资管理及工程预决算资料的内审工作;负责开发区预算外资金的征收管理以及省级各类专项资金的管理、支付;拟定和执行开发区财政发展战略和中长期规划、财政政策编制开发区财政预算、决算,搞好预算执行分析;加强对开发区财政资金的监管,确保各项财经纪律、财政法规和制度的落实,保证资金安全;会同相关部门按时统计企业税收等财务指标;负责与市财政、国税、地税、金融机构等部门沟通协调,做好税收分成、体制结算及收支数据核对等工作;负责国有资产管理工作。</w:t>
      </w:r>
    </w:p>
    <w:p>
      <w:pPr>
        <w:ind w:firstLine="640" w:firstLineChars="200"/>
        <w:rPr>
          <w:rFonts w:ascii="FangSong" w:hAnsi="FangSong" w:eastAsia="FangSong" w:cs="SimSun"/>
          <w:sz w:val="32"/>
          <w:szCs w:val="32"/>
        </w:rPr>
      </w:pPr>
      <w:r>
        <w:rPr>
          <w:rFonts w:hint="eastAsia" w:ascii="FangSong" w:hAnsi="FangSong" w:eastAsia="FangSong" w:cs="SimSun"/>
          <w:sz w:val="32"/>
          <w:szCs w:val="32"/>
        </w:rPr>
        <w:t>6、负责权限内开发区国民经济发展规划制定工作,负责做好区内企业经济发展相关数据的收集、分析、监测等统计工作,做好开发区经济运行监测、分析;组织解决经济运行中的重大事项和企业生产经营问题,负责开发区主导产业培年息商育的研究、规划和推进工作,引导开发区企业科技创新、节能降耗、循环经济、节约集约用地等工作,负责高新技术企业培育科技成果转化和产业化工作,组织开展重大、关键、共性技术研究;负责主导产业项目推介工作;负责开发区龙头企业培育,指导企业上市;负责申报企业技术改造项目并组织实施;负责各类4项目投资数据统计汇总上报及服务业等工作;负责开发区安全生产和环境保护工作。</w:t>
      </w:r>
    </w:p>
    <w:p>
      <w:pPr>
        <w:tabs>
          <w:tab w:val="left" w:pos="312"/>
        </w:tabs>
        <w:ind w:firstLine="640" w:firstLineChars="200"/>
        <w:rPr>
          <w:rFonts w:ascii="FangSong" w:hAnsi="FangSong" w:eastAsia="FangSong"/>
          <w:sz w:val="32"/>
          <w:szCs w:val="32"/>
        </w:rPr>
      </w:pPr>
      <w:r>
        <w:rPr>
          <w:rFonts w:hint="eastAsia" w:ascii="FangSong" w:hAnsi="FangSong" w:eastAsia="FangSong"/>
          <w:sz w:val="32"/>
          <w:szCs w:val="32"/>
        </w:rPr>
        <w:t>7、负责机构编制、组织人事、劳动工资内部干部考察考核和绩效分配管理以及离退休人员服务管理工作;负责深入推进开发区人事薪酬制度改革工作;负责分析区内人力资源供给状况,依据人力资源供给的特点和区内用人单位实际需求,构建人力资源供给保障系统,保障区内企业的人力资源供给;结合开发区实际,制定人才引进政策,营造栓心留人的区域人才环境,吸引各类高层次专业技术人才到开发区创业发展负责开展职业技术和技能培训的宣传、组织和推动工作。</w:t>
      </w:r>
    </w:p>
    <w:p>
      <w:pPr>
        <w:ind w:firstLine="640" w:firstLineChars="200"/>
        <w:rPr>
          <w:rFonts w:ascii="FangSong" w:hAnsi="FangSong" w:eastAsia="FangSong"/>
          <w:sz w:val="32"/>
          <w:szCs w:val="32"/>
        </w:rPr>
      </w:pPr>
      <w:r>
        <w:rPr>
          <w:rFonts w:hint="eastAsia" w:ascii="FangSong" w:hAnsi="FangSong" w:eastAsia="FangSong"/>
          <w:sz w:val="32"/>
          <w:szCs w:val="32"/>
        </w:rPr>
        <w:t>所属事业单位。河北迁安高新技术产业开发区、河北迁安经济开发区党工委、管委会各设立园区建设服务中心、投资服务中心2个事业单位,</w:t>
      </w:r>
      <w:r>
        <w:rPr>
          <w:rFonts w:hint="eastAsia"/>
        </w:rPr>
        <w:t xml:space="preserve"> </w:t>
      </w:r>
      <w:r>
        <w:rPr>
          <w:rFonts w:hint="eastAsia" w:ascii="FangSong" w:hAnsi="FangSong" w:eastAsia="FangSong"/>
          <w:sz w:val="32"/>
          <w:szCs w:val="32"/>
        </w:rPr>
        <w:t>主要领导可配备为副科级。</w:t>
      </w:r>
    </w:p>
    <w:p>
      <w:pPr>
        <w:ind w:firstLine="640" w:firstLineChars="200"/>
        <w:rPr>
          <w:rFonts w:ascii="FangSong" w:hAnsi="FangSong" w:eastAsia="FangSong"/>
          <w:sz w:val="32"/>
          <w:szCs w:val="32"/>
        </w:rPr>
      </w:pPr>
      <w:r>
        <w:rPr>
          <w:rFonts w:hint="eastAsia" w:ascii="FangSong" w:hAnsi="FangSong" w:eastAsia="FangSong"/>
          <w:sz w:val="32"/>
          <w:szCs w:val="32"/>
        </w:rPr>
        <w:t>(1)园区建设服务中心:负责园林绿化、景观、环境卫生等工作,组织实施开发区市容市貌和环境卫生的作业工作;负责有偿使用市政公用事业设施的收费和经营权招投标的管理工作;协调解决项目建设过程中遇到的各种实际问题;负责协调涉及乡镇做好征地、拆迁及人员安置工作。</w:t>
      </w:r>
    </w:p>
    <w:p>
      <w:pPr>
        <w:ind w:firstLine="640" w:firstLineChars="200"/>
        <w:rPr>
          <w:rFonts w:ascii="FangSong" w:hAnsi="FangSong" w:eastAsia="FangSong"/>
          <w:sz w:val="32"/>
          <w:szCs w:val="32"/>
        </w:rPr>
      </w:pPr>
      <w:r>
        <w:rPr>
          <w:rFonts w:hint="eastAsia" w:ascii="FangSong" w:hAnsi="FangSong" w:eastAsia="FangSong"/>
          <w:sz w:val="32"/>
          <w:szCs w:val="32"/>
        </w:rPr>
        <w:t>(2)投资服务中心:负责指导项目单位办事流程及办事指南,协助编排项目审批进度计划;负责协助项目单位分阶段准备中报材料,负责对审批过程进行跟踪,及时向项目单位反馈项目办理进展情况,负责审批部门及相关单位的沟通协调工作;做好代办项目相关资料的整理、保管和移交工作;负责区内企业的政策引导和协调服务工作,负责组织协调企业标准化、计量、质量等工作,为进区企业提供全方位技术创新、技术成果转化服务。3投融资机构。整合开发区现有各类投融资平台,每个开发区组建一个投融资公司,可作为迁安市国有控股有限公司的子公司,增强其投融资能力,拓宽投融资渠道和途径,实现开发区建设投资主体多元化、运行管理市场化,以达到开发区建设政府引导、社会参与、多元投资、市场运作的目的。</w:t>
      </w:r>
    </w:p>
    <w:p>
      <w:pPr>
        <w:ind w:firstLine="640" w:firstLineChars="200"/>
        <w:rPr>
          <w:rFonts w:ascii="FangSong" w:hAnsi="FangSong" w:eastAsia="FangSong" w:cs="FangSong"/>
          <w:sz w:val="32"/>
          <w:szCs w:val="32"/>
        </w:rPr>
      </w:pPr>
      <w:r>
        <w:rPr>
          <w:rFonts w:hint="eastAsia" w:ascii="FangSong" w:hAnsi="FangSong" w:eastAsia="FangSong" w:cs="SimSun"/>
          <w:sz w:val="32"/>
          <w:szCs w:val="32"/>
        </w:rPr>
        <w:t>1、负责协调解决项目建设过程中遇到的各种实际问题；负责督导开工项目建设速度；负责环境保护工作；负责电力基础设施建设、亮化、工业污水处理和中水利用工作；负责开发区绿化工作；负责有偿使用市政公用事业设施的收费和经营权招投标的管理工作；</w:t>
      </w:r>
      <w:r>
        <w:rPr>
          <w:rFonts w:hint="eastAsia" w:ascii="FangSong" w:hAnsi="FangSong" w:eastAsia="FangSong"/>
          <w:sz w:val="32"/>
          <w:szCs w:val="32"/>
        </w:rPr>
        <w:t>负责电力设施维护及道路照明收费管理工作；负责辖区内原有小企业改造工作；财政机构成立之前负责税收清缴工作。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2、负责迁安市人民政府交办的其他事项。</w:t>
      </w:r>
    </w:p>
    <w:p>
      <w:pPr>
        <w:keepNext/>
        <w:keepLines/>
        <w:spacing w:line="580" w:lineRule="exact"/>
        <w:ind w:firstLine="640" w:firstLineChars="200"/>
        <w:jc w:val="left"/>
        <w:outlineLvl w:val="0"/>
        <w:rPr>
          <w:rFonts w:ascii="SimHei" w:hAnsi="Calibri" w:eastAsia="SimHei" w:cs="SimHei"/>
          <w:kern w:val="0"/>
          <w:sz w:val="32"/>
          <w:szCs w:val="32"/>
        </w:rPr>
      </w:pPr>
      <w:r>
        <w:rPr>
          <w:rFonts w:hint="eastAsia" w:ascii="SimHei" w:hAnsi="Calibri" w:eastAsia="SimHei" w:cs="SimHei"/>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河北迁安高新技术产业开发区管理委员会(本级)</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vAlign w:val="top"/>
          </w:tcPr>
          <w:p>
            <w:pPr>
              <w:spacing w:line="560" w:lineRule="exact"/>
              <w:ind w:firstLine="560" w:firstLineChars="200"/>
              <w:jc w:val="left"/>
              <w:rPr>
                <w:rFonts w:ascii="仿宋_GB2312" w:hAnsi="Calibri" w:eastAsia="仿宋_GB2312" w:cs="ArialUnicodeMS"/>
                <w:kern w:val="0"/>
                <w:sz w:val="28"/>
                <w:szCs w:val="28"/>
              </w:rPr>
            </w:pPr>
          </w:p>
        </w:tc>
      </w:tr>
    </w:tbl>
    <w:p>
      <w:pPr>
        <w:ind w:firstLine="643" w:firstLineChars="200"/>
        <w:rPr>
          <w:rFonts w:ascii="FangSong" w:hAnsi="FangSong" w:eastAsia="FangSong" w:cs="Times New Roman"/>
          <w:b/>
          <w:color w:val="000000"/>
          <w:sz w:val="32"/>
          <w:szCs w:val="32"/>
        </w:rPr>
      </w:pPr>
      <w:r>
        <w:rPr>
          <w:rFonts w:hint="eastAsia" w:ascii="FangSong" w:hAnsi="FangSong" w:eastAsia="FangSong" w:cs="Times New Roman"/>
          <w:b/>
          <w:color w:val="000000"/>
          <w:sz w:val="32"/>
          <w:szCs w:val="32"/>
        </w:rPr>
        <w:t>机构设置</w:t>
      </w:r>
      <w:r>
        <w:rPr>
          <w:rFonts w:hint="eastAsia" w:ascii="FangSong" w:hAnsi="FangSong" w:eastAsia="FangSong" w:cs="Times New Roman"/>
          <w:b/>
          <w:color w:val="000000"/>
          <w:sz w:val="32"/>
          <w:szCs w:val="32"/>
          <w:lang w:eastAsia="zh-CN"/>
        </w:rPr>
        <w:t>如下</w:t>
      </w:r>
      <w:r>
        <w:rPr>
          <w:rFonts w:hint="eastAsia" w:ascii="FangSong" w:hAnsi="FangSong" w:eastAsia="FangSong" w:cs="Times New Roman"/>
          <w:b/>
          <w:color w:val="000000"/>
          <w:sz w:val="32"/>
          <w:szCs w:val="32"/>
        </w:rPr>
        <w:t>：</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FangSong" w:hAnsi="FangSong" w:eastAsia="FangSong"/>
                <w:sz w:val="28"/>
                <w:szCs w:val="28"/>
              </w:rPr>
              <w:t>综合办公室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FangSong" w:hAnsi="FangSong" w:eastAsia="FangSong"/>
                <w:sz w:val="28"/>
                <w:szCs w:val="28"/>
              </w:rPr>
              <w:t>人力资源局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FangSong" w:hAnsi="FangSong" w:eastAsia="FangSong"/>
                <w:sz w:val="28"/>
                <w:szCs w:val="28"/>
              </w:rPr>
              <w:t>招商投资局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FangSong" w:hAnsi="FangSong" w:eastAsia="FangSong"/>
                <w:sz w:val="28"/>
                <w:szCs w:val="28"/>
              </w:rPr>
              <w:t>经济发展局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FangSong" w:hAnsi="FangSong" w:eastAsia="FangSong"/>
                <w:sz w:val="28"/>
                <w:szCs w:val="28"/>
              </w:rPr>
            </w:pPr>
            <w:r>
              <w:rPr>
                <w:rFonts w:hint="eastAsia" w:ascii="FangSong" w:hAnsi="FangSong" w:eastAsia="FangSong"/>
                <w:sz w:val="28"/>
                <w:szCs w:val="28"/>
              </w:rPr>
              <w:t>规划建设局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FangSong" w:hAnsi="FangSong" w:eastAsia="FangSong"/>
                <w:sz w:val="28"/>
                <w:szCs w:val="28"/>
              </w:rPr>
            </w:pPr>
            <w:r>
              <w:rPr>
                <w:rFonts w:hint="eastAsia" w:ascii="FangSong" w:hAnsi="FangSong" w:eastAsia="FangSong"/>
                <w:sz w:val="28"/>
                <w:szCs w:val="28"/>
              </w:rPr>
              <w:t>高新区财政局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rPr>
            </w:pPr>
            <w:r>
              <w:rPr>
                <w:rFonts w:hint="eastAsia" w:ascii="FangSong" w:hAnsi="FangSong" w:eastAsia="FangSong"/>
                <w:sz w:val="28"/>
                <w:szCs w:val="28"/>
              </w:rPr>
              <w:t>园区建设服务中心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副科</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rPr>
            </w:pPr>
            <w:r>
              <w:rPr>
                <w:rFonts w:hint="eastAsia" w:ascii="FangSong" w:hAnsi="FangSong" w:eastAsia="FangSong"/>
                <w:sz w:val="28"/>
                <w:szCs w:val="28"/>
              </w:rPr>
              <w:t>投资服务中心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副科</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widowControl/>
        <w:spacing w:after="160" w:line="580" w:lineRule="exact"/>
        <w:ind w:firstLine="640" w:firstLineChars="200"/>
        <w:rPr>
          <w:rFonts w:ascii="Times New Roman" w:hAnsi="Times New Roman" w:eastAsia="SimHei" w:cs="Times New Roman"/>
          <w:sz w:val="32"/>
          <w:szCs w:val="32"/>
        </w:rPr>
      </w:pPr>
    </w:p>
    <w:p>
      <w:pPr>
        <w:widowControl/>
        <w:spacing w:after="160" w:line="580" w:lineRule="exact"/>
        <w:rPr>
          <w:rFonts w:ascii="Times New Roman" w:hAnsi="Times New Roman" w:eastAsia="SimHei" w:cs="Times New Roman"/>
          <w:sz w:val="32"/>
          <w:szCs w:val="32"/>
        </w:rPr>
        <w:sectPr>
          <w:footerReference r:id="rId10" w:type="first"/>
          <w:headerReference r:id="rId8" w:type="default"/>
          <w:footerReference r:id="rId9"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SimHei" w:cs="Times New Roman"/>
          <w:sz w:val="32"/>
          <w:szCs w:val="32"/>
        </w:rPr>
        <w:sectPr>
          <w:headerReference r:id="rId11"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SimHei"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rFonts w:ascii="等线" w:hAnsi="等线" w:eastAsia="等线" w:cs="SimHei"/>
          <w:kern w:val="2"/>
          <w:sz w:val="72"/>
          <w:szCs w:val="22"/>
          <w:lang w:val="en-US" w:eastAsia="zh-CN" w:bidi="ar-SA"/>
        </w:rPr>
        <w:pict>
          <v:rect id="文本框 151" o:spid="_x0000_s1093" o:spt="1" style="position:absolute;left:0pt;margin-left:-85.7pt;margin-top:238.15pt;height:173.25pt;width:613.65pt;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SimHei" w:hAnsi="SimHei" w:eastAsia="SimHei" w:cs="SimHei"/>
                      <w:color w:val="000000"/>
                      <w:sz w:val="96"/>
                      <w:szCs w:val="96"/>
                    </w:rPr>
                  </w:pPr>
                  <w:r>
                    <w:rPr>
                      <w:rFonts w:hint="eastAsia" w:ascii="SimHei" w:hAnsi="SimHei" w:eastAsia="SimHei" w:cs="SimHei"/>
                      <w:color w:val="000000"/>
                      <w:sz w:val="96"/>
                      <w:szCs w:val="96"/>
                    </w:rPr>
                    <w:t xml:space="preserve"> </w:t>
                  </w:r>
                </w:p>
                <w:p>
                  <w:pPr>
                    <w:widowControl/>
                    <w:jc w:val="center"/>
                    <w:rPr>
                      <w:rFonts w:ascii="SimHei" w:hAnsi="SimHei" w:eastAsia="SimHei" w:cs="SimHei"/>
                      <w:color w:val="000000"/>
                      <w:sz w:val="96"/>
                      <w:szCs w:val="96"/>
                    </w:rPr>
                  </w:pPr>
                </w:p>
              </w:txbxContent>
            </v:textbox>
          </v:rect>
        </w:pict>
      </w:r>
    </w:p>
    <w:p>
      <w:pPr>
        <w:widowControl/>
        <w:spacing w:line="580" w:lineRule="exact"/>
        <w:ind w:firstLine="640" w:firstLineChars="200"/>
        <w:rPr>
          <w:rFonts w:eastAsia="SimHei"/>
          <w:sz w:val="32"/>
          <w:szCs w:val="3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r>
        <w:rPr>
          <w:rFonts w:ascii="等线" w:hAnsi="等线" w:eastAsia="等线" w:cs="SimHei"/>
          <w:kern w:val="2"/>
          <w:sz w:val="72"/>
          <w:szCs w:val="22"/>
          <w:lang w:val="en-US" w:eastAsia="zh-CN" w:bidi="ar-SA"/>
        </w:rPr>
        <w:pict>
          <v:rect id="文本框 187" o:spid="_x0000_s1094" o:spt="1" style="position:absolute;left:0pt;margin-left:-90.8pt;margin-top:4.35pt;height:263.1pt;width:613.65pt;z-index:251668480;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rPr>
                      <w:rFonts w:ascii="SimHei" w:hAnsi="SimHei" w:eastAsia="SimHei" w:cs="SimHei"/>
                      <w:color w:val="000000"/>
                      <w:sz w:val="90"/>
                      <w:szCs w:val="90"/>
                    </w:rPr>
                  </w:pPr>
                  <w:r>
                    <w:rPr>
                      <w:rFonts w:hint="eastAsia" w:ascii="SimHei" w:hAnsi="SimHei" w:eastAsia="SimHei" w:cs="SimHei"/>
                      <w:color w:val="000000"/>
                      <w:sz w:val="90"/>
                      <w:szCs w:val="90"/>
                    </w:rPr>
                    <w:t xml:space="preserve">第二部分 </w:t>
                  </w:r>
                </w:p>
                <w:p>
                  <w:pPr>
                    <w:widowControl/>
                    <w:jc w:val="center"/>
                    <w:rPr>
                      <w:rFonts w:ascii="SimHei" w:hAnsi="SimHei" w:eastAsia="SimHei" w:cs="SimHei"/>
                      <w:color w:val="000000"/>
                      <w:sz w:val="90"/>
                      <w:szCs w:val="90"/>
                    </w:rPr>
                  </w:pPr>
                  <w:r>
                    <w:rPr>
                      <w:rFonts w:hint="eastAsia" w:ascii="SimHei" w:hAnsi="SimHei" w:eastAsia="SimHei" w:cs="SimHei"/>
                      <w:color w:val="000000"/>
                      <w:sz w:val="90"/>
                      <w:szCs w:val="90"/>
                    </w:rPr>
                    <w:t>2019年部门决算情况说明</w:t>
                  </w:r>
                </w:p>
                <w:p/>
              </w:txbxContent>
            </v:textbox>
          </v:rect>
        </w:pict>
      </w: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一、收入</w:t>
      </w:r>
      <w:r>
        <w:rPr>
          <w:rFonts w:hint="eastAsia" w:ascii="SimHei" w:hAnsi="Cambria" w:eastAsia="SimHei" w:cs="SimHei"/>
          <w:kern w:val="0"/>
          <w:sz w:val="32"/>
          <w:szCs w:val="32"/>
        </w:rPr>
        <w:t>支出</w:t>
      </w:r>
      <w:r>
        <w:rPr>
          <w:rFonts w:hint="eastAsia" w:ascii="SimHei" w:hAnsi="Calibri" w:eastAsia="SimHei"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17807.80万元。与2018年度决算相比，收支各增加11218.30万元，增长170.25%，主要原因是科学技术支出、城乡社区支出和商业服务业等支出的增加，主要为园区基础设施配套设施建设等的支出。</w:t>
      </w:r>
    </w:p>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二、收入决算情况说明</w:t>
      </w:r>
    </w:p>
    <w:p>
      <w:pPr>
        <w:adjustRightInd w:val="0"/>
        <w:snapToGrid w:val="0"/>
        <w:spacing w:line="580" w:lineRule="exact"/>
        <w:ind w:firstLine="640" w:firstLineChars="200"/>
        <w:rPr>
          <w:rFonts w:ascii="SimHei" w:hAnsi="Calibri" w:eastAsia="SimHei" w:cs="Times New Roman"/>
          <w:sz w:val="32"/>
          <w:szCs w:val="32"/>
        </w:rPr>
      </w:pPr>
      <w:r>
        <w:rPr>
          <w:rFonts w:hint="eastAsia" w:ascii="仿宋_GB2312" w:hAnsi="Times New Roman" w:eastAsia="仿宋_GB2312" w:cs="DengXian-Regular"/>
          <w:sz w:val="32"/>
          <w:szCs w:val="32"/>
        </w:rPr>
        <w:t>本部门2019年度本年收入合计17112.68万元，其中：财政拨款收入17112.68万元，占100%。</w:t>
      </w:r>
    </w:p>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本部门2019年度本年支出合计16721.09万元，其中：基本支出735.60万元，占4.4%；项目支出15985.49万元，占95.6%。如图所示：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rPr>
          <w:rFonts w:ascii="等线" w:hAnsi="等线" w:eastAsia="等线" w:cs="SimHei"/>
          <w:kern w:val="2"/>
          <w:sz w:val="21"/>
          <w:szCs w:val="22"/>
          <w:lang w:val="en-US" w:eastAsia="zh-CN" w:bidi="ar-SA"/>
        </w:rPr>
        <w:pict>
          <v:shape id="图片 1" o:spid="_x0000_s1095" o:spt="75" type="#_x0000_t75" style="position:absolute;left:0pt;margin-left:63.75pt;margin-top:1.55pt;height:216.6pt;width:289.45pt;mso-wrap-distance-bottom:0pt;mso-wrap-distance-left:9pt;mso-wrap-distance-right:9pt;mso-wrap-distance-top:0pt;z-index:251669504;mso-width-relative:page;mso-height-relative:page;" fillcolor="#FFFFFF" filled="f" o:preferrelative="t" stroked="f" coordsize="21600,21600">
            <v:path/>
            <v:fill on="f" color2="#FFFFFF" focussize="0,0"/>
            <v:stroke on="f"/>
            <v:imagedata r:id="rId24" gain="65536f" blacklevel="0f" gamma="0" o:title=""/>
            <o:lock v:ext="edit" position="f" selection="f" grouping="f" rotation="f" cropping="f" text="f" aspectratio="t"/>
            <w10:wrap type="square"/>
          </v:shape>
        </w:pic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等线" w:hAnsi="等线" w:eastAsia="等线" w:cs="SimHei"/>
          <w:kern w:val="2"/>
          <w:sz w:val="32"/>
          <w:szCs w:val="22"/>
          <w:lang w:val="en-US" w:eastAsia="zh-CN" w:bidi="ar-SA"/>
        </w:rPr>
        <w:pict>
          <v:rect id="文本框 30" o:spid="_x0000_s1096" o:spt="1" style="position:absolute;left:0pt;margin-left:73.7pt;margin-top:190.65pt;height:38.05pt;width:260.95pt;z-index:-251645952;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图1：支出构成情况（按支出性质）</w:t>
                  </w:r>
                </w:p>
                <w:p>
                  <w:pPr>
                    <w:spacing w:after="160" w:line="480" w:lineRule="auto"/>
                    <w:rPr>
                      <w:rFonts w:ascii="Times New Roman" w:hAnsi="Times New Roman" w:eastAsia="SimSun" w:cs="Times New Roman"/>
                      <w:sz w:val="20"/>
                    </w:rPr>
                  </w:pPr>
                </w:p>
              </w:txbxContent>
            </v:textbox>
          </v:rect>
        </w:pict>
      </w:r>
    </w:p>
    <w:p>
      <w:pPr>
        <w:keepNext/>
        <w:keepLines/>
        <w:snapToGrid w:val="0"/>
        <w:spacing w:line="580" w:lineRule="exact"/>
        <w:outlineLvl w:val="1"/>
        <w:rPr>
          <w:rFonts w:ascii="SimHei" w:hAnsi="Calibri" w:eastAsia="SimHei" w:cs="Times New Roman"/>
          <w:sz w:val="32"/>
          <w:szCs w:val="32"/>
        </w:rPr>
      </w:pPr>
    </w:p>
    <w:p>
      <w:pPr>
        <w:keepNext/>
        <w:keepLines/>
        <w:snapToGrid w:val="0"/>
        <w:spacing w:line="580" w:lineRule="exact"/>
        <w:outlineLvl w:val="1"/>
        <w:rPr>
          <w:rFonts w:ascii="SimHei" w:hAnsi="Calibri" w:eastAsia="SimHei" w:cs="Times New Roman"/>
          <w:sz w:val="32"/>
          <w:szCs w:val="32"/>
        </w:rPr>
      </w:pPr>
    </w:p>
    <w:p>
      <w:pPr>
        <w:keepNext/>
        <w:keepLines/>
        <w:snapToGrid w:val="0"/>
        <w:spacing w:line="580" w:lineRule="exact"/>
        <w:ind w:firstLine="640" w:firstLineChars="200"/>
        <w:outlineLvl w:val="1"/>
        <w:rPr>
          <w:rFonts w:hint="eastAsia" w:ascii="SimHei" w:hAnsi="Calibri" w:eastAsia="SimHei" w:cs="Times New Roman"/>
          <w:sz w:val="32"/>
          <w:szCs w:val="32"/>
        </w:rPr>
      </w:pPr>
    </w:p>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四、</w:t>
      </w:r>
      <w:r>
        <w:rPr>
          <w:rFonts w:hint="eastAsia" w:ascii="SimHei" w:hAnsi="Cambria" w:eastAsia="SimHei" w:cs="SimHei"/>
          <w:kern w:val="0"/>
          <w:sz w:val="32"/>
          <w:szCs w:val="32"/>
        </w:rPr>
        <w:t>财政</w:t>
      </w:r>
      <w:r>
        <w:rPr>
          <w:rFonts w:hint="eastAsia" w:ascii="SimHei" w:hAnsi="Calibri" w:eastAsia="SimHei"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17112.68万元,比2018年度增加10738.56万元，增长168.47%，主要是2019年园区基础设施配套设施建设等资金的增加；本年支出16721.09万元，增加11710.94万元，增长233.74%，主要是城乡社区支出和商业服务业等支出的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9776.87万元，比上年增加7942.36万元；主要是2019年园区基础设施配套设施建设等资金的增加；本年支出8695.21万元，比上年增加6655.77万元，增长326.35%，主要是城乡社区支出和商业服务业等支出的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政府性基金预算财政拨款本年收入7335.81万元，比上年增加2796.20万元，增长61.60%，主要原因是城乡社区支出的增加；本年支出8025.89万元，比上年增加5055.18万元，增长170.17%，主要是城乡社区支出的增加。</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420" w:firstLineChars="200"/>
        <w:rPr>
          <w:rFonts w:ascii="楷体_GB2312" w:hAnsi="Times New Roman" w:eastAsia="楷体_GB2312" w:cs="DengXian-Bold"/>
          <w:b/>
          <w:bCs/>
          <w:sz w:val="32"/>
          <w:szCs w:val="32"/>
        </w:rPr>
      </w:pPr>
      <w:r>
        <w:rPr>
          <w:rFonts w:ascii="等线" w:hAnsi="等线" w:eastAsia="等线" w:cs="SimHei"/>
          <w:kern w:val="2"/>
          <w:sz w:val="21"/>
          <w:szCs w:val="22"/>
          <w:lang w:val="en-US" w:eastAsia="zh-CN" w:bidi="ar-SA"/>
        </w:rPr>
        <w:pict>
          <v:shape id="图片 2" o:spid="_x0000_s1097" o:spt="75" type="#_x0000_t75" style="position:absolute;left:0pt;margin-left:22.5pt;margin-top:-15.65pt;height:217.45pt;width:361.45pt;mso-wrap-distance-bottom:0pt;mso-wrap-distance-left:9pt;mso-wrap-distance-right:9pt;mso-wrap-distance-top:0pt;z-index:251671552;mso-width-relative:page;mso-height-relative:page;" fillcolor="#FFFFFF" filled="f" o:preferrelative="t" stroked="f" coordsize="21600,21600">
            <v:path/>
            <v:fill on="f" color2="#FFFFFF" focussize="0,0"/>
            <v:stroke on="f"/>
            <v:imagedata r:id="rId25" gain="65536f" blacklevel="0f" gamma="0" o:title=""/>
            <o:lock v:ext="edit" position="f" selection="f" grouping="f" rotation="f" cropping="f" text="f" aspectratio="t"/>
            <w10:wrap type="square"/>
          </v:shape>
        </w:pic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0" w:firstLineChars="200"/>
        <w:rPr>
          <w:rFonts w:ascii="楷体_GB2312" w:hAnsi="Times New Roman" w:eastAsia="楷体_GB2312" w:cs="DengXian-Bold"/>
          <w:b/>
          <w:bCs/>
          <w:sz w:val="32"/>
          <w:szCs w:val="32"/>
        </w:rPr>
      </w:pPr>
      <w:r>
        <w:rPr>
          <w:rFonts w:ascii="等线" w:hAnsi="等线" w:eastAsia="等线" w:cs="SimHei"/>
          <w:kern w:val="2"/>
          <w:sz w:val="32"/>
          <w:szCs w:val="22"/>
          <w:lang w:val="en-US" w:eastAsia="zh-CN" w:bidi="ar-SA"/>
        </w:rPr>
        <w:pict>
          <v:rect id="文本框 25" o:spid="_x0000_s1098" o:spt="1" style="position:absolute;left:0pt;margin-left:-335.8pt;margin-top:26.65pt;height:38.05pt;width:307.45pt;z-index:-251643904;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图2：财政拨款收支与2018 年度决算对比情况</w:t>
                  </w:r>
                </w:p>
                <w:p>
                  <w:pPr>
                    <w:spacing w:after="160" w:line="480" w:lineRule="auto"/>
                    <w:rPr>
                      <w:rFonts w:ascii="Times New Roman" w:hAnsi="Times New Roman" w:eastAsia="SimSun" w:cs="Times New Roman"/>
                      <w:sz w:val="20"/>
                    </w:rPr>
                  </w:pPr>
                </w:p>
              </w:txbxContent>
            </v:textbox>
          </v:rect>
        </w:pic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17112.68万元，完成年初预算的2349.87%（如图3）,比年初预算增加16384.44万元，决算数大于预算数主要原因是2019年园区基础设施配套设施建设等资金的增加；本年支出16721.09万元，完成年初预算的2296.1%,比年初预算增加15992.85万元，决算数大于预算数主要原因是主要是城乡社区支出和商业服务业等支出的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1342.53%，比年初预算增加9048.63万元，主要是2019年园区基础设施配套设施建设等资金的增加；支出完成年初预算1194%，比年初预算增加7966.97万元，主要是城乡社区支出和商业服务业等支出的增加。</w:t>
      </w:r>
    </w:p>
    <w:p>
      <w:pPr>
        <w:numPr>
          <w:ilvl w:val="0"/>
          <w:numId w:val="2"/>
        </w:numPr>
        <w:adjustRightInd w:val="0"/>
        <w:snapToGrid w:val="0"/>
        <w:spacing w:line="580" w:lineRule="exact"/>
        <w:ind w:firstLine="420" w:firstLineChars="200"/>
        <w:rPr>
          <w:rFonts w:ascii="仿宋_GB2312" w:hAnsi="Times New Roman" w:eastAsia="仿宋_GB2312" w:cs="DengXian-Regular"/>
          <w:sz w:val="32"/>
          <w:szCs w:val="32"/>
        </w:rPr>
      </w:pPr>
      <w:r>
        <w:rPr>
          <w:rFonts w:ascii="等线" w:hAnsi="等线" w:eastAsia="等线" w:cs="SimHei"/>
          <w:kern w:val="2"/>
          <w:sz w:val="21"/>
          <w:szCs w:val="22"/>
          <w:lang w:val="en-US" w:eastAsia="zh-CN" w:bidi="ar-SA"/>
        </w:rPr>
        <w:pict>
          <v:shape id="_x0000_s1099" o:spid="_x0000_s1099" o:spt="75" type="#_x0000_t75" style="position:absolute;left:0pt;margin-left:30pt;margin-top:125.95pt;height:217.45pt;width:360.95pt;mso-wrap-distance-bottom:0pt;mso-wrap-distance-left:9pt;mso-wrap-distance-right:9pt;mso-wrap-distance-top:0pt;z-index:251673600;mso-width-relative:page;mso-height-relative:page;" fillcolor="#FFFFFF" filled="f" o:preferrelative="t" stroked="f" coordsize="21600,21600">
            <v:path/>
            <v:fill on="f" color2="#FFFFFF" focussize="0,0"/>
            <v:stroke on="f"/>
            <v:imagedata r:id="rId26" gain="65536f" blacklevel="0f" gamma="0" o:title=""/>
            <o:lock v:ext="edit" position="f" selection="f" grouping="f" rotation="f" cropping="f" text="f" aspectratio="t"/>
            <w10:wrap type="square"/>
          </v:shape>
        </w:pict>
      </w:r>
      <w:r>
        <w:rPr>
          <w:rFonts w:hint="eastAsia" w:ascii="仿宋_GB2312" w:hAnsi="Times New Roman" w:eastAsia="仿宋_GB2312" w:cs="DengXian-Regular"/>
          <w:sz w:val="32"/>
          <w:szCs w:val="32"/>
        </w:rPr>
        <w:t>政府性基金预算财政拨款本年收入完成年初预算7335.81%，比年初预算增加7335.81万元，主要是城乡社区支出的增加；支出完成年初预算8025.89%，比年初预算增加8025.89万元，主要是城乡社区支出的增加。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等线" w:hAnsi="等线" w:eastAsia="等线" w:cs="SimHei"/>
          <w:kern w:val="2"/>
          <w:sz w:val="32"/>
          <w:szCs w:val="22"/>
          <w:lang w:val="en-US" w:eastAsia="zh-CN" w:bidi="ar-SA"/>
        </w:rPr>
        <w:pict>
          <v:rect id="文本框 28" o:spid="_x0000_s1100" o:spt="1" style="position:absolute;left:0pt;margin-left:55.7pt;margin-top:2.15pt;height:38.05pt;width:307.45pt;z-index:-251641856;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图3：财政拨款收支与年初预算数对比情况</w:t>
                  </w:r>
                </w:p>
                <w:p>
                  <w:pPr>
                    <w:spacing w:after="160" w:line="480" w:lineRule="auto"/>
                    <w:rPr>
                      <w:rFonts w:ascii="Times New Roman" w:hAnsi="Times New Roman" w:eastAsia="SimSun" w:cs="Times New Roman"/>
                      <w:sz w:val="20"/>
                    </w:rPr>
                  </w:pPr>
                </w:p>
              </w:txbxContent>
            </v:textbox>
          </v:rect>
        </w:pic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16721.09万元，主要用于以下方面：一般公共服务支出53.05万元，占0.32%，；科学技术支出943.49万元，占5.64%；社会保障和就业支出87.19万元，占0.52%；卫生健康支出50.97万元，占0.30%；城乡社区支出13261.56万元，占79.31%；商业服务业等支出2294.86万元，占13.72%;住房保障支出29.98万元，占0.18%。</w:t>
      </w:r>
    </w:p>
    <w:p>
      <w:pPr>
        <w:adjustRightInd w:val="0"/>
        <w:snapToGrid w:val="0"/>
        <w:spacing w:line="580" w:lineRule="exact"/>
        <w:rPr>
          <w:rFonts w:ascii="楷体_GB2312" w:hAnsi="Times New Roman" w:eastAsia="楷体_GB2312" w:cs="DengXian-Bold"/>
          <w:b/>
          <w:bCs/>
          <w:sz w:val="32"/>
          <w:szCs w:val="32"/>
        </w:rPr>
      </w:pPr>
      <w:r>
        <w:rPr>
          <w:rFonts w:ascii="等线" w:hAnsi="等线" w:eastAsia="等线" w:cs="SimHei"/>
          <w:kern w:val="2"/>
          <w:sz w:val="21"/>
          <w:szCs w:val="22"/>
          <w:lang w:val="en-US" w:eastAsia="zh-CN" w:bidi="ar-SA"/>
        </w:rPr>
        <w:pict>
          <v:shape id="图片 3" o:spid="_x0000_s1101" o:spt="75" type="#_x0000_t75" style="position:absolute;left:0pt;margin-left:63pt;margin-top:9.2pt;height:219.65pt;width:310.75pt;mso-wrap-distance-bottom:0pt;mso-wrap-distance-left:9pt;mso-wrap-distance-right:9pt;mso-wrap-distance-top:0pt;z-index:251675648;mso-width-relative:page;mso-height-relative:page;" fillcolor="#FFFFFF" filled="f" o:preferrelative="t" stroked="f" coordsize="21600,21600">
            <v:path/>
            <v:fill on="f" color2="#FFFFFF" focussize="0,0"/>
            <v:stroke on="f"/>
            <v:imagedata r:id="rId27" gain="65536f" blacklevel="0f" gamma="0" o:title=""/>
            <o:lock v:ext="edit" position="f" selection="f" grouping="f" rotation="f" cropping="f" text="f" aspectratio="t"/>
            <w10:wrap type="square"/>
          </v:shape>
        </w:pic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ascii="等线" w:hAnsi="等线" w:eastAsia="等线" w:cs="SimHei"/>
          <w:kern w:val="2"/>
          <w:sz w:val="32"/>
          <w:szCs w:val="22"/>
          <w:lang w:val="en-US" w:eastAsia="zh-CN" w:bidi="ar-SA"/>
        </w:rPr>
        <w:pict>
          <v:rect id="文本框 32" o:spid="_x0000_s1102" o:spt="1" style="position:absolute;left:0pt;margin-left:80.25pt;margin-top:2.45pt;height:30.85pt;width:281.6pt;z-index:-251639808;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图4：财政拨款支出决算结构（按功能分类）</w:t>
                  </w:r>
                </w:p>
                <w:p>
                  <w:pPr>
                    <w:spacing w:after="160" w:line="480" w:lineRule="auto"/>
                    <w:rPr>
                      <w:rFonts w:ascii="Times New Roman" w:hAnsi="Times New Roman" w:eastAsia="SimSun" w:cs="Times New Roman"/>
                      <w:sz w:val="20"/>
                    </w:rPr>
                  </w:pPr>
                </w:p>
              </w:txbxContent>
            </v:textbox>
          </v:rect>
        </w:pic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年度财政拨款基本支出735.61万元，其中：人员经费 663.04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72.57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本部门2019年度“三公”经费支出共计5.65万元，完成预算的94.17%,较预算减少0.35万元，降低5.83%，主要是</w:t>
      </w:r>
      <w:r>
        <w:rPr>
          <w:rFonts w:hint="eastAsia" w:ascii="仿宋_GB2312" w:eastAsia="仿宋_GB2312"/>
          <w:sz w:val="32"/>
          <w:szCs w:val="32"/>
        </w:rPr>
        <w:t>为完成党政机关公车改革工作后减少了公车运行维护费</w:t>
      </w:r>
      <w:r>
        <w:rPr>
          <w:rFonts w:hint="eastAsia" w:ascii="仿宋_GB2312" w:hAnsi="Times New Roman" w:eastAsia="仿宋_GB2312" w:cs="DengXian-Regular"/>
          <w:sz w:val="32"/>
          <w:szCs w:val="32"/>
        </w:rPr>
        <w:t>；较2018年度增加2.47万元，增长77.67%，主要是去年财政应返还额度剩余在2019年列支。具体情况如下：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本部门2019年度因参加其他单位组织的因公出国（境）团组0个、共0人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w:t>
      </w:r>
      <w:r>
        <w:rPr>
          <w:rFonts w:hint="eastAsia" w:ascii="仿宋_GB2312" w:hAnsi="Times New Roman" w:eastAsia="仿宋_GB2312" w:cs="DengXian-Regular"/>
          <w:sz w:val="32"/>
          <w:szCs w:val="32"/>
          <w:lang w:val="en-US" w:eastAsia="zh-CN"/>
        </w:rPr>
        <w:t>2019年未发生因公出国（境）费用。较预算无增减变化、较2018年度决算无增减变化。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5.65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本部门2019年度公务用车购置及运行维护费较预算减少0.35万元，降低5.83%,主要是</w:t>
      </w:r>
      <w:r>
        <w:rPr>
          <w:rFonts w:hint="eastAsia" w:ascii="仿宋_GB2312" w:eastAsia="仿宋_GB2312"/>
          <w:sz w:val="32"/>
          <w:szCs w:val="32"/>
        </w:rPr>
        <w:t>为完成党政机关公车改革工作后减少了公车运行维护费</w:t>
      </w:r>
      <w:r>
        <w:rPr>
          <w:rFonts w:hint="eastAsia" w:ascii="仿宋_GB2312" w:hAnsi="Times New Roman" w:eastAsia="仿宋_GB2312" w:cs="DengXian-Regular"/>
          <w:sz w:val="32"/>
          <w:szCs w:val="32"/>
        </w:rPr>
        <w:t>；较上年增加2.47万元，增长77.67%,主要是去年财政应返还额度剩余在2019年列支。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hint="eastAsia" w:ascii="仿宋_GB2312" w:eastAsia="仿宋_GB2312" w:cs="DengXian-Regular"/>
          <w:sz w:val="32"/>
          <w:szCs w:val="32"/>
        </w:rPr>
        <w:t>，较2018年度决算无增减变化。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本部门2019年度单位公务用车保有量1辆。公车运行维护费支出较预算减少0.35万元，降低5.83%,主要是</w:t>
      </w:r>
      <w:r>
        <w:rPr>
          <w:rFonts w:hint="eastAsia" w:ascii="仿宋_GB2312" w:eastAsia="仿宋_GB2312"/>
          <w:sz w:val="32"/>
          <w:szCs w:val="32"/>
        </w:rPr>
        <w:t>为完成党政机关公车改革工作后减少了公车运行维护费</w:t>
      </w:r>
      <w:r>
        <w:rPr>
          <w:rFonts w:hint="eastAsia" w:ascii="仿宋_GB2312" w:hAnsi="Times New Roman" w:eastAsia="仿宋_GB2312" w:cs="DengXian-Regular"/>
          <w:sz w:val="32"/>
          <w:szCs w:val="32"/>
        </w:rPr>
        <w:t>；较上年增加2.47万元，增长77.67%,主要是去年财政应返还额度剩余在2019年列支。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w:t>
      </w:r>
      <w:r>
        <w:rPr>
          <w:rFonts w:hint="eastAsia" w:ascii="仿宋_GB2312" w:hAnsi="Times New Roman" w:eastAsia="仿宋_GB2312" w:cs="DengXian-Regular"/>
          <w:b w:val="0"/>
          <w:bCs w:val="0"/>
          <w:kern w:val="2"/>
          <w:sz w:val="32"/>
          <w:szCs w:val="32"/>
          <w:lang w:val="en-US" w:eastAsia="zh-CN" w:bidi="ar-SA"/>
        </w:rPr>
        <w:pict>
          <v:group id="组合 1105" o:spid="_x0000_s1103" o:spt="203" style="position:absolute;left:0pt;margin-left:-79.95pt;margin-top:29.3pt;height:43.95pt;width:301.85pt;mso-position-vertical-relative:page;z-index:251680768;mso-width-relative:page;mso-height-relative:page;" coordsize="6037,879">
            <o:lock v:ext="edit" position="f" selection="f" grouping="f" rotation="f" cropping="f" text="f" aspectratio="f"/>
            <v:rect id="矩形 1067" o:spid="_x0000_s1104" o:spt="1" style="position:absolute;left:2142;top:861;height:18;width:3895;" fillcolor="#AD002D" filled="t" o:preferrelative="t" stroked="t" coordsize="21600,21600">
              <v:path/>
              <v:fill on="t" focussize="0,0"/>
              <v:stroke weight="2pt" color="#AF7621" color2="#FFFFFF" opacity="65536f" miterlimit="2"/>
              <v:imagedata gain="65536f" blacklevel="0f" gamma="0" o:title=""/>
              <o:lock v:ext="edit" position="f" selection="f" grouping="f" rotation="f" cropping="f" text="f" aspectratio="f"/>
            </v:rect>
            <v:shape id="未知" o:spid="_x0000_s1105" style="position:absolute;left:0;top:0;height:0;width:0;"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left"/>
                      <w:rPr>
                        <w:rFonts w:ascii="KaiTi" w:hAnsi="KaiTi" w:eastAsia="KaiTi" w:cs="KaiTi"/>
                        <w:b/>
                        <w:bCs/>
                        <w:color w:val="FDEFBE"/>
                        <w:sz w:val="32"/>
                        <w:szCs w:val="32"/>
                      </w:rPr>
                    </w:pPr>
                    <w:r>
                      <w:rPr>
                        <w:rFonts w:hint="eastAsia" w:ascii="KaiTi" w:hAnsi="KaiTi" w:eastAsia="KaiTi" w:cs="KaiTi"/>
                        <w:b/>
                        <w:bCs/>
                        <w:color w:val="FDEFBE"/>
                        <w:kern w:val="0"/>
                        <w:sz w:val="32"/>
                        <w:szCs w:val="32"/>
                      </w:rPr>
                      <w:t>2018年度部门决算☞部门决算情况说明</w:t>
                    </w:r>
                  </w:p>
                  <w:p>
                    <w:pPr>
                      <w:jc w:val="center"/>
                    </w:pPr>
                  </w:p>
                </w:txbxContent>
              </v:textbox>
            </v:shape>
            <w10:anchorlock/>
          </v:group>
        </w:pict>
      </w:r>
      <w:r>
        <w:rPr>
          <w:rFonts w:hint="eastAsia" w:ascii="仿宋_GB2312" w:hAnsi="Times New Roman" w:eastAsia="仿宋_GB2312" w:cs="DengXian-Regular"/>
          <w:b w:val="0"/>
          <w:bCs w:val="0"/>
          <w:sz w:val="32"/>
          <w:szCs w:val="32"/>
        </w:rPr>
        <w:t>本部门201</w:t>
      </w:r>
      <w:r>
        <w:rPr>
          <w:rFonts w:hint="eastAsia" w:ascii="仿宋_GB2312" w:hAnsi="Times New Roman" w:eastAsia="仿宋_GB2312" w:cs="DengXian-Regular"/>
          <w:b w:val="0"/>
          <w:bCs w:val="0"/>
          <w:sz w:val="32"/>
          <w:szCs w:val="32"/>
          <w:lang w:val="en-US" w:eastAsia="zh-CN"/>
        </w:rPr>
        <w:t>9</w:t>
      </w:r>
      <w:r>
        <w:rPr>
          <w:rFonts w:hint="eastAsia" w:ascii="仿宋_GB2312" w:hAnsi="Times New Roman" w:eastAsia="仿宋_GB2312" w:cs="DengXian-Regular"/>
          <w:b w:val="0"/>
          <w:bCs w:val="0"/>
          <w:sz w:val="32"/>
          <w:szCs w:val="32"/>
        </w:rPr>
        <w:t>年度未发生公务接待费支出。较年初预算无增减变化，较201</w:t>
      </w:r>
      <w:r>
        <w:rPr>
          <w:rFonts w:hint="eastAsia" w:ascii="仿宋_GB2312" w:hAnsi="Times New Roman" w:eastAsia="仿宋_GB2312" w:cs="DengXian-Regular"/>
          <w:b w:val="0"/>
          <w:bCs w:val="0"/>
          <w:sz w:val="32"/>
          <w:szCs w:val="32"/>
          <w:lang w:val="en-US" w:eastAsia="zh-CN"/>
        </w:rPr>
        <w:t>8</w:t>
      </w:r>
      <w:r>
        <w:rPr>
          <w:rFonts w:hint="eastAsia" w:ascii="仿宋_GB2312" w:hAnsi="Times New Roman" w:eastAsia="仿宋_GB2312" w:cs="DengXian-Regular"/>
          <w:b w:val="0"/>
          <w:bCs w:val="0"/>
          <w:sz w:val="32"/>
          <w:szCs w:val="32"/>
        </w:rPr>
        <w:t>年度决算无增减变化。</w:t>
      </w:r>
    </w:p>
    <w:p>
      <w:pPr>
        <w:adjustRightInd w:val="0"/>
        <w:snapToGrid w:val="0"/>
        <w:spacing w:line="580" w:lineRule="exact"/>
        <w:ind w:firstLine="640" w:firstLineChars="200"/>
        <w:rPr>
          <w:rFonts w:ascii="SimHei" w:hAnsi="Times New Roman" w:eastAsia="SimHei" w:cs="Times New Roman"/>
          <w:sz w:val="32"/>
          <w:szCs w:val="40"/>
        </w:rPr>
      </w:pPr>
      <w:r>
        <w:rPr>
          <w:rFonts w:hint="eastAsia" w:ascii="SimHei" w:hAnsi="Times New Roman" w:eastAsia="SimHei"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23个，二级项目0个，共涉及资金10911.3万元，占一般公共预算项目支出总额的137.08%。组织对2019年度土地开发专项资金、美特好公司兑现优惠政策等4个政府性基金预算项目支出开展绩效自评，共涉及资金7335.81万元，占政府性基金预算项目支出总额的91.4%。组织对“基础设施工程款”“兑换招商引资优惠政策”等27个项目开展了部门评价，涉及一般公共预算支出10911.3万元，政府性基金预算支出7335.81万元。从评价情况来看，</w:t>
      </w:r>
      <w:r>
        <w:rPr>
          <w:rFonts w:ascii="FangSong" w:hAnsi="FangSong" w:eastAsia="FangSong" w:cs="方正仿宋简体"/>
          <w:bCs/>
          <w:sz w:val="30"/>
          <w:szCs w:val="30"/>
        </w:rPr>
        <w:t>20</w:t>
      </w:r>
      <w:r>
        <w:rPr>
          <w:rFonts w:hint="eastAsia" w:ascii="FangSong" w:hAnsi="FangSong" w:eastAsia="FangSong" w:cs="方正仿宋简体"/>
          <w:bCs/>
          <w:sz w:val="30"/>
          <w:szCs w:val="30"/>
        </w:rPr>
        <w:t>19</w:t>
      </w:r>
      <w:r>
        <w:rPr>
          <w:rFonts w:ascii="FangSong" w:hAnsi="FangSong" w:eastAsia="FangSong" w:cs="方正仿宋简体"/>
          <w:bCs/>
          <w:sz w:val="30"/>
          <w:szCs w:val="30"/>
        </w:rPr>
        <w:t>年项目支出</w:t>
      </w:r>
      <w:r>
        <w:rPr>
          <w:rFonts w:hint="eastAsia" w:ascii="仿宋_GB2312" w:hAnsi="仿宋_GB2312" w:eastAsia="仿宋_GB2312" w:cs="仿宋_GB2312"/>
          <w:sz w:val="32"/>
          <w:szCs w:val="32"/>
        </w:rPr>
        <w:t>18247.11</w:t>
      </w:r>
      <w:r>
        <w:rPr>
          <w:rFonts w:ascii="FangSong" w:hAnsi="FangSong" w:eastAsia="FangSong" w:cs="方正仿宋简体"/>
          <w:bCs/>
          <w:sz w:val="30"/>
          <w:szCs w:val="30"/>
        </w:rPr>
        <w:t>万元，主要用于</w:t>
      </w:r>
      <w:r>
        <w:rPr>
          <w:rFonts w:hint="eastAsia" w:ascii="FangSong" w:hAnsi="FangSong" w:eastAsia="FangSong" w:cs="方正仿宋简体"/>
          <w:bCs/>
          <w:sz w:val="30"/>
          <w:szCs w:val="30"/>
        </w:rPr>
        <w:t>节能环保支出、城乡社区支出</w:t>
      </w:r>
      <w:r>
        <w:rPr>
          <w:rFonts w:ascii="FangSong" w:hAnsi="FangSong" w:eastAsia="FangSong" w:cs="方正仿宋简体"/>
          <w:bCs/>
          <w:sz w:val="30"/>
          <w:szCs w:val="30"/>
        </w:rPr>
        <w:t>等专项工作。项目支出严格纳入预算管理，根据批复的预算严控各项支出，按照资金用途专款专用，资金运转规范有序。</w:t>
      </w:r>
    </w:p>
    <w:p>
      <w:pPr>
        <w:widowControl/>
        <w:shd w:val="clear" w:color="auto" w:fill="FFFFFF"/>
        <w:spacing w:line="525" w:lineRule="atLeast"/>
        <w:ind w:firstLine="600"/>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1、基础数据与资料的审核</w:t>
      </w:r>
    </w:p>
    <w:p>
      <w:pPr>
        <w:widowControl/>
        <w:shd w:val="clear" w:color="auto" w:fill="FFFFFF"/>
        <w:spacing w:line="525" w:lineRule="atLeast"/>
        <w:ind w:firstLine="600"/>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审核搜集到的资料的相关性、真实性、可靠性，对有效资料进行整理、分类、统计。</w:t>
      </w:r>
    </w:p>
    <w:p>
      <w:pPr>
        <w:widowControl/>
        <w:shd w:val="clear" w:color="auto" w:fill="FFFFFF"/>
        <w:spacing w:line="525" w:lineRule="atLeast"/>
        <w:ind w:firstLine="600"/>
        <w:jc w:val="left"/>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2、管理分析、绩效分析</w:t>
      </w:r>
    </w:p>
    <w:p>
      <w:pPr>
        <w:widowControl/>
        <w:shd w:val="clear" w:color="auto" w:fill="FFFFFF"/>
        <w:spacing w:line="525" w:lineRule="atLeast"/>
        <w:ind w:firstLine="600"/>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对部门整体支出结合财政资金来源进行分析，对支出的合理性、合规性以及资金使用绩效进行评价。</w:t>
      </w:r>
    </w:p>
    <w:p>
      <w:pPr>
        <w:widowControl/>
        <w:shd w:val="clear" w:color="auto" w:fill="FFFFFF"/>
        <w:spacing w:line="525" w:lineRule="atLeast"/>
        <w:ind w:firstLine="600"/>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重点关注：各项目资金的拨付、使用及取得的成效。</w:t>
      </w:r>
    </w:p>
    <w:p>
      <w:pPr>
        <w:widowControl/>
        <w:shd w:val="clear" w:color="auto" w:fill="FFFFFF"/>
        <w:spacing w:line="525" w:lineRule="atLeast"/>
        <w:ind w:firstLine="645"/>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3、报告阶段</w:t>
      </w:r>
    </w:p>
    <w:p>
      <w:pPr>
        <w:widowControl/>
        <w:shd w:val="clear" w:color="auto" w:fill="FFFFFF"/>
        <w:spacing w:line="525" w:lineRule="atLeast"/>
        <w:ind w:firstLine="645"/>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由绩效评价小组对照评价指标进行初评，撰写初评报告；</w:t>
      </w:r>
    </w:p>
    <w:p>
      <w:pPr>
        <w:widowControl/>
        <w:shd w:val="clear" w:color="auto" w:fill="FFFFFF"/>
        <w:spacing w:line="525" w:lineRule="atLeast"/>
        <w:ind w:firstLine="600"/>
        <w:jc w:val="left"/>
        <w:textAlignment w:val="top"/>
        <w:rPr>
          <w:rFonts w:ascii="Microsoft YaHei" w:hAnsi="Microsoft YaHei" w:eastAsia="Microsoft YaHei" w:cs="SimSun"/>
          <w:color w:val="333333"/>
          <w:kern w:val="0"/>
          <w:szCs w:val="21"/>
        </w:rPr>
      </w:pPr>
      <w:r>
        <w:rPr>
          <w:rFonts w:hint="eastAsia" w:ascii="FangSong" w:hAnsi="FangSong" w:eastAsia="FangSong" w:cs="SimSun"/>
          <w:color w:val="333333"/>
          <w:kern w:val="0"/>
          <w:sz w:val="32"/>
          <w:szCs w:val="32"/>
        </w:rPr>
        <w:t>4、归档</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FangSong" w:hAnsi="FangSong" w:eastAsia="FangSong" w:cs="SimSun"/>
          <w:color w:val="333333"/>
          <w:kern w:val="0"/>
          <w:sz w:val="32"/>
          <w:szCs w:val="32"/>
        </w:rPr>
        <w:t>对绩效评价工作资料进行整理，完善绩效评价底稿并归档。</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本部门在今年部门决算公开中反映兑换招商引资优惠政策资金项目及基础设施工程款项目等27个项目绩效自评结果。</w:t>
      </w:r>
    </w:p>
    <w:p>
      <w:pPr>
        <w:numPr>
          <w:ilvl w:val="0"/>
          <w:numId w:val="4"/>
        </w:num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基础设施工程款项目自评综述：根据年初设定的绩效目标，基础设施工程款项目绩效自评得分为100分（绩效自评表附后）。全年预算数为3593万元，执行数为3593万元，完成预算的100%。项目绩效目标完成情况：一是把园区内外基础设施维护到位；二是为当地居民提供良好环境，提高居民的生活水平。发现的主要问题、原因及下一步改进措施：在项目实施过程中，不存在实施和资金使用方面违规违纪问题，不存在被监察、审计、财政监督机构等查出或被媒体曝光、群众举报并经查实的违规违纪问题。</w:t>
      </w:r>
    </w:p>
    <w:p>
      <w:pPr>
        <w:spacing w:line="578" w:lineRule="exact"/>
        <w:rPr>
          <w:rFonts w:ascii="仿宋_GB2312" w:hAnsi="仿宋_GB2312" w:eastAsia="仿宋_GB2312" w:cs="仿宋_GB2312"/>
          <w:sz w:val="32"/>
          <w:szCs w:val="32"/>
        </w:rPr>
      </w:pPr>
    </w:p>
    <w:tbl>
      <w:tblPr>
        <w:tblStyle w:val="7"/>
        <w:tblW w:w="974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8"/>
        <w:gridCol w:w="650"/>
        <w:gridCol w:w="1442"/>
        <w:gridCol w:w="542"/>
        <w:gridCol w:w="1322"/>
        <w:gridCol w:w="284"/>
        <w:gridCol w:w="850"/>
        <w:gridCol w:w="851"/>
        <w:gridCol w:w="283"/>
        <w:gridCol w:w="570"/>
        <w:gridCol w:w="139"/>
        <w:gridCol w:w="569"/>
        <w:gridCol w:w="282"/>
        <w:gridCol w:w="13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9743" w:type="dxa"/>
            <w:gridSpan w:val="14"/>
            <w:tcBorders>
              <w:top w:val="nil"/>
              <w:left w:val="nil"/>
              <w:bottom w:val="nil"/>
              <w:right w:val="nil"/>
            </w:tcBorders>
            <w:vAlign w:val="center"/>
          </w:tcPr>
          <w:p>
            <w:pPr>
              <w:widowControl/>
              <w:spacing w:line="320" w:lineRule="exact"/>
              <w:jc w:val="center"/>
              <w:rPr>
                <w:rFonts w:ascii="SimHei" w:hAnsi="SimHei" w:eastAsia="SimHei" w:cs="SimHei"/>
                <w:kern w:val="0"/>
                <w:sz w:val="32"/>
                <w:szCs w:val="32"/>
              </w:rPr>
            </w:pPr>
            <w:r>
              <w:rPr>
                <w:rFonts w:hint="eastAsia" w:ascii="SimHei" w:hAnsi="SimHei" w:eastAsia="SimHei" w:cs="SimHei"/>
                <w:kern w:val="0"/>
                <w:sz w:val="32"/>
                <w:szCs w:val="32"/>
              </w:rPr>
              <w:t>2019年度预算项目绩效自评表</w:t>
            </w:r>
          </w:p>
          <w:p>
            <w:pPr>
              <w:widowControl/>
              <w:spacing w:line="320" w:lineRule="exact"/>
              <w:jc w:val="center"/>
              <w:rPr>
                <w:rFonts w:ascii="SimHei" w:hAnsi="SimHei" w:eastAsia="SimHei" w:cs="SimHei"/>
                <w:kern w:val="0"/>
                <w:sz w:val="32"/>
                <w:szCs w:val="32"/>
              </w:rPr>
            </w:pPr>
          </w:p>
          <w:p>
            <w:pPr>
              <w:widowControl/>
              <w:spacing w:line="320" w:lineRule="exact"/>
              <w:jc w:val="center"/>
              <w:rPr>
                <w:rFonts w:ascii="SimHei" w:hAnsi="SimHei" w:eastAsia="SimHei" w:cs="SimHei"/>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 w:hRule="atLeast"/>
          <w:jc w:val="center"/>
        </w:trPr>
        <w:tc>
          <w:tcPr>
            <w:tcW w:w="9743" w:type="dxa"/>
            <w:gridSpan w:val="14"/>
            <w:tcBorders>
              <w:top w:val="nil"/>
              <w:left w:val="nil"/>
              <w:bottom w:val="nil"/>
              <w:right w:val="nil"/>
            </w:tcBorders>
            <w:vAlign w:val="top"/>
          </w:tcPr>
          <w:p>
            <w:pPr>
              <w:widowControl/>
              <w:wordWrap w:val="0"/>
              <w:jc w:val="right"/>
              <w:rPr>
                <w:rFonts w:ascii="SimSun" w:hAnsi="SimSun" w:cs="SimSun"/>
                <w:kern w:val="0"/>
                <w:sz w:val="22"/>
              </w:rPr>
            </w:pPr>
            <w:r>
              <w:rPr>
                <w:rFonts w:hint="eastAsia" w:ascii="SimSun" w:hAnsi="SimSun" w:cs="SimSun"/>
                <w:kern w:val="0"/>
                <w:sz w:val="22"/>
              </w:rPr>
              <w:t xml:space="preserve">                      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项目名称</w:t>
            </w:r>
          </w:p>
        </w:tc>
        <w:tc>
          <w:tcPr>
            <w:tcW w:w="8505"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基础设施工程款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主管部门</w:t>
            </w:r>
          </w:p>
        </w:tc>
        <w:tc>
          <w:tcPr>
            <w:tcW w:w="444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迁安市人民政府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实施单位</w:t>
            </w:r>
          </w:p>
        </w:tc>
        <w:tc>
          <w:tcPr>
            <w:tcW w:w="2931"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迁安高新技术产业开发区管理委员会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项目资金</w:t>
            </w:r>
            <w:r>
              <w:rPr>
                <w:rFonts w:hint="eastAsia" w:ascii="SimSun" w:hAnsi="SimSun" w:cs="SimSun"/>
                <w:kern w:val="0"/>
                <w:sz w:val="18"/>
                <w:szCs w:val="18"/>
              </w:rPr>
              <w:br w:type="textWrapping"/>
            </w:r>
            <w:r>
              <w:rPr>
                <w:rFonts w:hint="eastAsia" w:ascii="SimSun" w:hAnsi="SimSun" w:cs="SimSun"/>
                <w:kern w:val="0"/>
                <w:sz w:val="18"/>
                <w:szCs w:val="18"/>
              </w:rPr>
              <w:t>（万元）</w:t>
            </w: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执行率</w:t>
            </w:r>
          </w:p>
        </w:tc>
        <w:tc>
          <w:tcPr>
            <w:tcW w:w="137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年度资金总额</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137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其中：上级资金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37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 xml:space="preserve">      本级资金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3593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37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SimSun" w:hAnsi="SimSun" w:cs="SimSun"/>
                <w:kern w:val="0"/>
                <w:sz w:val="18"/>
                <w:szCs w:val="18"/>
              </w:rPr>
            </w:pPr>
            <w:r>
              <w:rPr>
                <w:rFonts w:hint="eastAsia" w:ascii="SimSun" w:hAnsi="SimSun" w:cs="SimSun"/>
                <w:kern w:val="0"/>
                <w:sz w:val="18"/>
                <w:szCs w:val="18"/>
              </w:rPr>
              <w:t>其他资金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37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预期目标</w:t>
            </w:r>
          </w:p>
        </w:tc>
        <w:tc>
          <w:tcPr>
            <w:tcW w:w="4065"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实际完成情况综述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kern w:val="0"/>
                <w:sz w:val="18"/>
                <w:szCs w:val="18"/>
              </w:rPr>
            </w:pPr>
            <w:r>
              <w:rPr>
                <w:rFonts w:hint="eastAsia" w:ascii="SimSun" w:hAnsi="SimSun" w:cs="SimSun"/>
                <w:kern w:val="0"/>
                <w:sz w:val="18"/>
                <w:szCs w:val="18"/>
              </w:rPr>
              <w:t>目标1：确保项目顺利开展</w:t>
            </w:r>
          </w:p>
        </w:tc>
        <w:tc>
          <w:tcPr>
            <w:tcW w:w="4065"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kern w:val="0"/>
                <w:sz w:val="18"/>
                <w:szCs w:val="18"/>
              </w:rPr>
            </w:pPr>
            <w:r>
              <w:rPr>
                <w:rFonts w:hint="eastAsia" w:ascii="SimSun" w:hAnsi="SimSun" w:cs="SimSun"/>
                <w:kern w:val="0"/>
                <w:sz w:val="18"/>
                <w:szCs w:val="18"/>
              </w:rPr>
              <w:t>目标1完成情况：已完成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绩</w:t>
            </w:r>
            <w:r>
              <w:rPr>
                <w:rFonts w:hint="eastAsia" w:ascii="SimSun" w:hAnsi="SimSun" w:cs="SimSun"/>
                <w:kern w:val="0"/>
                <w:sz w:val="18"/>
                <w:szCs w:val="18"/>
              </w:rPr>
              <w:br w:type="textWrapping"/>
            </w:r>
            <w:r>
              <w:rPr>
                <w:rFonts w:hint="eastAsia" w:ascii="SimSun" w:hAnsi="SimSun" w:cs="SimSun"/>
                <w:kern w:val="0"/>
                <w:sz w:val="18"/>
                <w:szCs w:val="18"/>
              </w:rPr>
              <w:t>效</w:t>
            </w:r>
            <w:r>
              <w:rPr>
                <w:rFonts w:hint="eastAsia" w:ascii="SimSun" w:hAnsi="SimSun" w:cs="SimSun"/>
                <w:kern w:val="0"/>
                <w:sz w:val="18"/>
                <w:szCs w:val="18"/>
              </w:rPr>
              <w:br w:type="textWrapping"/>
            </w:r>
            <w:r>
              <w:rPr>
                <w:rFonts w:hint="eastAsia" w:ascii="SimSun" w:hAnsi="SimSun" w:cs="SimSun"/>
                <w:kern w:val="0"/>
                <w:sz w:val="18"/>
                <w:szCs w:val="18"/>
              </w:rPr>
              <w:t>指</w:t>
            </w:r>
            <w:r>
              <w:rPr>
                <w:rFonts w:hint="eastAsia" w:ascii="SimSun" w:hAnsi="SimSun" w:cs="SimSun"/>
                <w:kern w:val="0"/>
                <w:sz w:val="18"/>
                <w:szCs w:val="18"/>
              </w:rPr>
              <w:br w:type="textWrapping"/>
            </w:r>
            <w:r>
              <w:rPr>
                <w:rFonts w:hint="eastAsia" w:ascii="SimSun" w:hAnsi="SimSun" w:cs="SimSun"/>
                <w:kern w:val="0"/>
                <w:sz w:val="18"/>
                <w:szCs w:val="18"/>
              </w:rPr>
              <w:t>标</w:t>
            </w:r>
          </w:p>
        </w:tc>
        <w:tc>
          <w:tcPr>
            <w:tcW w:w="6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一级指标</w:t>
            </w:r>
          </w:p>
        </w:tc>
        <w:tc>
          <w:tcPr>
            <w:tcW w:w="144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年度</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实际</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完成值</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分值</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得分</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产出指标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指标1：实际完成工程量占计划完成工程量的比率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指标1：实际完成配套设施量占计划完成配套设施量的比率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指标1：按时限要求及时完成</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指标1：按期完成的工程量占总工程量的比率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效益指标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经济效益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指标1：设备完好数量市场价值总额占设备总数量市场价值总额的比率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社会效益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指标1：公共服务水平提升情况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生态效益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指标1：提高辖区内各项环保指标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指标1：业务保障能力提升情况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tcBorders>
              <w:top w:val="nil"/>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满意度</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指标1：受益群体调查中，满意和较满意的人数占全部调查人数的比率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预算执行率</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4"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总分</w:t>
            </w:r>
          </w:p>
        </w:tc>
        <w:tc>
          <w:tcPr>
            <w:tcW w:w="853"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100</w:t>
            </w:r>
          </w:p>
        </w:tc>
        <w:tc>
          <w:tcPr>
            <w:tcW w:w="708"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100</w:t>
            </w:r>
          </w:p>
        </w:tc>
        <w:tc>
          <w:tcPr>
            <w:tcW w:w="165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bl>
    <w:p>
      <w:pPr>
        <w:spacing w:line="578" w:lineRule="exact"/>
        <w:rPr>
          <w:rFonts w:ascii="仿宋_GB2312" w:hAnsi="仿宋_GB2312" w:eastAsia="仿宋_GB2312" w:cs="仿宋_GB2312"/>
          <w:sz w:val="32"/>
          <w:szCs w:val="32"/>
        </w:rPr>
      </w:pPr>
    </w:p>
    <w:p>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兑换招商引资优惠政策资金项目绩效自评综述：根据年初设定的绩效目标，基础设施工程款项目绩效自评得分为100分（绩效自评表附后）。全年预算数为1461.56万元，执行数为1461.56万元，完成预算的100%。项目绩效目标完成情况：是把市外、省外的企业引进到本地进行投资、为政府提供财政税收；二是为当地居民提供就业机会，提高居民的生活水平；三是维护辖区稳定。发现的主要问题、原因及下一步改进措施：在项目实施过程中，不存在实施和资金使用方面违规违纪问题，不存在被监察、审计、财政监督机构等查出或被媒体曝光、群众举报并经查实的违规违纪问题。</w:t>
      </w:r>
    </w:p>
    <w:tbl>
      <w:tblPr>
        <w:tblStyle w:val="7"/>
        <w:tblW w:w="98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8"/>
        <w:gridCol w:w="650"/>
        <w:gridCol w:w="1442"/>
        <w:gridCol w:w="542"/>
        <w:gridCol w:w="1322"/>
        <w:gridCol w:w="284"/>
        <w:gridCol w:w="850"/>
        <w:gridCol w:w="924"/>
        <w:gridCol w:w="210"/>
        <w:gridCol w:w="641"/>
        <w:gridCol w:w="68"/>
        <w:gridCol w:w="782"/>
        <w:gridCol w:w="69"/>
        <w:gridCol w:w="15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9885" w:type="dxa"/>
            <w:gridSpan w:val="14"/>
            <w:tcBorders>
              <w:top w:val="nil"/>
              <w:left w:val="nil"/>
              <w:bottom w:val="nil"/>
              <w:right w:val="nil"/>
            </w:tcBorders>
            <w:vAlign w:val="center"/>
          </w:tcPr>
          <w:p>
            <w:pPr>
              <w:widowControl/>
              <w:spacing w:line="320" w:lineRule="exact"/>
              <w:jc w:val="center"/>
              <w:rPr>
                <w:rFonts w:ascii="SimHei" w:hAnsi="SimHei" w:eastAsia="SimHei" w:cs="SimHei"/>
                <w:kern w:val="0"/>
                <w:sz w:val="32"/>
                <w:szCs w:val="32"/>
              </w:rPr>
            </w:pPr>
            <w:r>
              <w:rPr>
                <w:rFonts w:hint="eastAsia" w:ascii="SimHei" w:hAnsi="SimHei" w:eastAsia="SimHei" w:cs="SimHei"/>
                <w:kern w:val="0"/>
                <w:sz w:val="32"/>
                <w:szCs w:val="32"/>
              </w:rPr>
              <w:t>2019年度预算项目绩效自评表</w:t>
            </w:r>
          </w:p>
          <w:p>
            <w:pPr>
              <w:widowControl/>
              <w:spacing w:line="320" w:lineRule="exact"/>
              <w:jc w:val="center"/>
              <w:rPr>
                <w:rFonts w:ascii="SimHei" w:hAnsi="SimHei" w:eastAsia="SimHei" w:cs="SimHei"/>
                <w:kern w:val="0"/>
                <w:sz w:val="32"/>
                <w:szCs w:val="32"/>
              </w:rPr>
            </w:pPr>
          </w:p>
          <w:p>
            <w:pPr>
              <w:widowControl/>
              <w:spacing w:line="320" w:lineRule="exact"/>
              <w:jc w:val="center"/>
              <w:rPr>
                <w:rFonts w:ascii="SimHei" w:hAnsi="SimHei" w:eastAsia="SimHei" w:cs="SimHei"/>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 w:hRule="atLeast"/>
          <w:jc w:val="center"/>
        </w:trPr>
        <w:tc>
          <w:tcPr>
            <w:tcW w:w="9885" w:type="dxa"/>
            <w:gridSpan w:val="14"/>
            <w:tcBorders>
              <w:top w:val="nil"/>
              <w:left w:val="nil"/>
              <w:bottom w:val="nil"/>
              <w:right w:val="nil"/>
            </w:tcBorders>
            <w:vAlign w:val="top"/>
          </w:tcPr>
          <w:p>
            <w:pPr>
              <w:widowControl/>
              <w:wordWrap w:val="0"/>
              <w:jc w:val="right"/>
              <w:rPr>
                <w:rFonts w:ascii="SimSun" w:hAnsi="SimSun" w:cs="SimSun"/>
                <w:kern w:val="0"/>
                <w:sz w:val="22"/>
              </w:rPr>
            </w:pPr>
            <w:r>
              <w:rPr>
                <w:rFonts w:hint="eastAsia" w:ascii="SimSun" w:hAnsi="SimSun" w:cs="SimSun"/>
                <w:kern w:val="0"/>
                <w:sz w:val="22"/>
              </w:rPr>
              <w:t xml:space="preserve">                      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项目名称</w:t>
            </w:r>
          </w:p>
        </w:tc>
        <w:tc>
          <w:tcPr>
            <w:tcW w:w="8647"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兑换招商引资优惠政策资金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主管部门</w:t>
            </w:r>
          </w:p>
        </w:tc>
        <w:tc>
          <w:tcPr>
            <w:tcW w:w="444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迁安市人民政府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实施单位</w:t>
            </w:r>
          </w:p>
        </w:tc>
        <w:tc>
          <w:tcPr>
            <w:tcW w:w="3073"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迁安高新技术产业开发区管理委员会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项目资金</w:t>
            </w:r>
            <w:r>
              <w:rPr>
                <w:rFonts w:hint="eastAsia" w:ascii="SimSun" w:hAnsi="SimSun" w:cs="SimSun"/>
                <w:kern w:val="0"/>
                <w:sz w:val="18"/>
                <w:szCs w:val="18"/>
              </w:rPr>
              <w:br w:type="textWrapping"/>
            </w:r>
            <w:r>
              <w:rPr>
                <w:rFonts w:hint="eastAsia" w:ascii="SimSun" w:hAnsi="SimSun" w:cs="SimSun"/>
                <w:kern w:val="0"/>
                <w:sz w:val="18"/>
                <w:szCs w:val="18"/>
              </w:rPr>
              <w:t>（万元）</w:t>
            </w: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执行率</w:t>
            </w:r>
          </w:p>
        </w:tc>
        <w:tc>
          <w:tcPr>
            <w:tcW w:w="1513"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年度资金总额</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1461.55826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1461.558260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1461.55818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1513"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其中：上级资金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513"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SimSun" w:hAnsi="SimSun" w:cs="SimSun"/>
                <w:kern w:val="0"/>
                <w:sz w:val="18"/>
                <w:szCs w:val="18"/>
              </w:rPr>
            </w:pPr>
            <w:r>
              <w:rPr>
                <w:rFonts w:hint="eastAsia" w:ascii="SimSun" w:hAnsi="SimSun" w:cs="SimSun"/>
                <w:kern w:val="0"/>
                <w:sz w:val="18"/>
                <w:szCs w:val="18"/>
              </w:rPr>
              <w:t xml:space="preserve">      本级资金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1461.55826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1461.558260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1461.55818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513"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123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984"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SimSun" w:hAnsi="SimSun" w:cs="SimSun"/>
                <w:kern w:val="0"/>
                <w:sz w:val="18"/>
                <w:szCs w:val="18"/>
              </w:rPr>
            </w:pPr>
            <w:r>
              <w:rPr>
                <w:rFonts w:hint="eastAsia" w:ascii="SimSun" w:hAnsi="SimSun" w:cs="SimSun"/>
                <w:kern w:val="0"/>
                <w:sz w:val="18"/>
                <w:szCs w:val="18"/>
              </w:rPr>
              <w:t>其他资金</w:t>
            </w:r>
          </w:p>
        </w:tc>
        <w:tc>
          <w:tcPr>
            <w:tcW w:w="132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513"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预期目标</w:t>
            </w:r>
          </w:p>
        </w:tc>
        <w:tc>
          <w:tcPr>
            <w:tcW w:w="420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实际完成情况综述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kern w:val="0"/>
                <w:sz w:val="18"/>
                <w:szCs w:val="18"/>
              </w:rPr>
            </w:pPr>
            <w:r>
              <w:rPr>
                <w:rFonts w:hint="eastAsia" w:ascii="SimSun" w:hAnsi="SimSun" w:cs="SimSun"/>
                <w:kern w:val="0"/>
                <w:sz w:val="18"/>
                <w:szCs w:val="18"/>
              </w:rPr>
              <w:t>目标1：及时兑现优惠政策资金</w:t>
            </w:r>
          </w:p>
        </w:tc>
        <w:tc>
          <w:tcPr>
            <w:tcW w:w="4207"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kern w:val="0"/>
                <w:sz w:val="18"/>
                <w:szCs w:val="18"/>
              </w:rPr>
            </w:pPr>
          </w:p>
          <w:p>
            <w:pPr>
              <w:widowControl/>
              <w:spacing w:line="240" w:lineRule="exact"/>
              <w:jc w:val="left"/>
              <w:rPr>
                <w:rFonts w:ascii="SimSun" w:hAnsi="SimSun" w:cs="SimSun"/>
                <w:kern w:val="0"/>
                <w:sz w:val="18"/>
                <w:szCs w:val="18"/>
              </w:rPr>
            </w:pPr>
            <w:r>
              <w:rPr>
                <w:rFonts w:hint="eastAsia" w:ascii="SimSun" w:hAnsi="SimSun" w:cs="SimSun"/>
                <w:kern w:val="0"/>
                <w:sz w:val="18"/>
                <w:szCs w:val="18"/>
              </w:rPr>
              <w:t>目标1完成情况：已完成兑现优惠政策资金</w:t>
            </w:r>
          </w:p>
          <w:p>
            <w:pPr>
              <w:widowControl/>
              <w:spacing w:line="240" w:lineRule="exact"/>
              <w:jc w:val="left"/>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绩</w:t>
            </w:r>
            <w:r>
              <w:rPr>
                <w:rFonts w:hint="eastAsia" w:ascii="SimSun" w:hAnsi="SimSun" w:cs="SimSun"/>
                <w:kern w:val="0"/>
                <w:sz w:val="18"/>
                <w:szCs w:val="18"/>
              </w:rPr>
              <w:br w:type="textWrapping"/>
            </w:r>
            <w:r>
              <w:rPr>
                <w:rFonts w:hint="eastAsia" w:ascii="SimSun" w:hAnsi="SimSun" w:cs="SimSun"/>
                <w:kern w:val="0"/>
                <w:sz w:val="18"/>
                <w:szCs w:val="18"/>
              </w:rPr>
              <w:t>效</w:t>
            </w:r>
            <w:r>
              <w:rPr>
                <w:rFonts w:hint="eastAsia" w:ascii="SimSun" w:hAnsi="SimSun" w:cs="SimSun"/>
                <w:kern w:val="0"/>
                <w:sz w:val="18"/>
                <w:szCs w:val="18"/>
              </w:rPr>
              <w:br w:type="textWrapping"/>
            </w:r>
            <w:r>
              <w:rPr>
                <w:rFonts w:hint="eastAsia" w:ascii="SimSun" w:hAnsi="SimSun" w:cs="SimSun"/>
                <w:kern w:val="0"/>
                <w:sz w:val="18"/>
                <w:szCs w:val="18"/>
              </w:rPr>
              <w:t>指</w:t>
            </w:r>
            <w:r>
              <w:rPr>
                <w:rFonts w:hint="eastAsia" w:ascii="SimSun" w:hAnsi="SimSun" w:cs="SimSun"/>
                <w:kern w:val="0"/>
                <w:sz w:val="18"/>
                <w:szCs w:val="18"/>
              </w:rPr>
              <w:br w:type="textWrapping"/>
            </w:r>
            <w:r>
              <w:rPr>
                <w:rFonts w:hint="eastAsia" w:ascii="SimSun" w:hAnsi="SimSun" w:cs="SimSun"/>
                <w:kern w:val="0"/>
                <w:sz w:val="18"/>
                <w:szCs w:val="18"/>
              </w:rPr>
              <w:t>标</w:t>
            </w:r>
          </w:p>
        </w:tc>
        <w:tc>
          <w:tcPr>
            <w:tcW w:w="6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一级指标</w:t>
            </w:r>
          </w:p>
        </w:tc>
        <w:tc>
          <w:tcPr>
            <w:tcW w:w="1442"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年度</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指标值</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实际</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完成值</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分值</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得分</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产出指标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指标1：实际发放的补助金是否发放到位</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指标1：实际发放的补助金金额占计划发放金额的比率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指标1：兑现资金及时度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指标1：遵循厉行节约，严控相关费用支出的指标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效益指标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经济效益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指标1：补贴所带来的经济效益增加情况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社会效益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指标1：公共服务水平提升情况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生态效益</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指标1：提高了辖区内各项环保指标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指标1：业务保障能力提升情况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c>
          <w:tcPr>
            <w:tcW w:w="650" w:type="dxa"/>
            <w:tcBorders>
              <w:top w:val="nil"/>
              <w:left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满意度</w:t>
            </w:r>
          </w:p>
          <w:p>
            <w:pPr>
              <w:widowControl/>
              <w:spacing w:line="240" w:lineRule="exact"/>
              <w:jc w:val="center"/>
              <w:rPr>
                <w:rFonts w:ascii="SimSun" w:hAnsi="SimSun" w:cs="SimSun"/>
                <w:kern w:val="0"/>
                <w:sz w:val="18"/>
                <w:szCs w:val="18"/>
              </w:rPr>
            </w:pPr>
            <w:r>
              <w:rPr>
                <w:rFonts w:hint="eastAsia" w:ascii="SimSun" w:hAnsi="SimSun" w:cs="SimSun"/>
                <w:kern w:val="0"/>
                <w:sz w:val="18"/>
                <w:szCs w:val="18"/>
              </w:rPr>
              <w:t>指标</w:t>
            </w:r>
          </w:p>
        </w:tc>
        <w:tc>
          <w:tcPr>
            <w:tcW w:w="144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SimSun" w:hAnsi="SimSun" w:cs="SimSun"/>
                <w:color w:val="000000"/>
                <w:kern w:val="0"/>
                <w:sz w:val="18"/>
                <w:szCs w:val="18"/>
              </w:rPr>
            </w:pPr>
            <w:r>
              <w:rPr>
                <w:rFonts w:hint="eastAsia" w:ascii="SimSun" w:hAnsi="SimSun" w:cs="SimSun"/>
                <w:color w:val="000000"/>
                <w:kern w:val="0"/>
                <w:sz w:val="18"/>
                <w:szCs w:val="18"/>
              </w:rPr>
              <w:t>指标1：通过问卷调查，满意和较满意的受益对象占全部调研对象的比例</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百分比</w:t>
            </w:r>
          </w:p>
        </w:tc>
        <w:tc>
          <w:tcPr>
            <w:tcW w:w="924" w:type="dxa"/>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100</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r>
              <w:rPr>
                <w:rFonts w:hint="eastAsia" w:ascii="SimSun" w:hAnsi="SimSun" w:cs="SimSun"/>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exact"/>
          <w:jc w:val="center"/>
        </w:trPr>
        <w:tc>
          <w:tcPr>
            <w:tcW w:w="6602"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预算执行率</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4" w:hRule="exact"/>
          <w:jc w:val="center"/>
        </w:trPr>
        <w:tc>
          <w:tcPr>
            <w:tcW w:w="6602"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总分</w:t>
            </w:r>
          </w:p>
        </w:tc>
        <w:tc>
          <w:tcPr>
            <w:tcW w:w="851"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100</w:t>
            </w:r>
          </w:p>
        </w:tc>
        <w:tc>
          <w:tcPr>
            <w:tcW w:w="850" w:type="dxa"/>
            <w:gridSpan w:val="2"/>
            <w:tcBorders>
              <w:top w:val="nil"/>
              <w:left w:val="nil"/>
              <w:bottom w:val="single" w:color="auto" w:sz="4" w:space="0"/>
              <w:right w:val="single" w:color="auto" w:sz="4" w:space="0"/>
            </w:tcBorders>
            <w:vAlign w:val="center"/>
          </w:tcPr>
          <w:p>
            <w:pPr>
              <w:widowControl/>
              <w:spacing w:line="240" w:lineRule="exact"/>
              <w:jc w:val="center"/>
              <w:rPr>
                <w:rFonts w:ascii="SimSun" w:hAnsi="SimSun" w:cs="SimSun"/>
                <w:color w:val="000000"/>
                <w:kern w:val="0"/>
                <w:sz w:val="18"/>
                <w:szCs w:val="18"/>
              </w:rPr>
            </w:pPr>
            <w:r>
              <w:rPr>
                <w:rFonts w:hint="eastAsia" w:ascii="SimSun" w:hAnsi="SimSun" w:cs="SimSun"/>
                <w:color w:val="000000"/>
                <w:kern w:val="0"/>
                <w:sz w:val="18"/>
                <w:szCs w:val="18"/>
              </w:rPr>
              <w:t>100</w:t>
            </w:r>
          </w:p>
        </w:tc>
        <w:tc>
          <w:tcPr>
            <w:tcW w:w="158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SimSun" w:hAnsi="SimSun" w:cs="SimSun"/>
                <w:kern w:val="0"/>
                <w:sz w:val="18"/>
                <w:szCs w:val="18"/>
              </w:rPr>
            </w:pPr>
          </w:p>
        </w:tc>
      </w:tr>
    </w:tbl>
    <w:p>
      <w:pPr>
        <w:keepNext/>
        <w:keepLines/>
        <w:snapToGrid w:val="0"/>
        <w:spacing w:line="580" w:lineRule="exact"/>
        <w:ind w:firstLine="640" w:firstLineChars="200"/>
        <w:outlineLvl w:val="1"/>
        <w:rPr>
          <w:rFonts w:ascii="SimHei" w:hAnsi="Calibri" w:eastAsia="SimHei" w:cs="Times New Roman"/>
          <w:sz w:val="32"/>
          <w:szCs w:val="32"/>
        </w:rPr>
      </w:pPr>
      <w:r>
        <w:rPr>
          <w:rFonts w:hint="eastAsia" w:ascii="SimHei" w:hAnsi="Calibri" w:eastAsia="SimHei"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本部门2019年度机关运行经费支出72.57万元，比2018年度减少266.04万元，降低78.57%。主要原因是严格按照标准执行，压缩开支，</w:t>
      </w:r>
      <w:r>
        <w:rPr>
          <w:rFonts w:hint="eastAsia" w:ascii="仿宋_GB2312" w:eastAsia="仿宋_GB2312" w:cs="DengXian-Regular"/>
          <w:sz w:val="32"/>
          <w:szCs w:val="32"/>
        </w:rPr>
        <w:t>坚持厉行节约，压减了机关办公支出。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本部门2019年度政府采购支出总额101.29万元，从采购类型来看，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101.29</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额101.29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101.29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无变化。其中，副部（省）级及以上领导用车0辆，主要领导干部用车0辆，机要通信用车0辆，应急保障用车1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万元以上通用设备0台，比上年</w:t>
      </w:r>
      <w:r>
        <w:rPr>
          <w:rFonts w:hint="eastAsia" w:ascii="仿宋_GB2312" w:eastAsia="仿宋_GB2312" w:cs="DengXian-Regular"/>
          <w:sz w:val="32"/>
          <w:szCs w:val="32"/>
        </w:rPr>
        <w:t>无变化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万元以上专用设备0台，比上年</w:t>
      </w:r>
      <w:r>
        <w:rPr>
          <w:rFonts w:hint="eastAsia" w:ascii="仿宋_GB2312" w:eastAsia="仿宋_GB2312" w:cs="DengXian-Regular"/>
          <w:sz w:val="32"/>
          <w:szCs w:val="32"/>
        </w:rPr>
        <w:t>无变化</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bookmarkStart w:id="0" w:name="_GoBack"/>
      <w:bookmarkEnd w:id="0"/>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本部门2019年度无国有资本经营预算财政拨款支出情况，故国有资本经营预算财政拨款支出决算表</w:t>
      </w:r>
      <w:r>
        <w:rPr>
          <w:rFonts w:hint="eastAsia" w:ascii="仿宋_GB2312" w:eastAsia="仿宋_GB2312" w:cs="DengXian-Regular"/>
          <w:sz w:val="32"/>
          <w:szCs w:val="32"/>
          <w:lang w:eastAsia="zh-CN"/>
        </w:rPr>
        <w:t>（公开</w:t>
      </w:r>
      <w:r>
        <w:rPr>
          <w:rFonts w:hint="eastAsia" w:ascii="仿宋_GB2312" w:eastAsia="仿宋_GB2312" w:cs="DengXian-Regular"/>
          <w:sz w:val="32"/>
          <w:szCs w:val="32"/>
          <w:lang w:val="en-US" w:eastAsia="zh-CN"/>
        </w:rPr>
        <w:t>09表）</w:t>
      </w:r>
      <w:r>
        <w:rPr>
          <w:rFonts w:hint="eastAsia" w:ascii="仿宋_GB2312" w:eastAsia="仿宋_GB2312" w:cs="DengXian-Regular"/>
          <w:sz w:val="32"/>
          <w:szCs w:val="32"/>
        </w:rPr>
        <w:t>以空表列示</w:t>
      </w:r>
      <w:r>
        <w:rPr>
          <w:rFonts w:hint="eastAsia" w:ascii="仿宋_GB2312" w:eastAsia="仿宋_GB2312" w:cs="DengXian-Regular"/>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SimSun" w:hAnsi="SimSun" w:eastAsia="SimSun"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SimHei" w:hAnsi="SimHei" w:eastAsia="SimHei" w:cs="SimHei"/>
          <w:sz w:val="56"/>
          <w:szCs w:val="72"/>
        </w:rPr>
      </w:pPr>
    </w:p>
    <w:p>
      <w:pPr>
        <w:jc w:val="center"/>
        <w:rPr>
          <w:rFonts w:ascii="SimHei" w:hAnsi="SimHei" w:eastAsia="SimHei" w:cs="SimHei"/>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SimHei" w:hAnsi="SimHei" w:eastAsia="SimHei" w:cs="SimHei"/>
          <w:sz w:val="56"/>
          <w:szCs w:val="7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r>
        <w:rPr>
          <w:rFonts w:ascii="SimHei" w:hAnsi="SimHei" w:eastAsia="SimHei" w:cs="SimHei"/>
          <w:sz w:val="56"/>
          <w:szCs w:val="72"/>
        </w:rPr>
        <w:br w:type="page"/>
      </w:r>
    </w:p>
    <w:p>
      <w:pPr>
        <w:rPr>
          <w:rFonts w:ascii="SimHei" w:hAnsi="SimHei" w:eastAsia="SimHei" w:cs="SimHei"/>
          <w:sz w:val="56"/>
          <w:szCs w:val="72"/>
        </w:rPr>
      </w:pPr>
    </w:p>
    <w:p>
      <w:pPr>
        <w:jc w:val="center"/>
        <w:rPr>
          <w:rFonts w:ascii="SimHei" w:hAnsi="SimHei" w:eastAsia="SimHei" w:cs="SimHei"/>
          <w:sz w:val="56"/>
          <w:szCs w:val="72"/>
        </w:rPr>
      </w:pPr>
    </w:p>
    <w:p>
      <w:pPr>
        <w:jc w:val="center"/>
        <w:rPr>
          <w:rFonts w:ascii="SimHei" w:hAnsi="SimHei" w:eastAsia="SimHei" w:cs="SimHei"/>
          <w:sz w:val="56"/>
          <w:szCs w:val="72"/>
        </w:rPr>
      </w:pPr>
    </w:p>
    <w:p>
      <w:pPr>
        <w:jc w:val="center"/>
        <w:rPr>
          <w:sz w:val="72"/>
        </w:rPr>
      </w:pPr>
      <w:r>
        <w:rPr>
          <w:rFonts w:ascii="等线" w:hAnsi="等线" w:eastAsia="等线" w:cs="SimHei"/>
          <w:kern w:val="2"/>
          <w:sz w:val="72"/>
          <w:szCs w:val="22"/>
          <w:lang w:val="en-US" w:eastAsia="zh-CN" w:bidi="ar-SA"/>
        </w:rPr>
        <w:pict>
          <v:rect id="文本框 188" o:spid="_x0000_s1106" o:spt="1" style="position:absolute;left:0pt;margin-left:-80.45pt;margin-top:34.8pt;height:263.1pt;width:613.65pt;z-index:251677696;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pPr>
                  <w:r>
                    <w:rPr>
                      <w:rFonts w:hint="eastAsia" w:ascii="SimHei" w:hAnsi="SimHei" w:eastAsia="SimHei" w:cs="SimHei"/>
                      <w:color w:val="000000"/>
                      <w:sz w:val="90"/>
                      <w:szCs w:val="90"/>
                    </w:rPr>
                    <w:t>第三部分 相关名词解释</w:t>
                  </w:r>
                </w:p>
              </w:txbxContent>
            </v:textbox>
          </v:rect>
        </w:pict>
      </w:r>
    </w:p>
    <w:p/>
    <w:p/>
    <w:p/>
    <w:p/>
    <w:p/>
    <w:p/>
    <w:p/>
    <w:p/>
    <w:p/>
    <w:p/>
    <w:p/>
    <w:p/>
    <w:p/>
    <w:p>
      <w:pPr>
        <w:tabs>
          <w:tab w:val="left" w:pos="886"/>
        </w:tabs>
        <w:jc w:val="left"/>
        <w:sectPr>
          <w:headerReference r:id="rId16"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SimSun" w:eastAsia="仿宋_GB2312" w:cs="ArialUnicodeMS"/>
          <w:sz w:val="32"/>
          <w:szCs w:val="32"/>
          <w:highlight w:val="yellow"/>
        </w:rPr>
      </w:pPr>
      <w:r>
        <w:rPr>
          <w:rFonts w:hint="eastAsia" w:ascii="仿宋_GB2312" w:hAnsi="SimSun" w:eastAsia="仿宋_GB2312" w:cs="ArialUnicodeMS"/>
          <w:sz w:val="32"/>
          <w:szCs w:val="32"/>
          <w:highlight w:val="yellow"/>
        </w:rPr>
        <w:br w:type="page"/>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（一）财政拨款收入：</w:t>
      </w:r>
      <w:r>
        <w:rPr>
          <w:rFonts w:hint="eastAsia" w:ascii="仿宋_GB2312" w:hAnsi="SimSun"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（二）事业收入：</w:t>
      </w:r>
      <w:r>
        <w:rPr>
          <w:rFonts w:hint="eastAsia" w:ascii="仿宋_GB2312" w:hAnsi="SimSun"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（三）其他收入：</w:t>
      </w:r>
      <w:r>
        <w:rPr>
          <w:rFonts w:hint="eastAsia" w:ascii="仿宋_GB2312" w:hAnsi="SimSun"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（四）用事业基金弥补收支差额：</w:t>
      </w:r>
      <w:r>
        <w:rPr>
          <w:rFonts w:hint="eastAsia" w:ascii="仿宋_GB2312" w:hAnsi="SimSun"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（五）年初结转和结余：</w:t>
      </w:r>
      <w:r>
        <w:rPr>
          <w:rFonts w:hint="eastAsia" w:ascii="仿宋_GB2312" w:hAnsi="SimSun"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（六）结余分配：</w:t>
      </w:r>
      <w:r>
        <w:rPr>
          <w:rFonts w:hint="eastAsia" w:ascii="仿宋_GB2312" w:hAnsi="SimSun"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（七）年末结转和结余：</w:t>
      </w:r>
      <w:r>
        <w:rPr>
          <w:rFonts w:hint="eastAsia" w:ascii="仿宋_GB2312" w:hAnsi="SimSun"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（八）基本支出：</w:t>
      </w:r>
      <w:r>
        <w:rPr>
          <w:rFonts w:hint="eastAsia" w:ascii="仿宋_GB2312" w:hAnsi="SimSun"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（九）项目支出：</w:t>
      </w:r>
      <w:r>
        <w:rPr>
          <w:rFonts w:hint="eastAsia" w:ascii="仿宋_GB2312" w:hAnsi="SimSun"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（十）基本建设支出：</w:t>
      </w:r>
      <w:r>
        <w:rPr>
          <w:rFonts w:hint="eastAsia" w:ascii="仿宋_GB2312" w:hAnsi="SimSu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（十一）其他资本性支出：</w:t>
      </w:r>
      <w:r>
        <w:rPr>
          <w:rFonts w:hint="eastAsia" w:ascii="仿宋_GB2312" w:hAnsi="SimSu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（十二）“三公”经费：</w:t>
      </w:r>
      <w:r>
        <w:rPr>
          <w:rFonts w:hint="eastAsia" w:ascii="仿宋_GB2312" w:hAnsi="SimSu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（十三）其他交通费用：</w:t>
      </w:r>
      <w:r>
        <w:rPr>
          <w:rFonts w:hint="eastAsia" w:ascii="仿宋_GB2312" w:hAnsi="SimSu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（十四）公务用车购置：</w:t>
      </w:r>
      <w:r>
        <w:rPr>
          <w:rFonts w:hint="eastAsia" w:ascii="仿宋_GB2312" w:hAnsi="SimSu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（十五）其他交通工具购置：</w:t>
      </w:r>
      <w:r>
        <w:rPr>
          <w:rFonts w:hint="eastAsia" w:ascii="仿宋_GB2312" w:hAnsi="SimSu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SimSun" w:eastAsia="仿宋_GB2312" w:cs="Times New Roman"/>
          <w:color w:val="000000"/>
          <w:kern w:val="0"/>
          <w:sz w:val="32"/>
          <w:szCs w:val="32"/>
        </w:rPr>
      </w:pPr>
      <w:r>
        <w:rPr>
          <w:rFonts w:hint="eastAsia" w:ascii="仿宋_GB2312" w:hAnsi="SimSun" w:eastAsia="仿宋_GB2312" w:cs="Times New Roman"/>
          <w:b/>
          <w:bCs/>
          <w:color w:val="000000"/>
          <w:kern w:val="0"/>
          <w:sz w:val="32"/>
          <w:szCs w:val="32"/>
        </w:rPr>
        <w:t>（十六）机关运行经费：</w:t>
      </w:r>
      <w:r>
        <w:rPr>
          <w:rFonts w:hint="eastAsia" w:ascii="仿宋_GB2312" w:hAnsi="SimSu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jc w:val="left"/>
        <w:rPr>
          <w:rFonts w:ascii="仿宋_GB2312" w:hAnsi="Cambria" w:eastAsia="仿宋_GB2312" w:cs="ArialUnicodeMS"/>
          <w:kern w:val="0"/>
          <w:sz w:val="32"/>
          <w:szCs w:val="32"/>
        </w:rPr>
      </w:pPr>
      <w:r>
        <w:rPr>
          <w:rFonts w:hint="eastAsia" w:ascii="仿宋_GB2312" w:hAnsi="SimSun" w:eastAsia="仿宋_GB2312" w:cs="Times New Roman"/>
          <w:b/>
          <w:bCs/>
          <w:color w:val="000000"/>
          <w:kern w:val="0"/>
          <w:sz w:val="32"/>
          <w:szCs w:val="32"/>
          <w:lang w:val="en-US" w:eastAsia="zh-CN"/>
        </w:rPr>
        <w:t xml:space="preserve">    </w:t>
      </w:r>
      <w:r>
        <w:rPr>
          <w:rFonts w:hint="eastAsia" w:ascii="仿宋_GB2312" w:hAnsi="SimSun" w:eastAsia="仿宋_GB2312" w:cs="Times New Roman"/>
          <w:b/>
          <w:bCs/>
          <w:color w:val="000000"/>
          <w:kern w:val="0"/>
          <w:sz w:val="32"/>
          <w:szCs w:val="32"/>
        </w:rPr>
        <w:t>（十七）经费形式:</w:t>
      </w:r>
      <w:r>
        <w:rPr>
          <w:rFonts w:hint="eastAsia" w:ascii="仿宋_GB2312" w:hAnsi="SimSun"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
    <w:p/>
    <w:p/>
    <w:p/>
    <w:p/>
    <w:p/>
    <w:p>
      <w:pPr>
        <w:jc w:val="left"/>
        <w:sectPr>
          <w:headerReference r:id="rId17" w:type="default"/>
          <w:type w:val="continuous"/>
          <w:pgSz w:w="11906" w:h="16838"/>
          <w:pgMar w:top="2098" w:right="1474" w:bottom="1985" w:left="1588" w:header="851" w:footer="992" w:gutter="0"/>
          <w:pgNumType w:fmt="numberInDash"/>
          <w:cols w:space="425" w:num="1"/>
          <w:docGrid w:type="lines" w:linePitch="312" w:charSpace="0"/>
        </w:sectPr>
      </w:pPr>
    </w:p>
    <w:p>
      <w:pPr>
        <w:tabs>
          <w:tab w:val="left" w:pos="235"/>
        </w:tabs>
        <w:jc w:val="left"/>
        <w:sectPr>
          <w:pgSz w:w="11906" w:h="16838"/>
          <w:pgMar w:top="2098" w:right="1474" w:bottom="1985" w:left="1588" w:header="851" w:footer="992" w:gutter="0"/>
          <w:pgNumType w:fmt="numberInDash"/>
          <w:cols w:space="425" w:num="1"/>
          <w:docGrid w:type="lines" w:linePitch="312" w:charSpace="0"/>
        </w:sectPr>
      </w:pPr>
      <w:r>
        <w:rPr>
          <w:rFonts w:ascii="等线" w:hAnsi="等线" w:eastAsia="等线" w:cs="SimHei"/>
          <w:kern w:val="2"/>
          <w:sz w:val="72"/>
          <w:szCs w:val="22"/>
          <w:lang w:val="en-US" w:eastAsia="zh-CN" w:bidi="ar-SA"/>
        </w:rPr>
        <w:pict>
          <v:rect id="文本框 229" o:spid="_x0000_s1107" o:spt="1" style="position:absolute;left:0pt;margin-left:-82.05pt;margin-top:135.85pt;height:263.1pt;width:613.65pt;z-index:251678720;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rPr>
                      <w:rFonts w:ascii="SimHei" w:hAnsi="SimHei" w:eastAsia="SimHei" w:cs="SimHei"/>
                      <w:color w:val="000000"/>
                      <w:sz w:val="90"/>
                      <w:szCs w:val="90"/>
                    </w:rPr>
                  </w:pPr>
                  <w:r>
                    <w:rPr>
                      <w:rFonts w:hint="eastAsia" w:ascii="SimHei" w:hAnsi="SimHei" w:eastAsia="SimHei" w:cs="SimHei"/>
                      <w:color w:val="000000"/>
                      <w:sz w:val="90"/>
                      <w:szCs w:val="90"/>
                    </w:rPr>
                    <w:t xml:space="preserve">第四部分 </w:t>
                  </w:r>
                </w:p>
                <w:p>
                  <w:pPr>
                    <w:widowControl/>
                    <w:jc w:val="center"/>
                  </w:pPr>
                  <w:r>
                    <w:rPr>
                      <w:rFonts w:hint="eastAsia" w:ascii="SimHei" w:hAnsi="SimHei" w:eastAsia="SimHei" w:cs="SimHei"/>
                      <w:color w:val="000000"/>
                      <w:sz w:val="90"/>
                      <w:szCs w:val="90"/>
                    </w:rPr>
                    <w:t>2019年度部门决算报表</w:t>
                  </w:r>
                </w:p>
              </w:txbxContent>
            </v:textbox>
          </v:rect>
        </w:pict>
      </w:r>
    </w:p>
    <w:p>
      <w:pPr>
        <w:tabs>
          <w:tab w:val="left" w:pos="886"/>
        </w:tabs>
        <w:jc w:val="left"/>
      </w:pPr>
    </w:p>
    <w:p>
      <w:pPr>
        <w:jc w:val="left"/>
      </w:pPr>
    </w:p>
    <w:tbl>
      <w:tblPr>
        <w:tblStyle w:val="7"/>
        <w:tblpPr w:leftFromText="180" w:rightFromText="180" w:vertAnchor="text" w:horzAnchor="page" w:tblpXSpec="center" w:tblpY="31"/>
        <w:tblOverlap w:val="never"/>
        <w:tblW w:w="1090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933"/>
        <w:gridCol w:w="541"/>
        <w:gridCol w:w="1265"/>
        <w:gridCol w:w="3474"/>
        <w:gridCol w:w="541"/>
        <w:gridCol w:w="11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9" w:hRule="atLeast"/>
          <w:jc w:val="center"/>
        </w:trPr>
        <w:tc>
          <w:tcPr>
            <w:tcW w:w="10909" w:type="dxa"/>
            <w:gridSpan w:val="6"/>
            <w:tcBorders>
              <w:top w:val="nil"/>
              <w:left w:val="nil"/>
              <w:bottom w:val="nil"/>
              <w:right w:val="nil"/>
            </w:tcBorders>
            <w:tcMar>
              <w:top w:w="15" w:type="dxa"/>
              <w:left w:w="15" w:type="dxa"/>
              <w:right w:w="15" w:type="dxa"/>
            </w:tcMar>
            <w:vAlign w:val="bottom"/>
          </w:tcPr>
          <w:p>
            <w:pPr>
              <w:spacing w:line="400" w:lineRule="exact"/>
              <w:jc w:val="center"/>
              <w:rPr>
                <w:rFonts w:ascii="SimHei" w:hAnsi="SimSun" w:eastAsia="SimHei" w:cs="SimHei"/>
                <w:color w:val="000000"/>
                <w:sz w:val="32"/>
                <w:szCs w:val="32"/>
              </w:rPr>
            </w:pPr>
            <w:r>
              <w:rPr>
                <w:rFonts w:hint="eastAsia" w:ascii="SimHei" w:hAnsi="SimSun" w:eastAsia="SimHei" w:cs="SimHei"/>
                <w:color w:val="000000"/>
                <w:kern w:val="0"/>
                <w:sz w:val="32"/>
                <w:szCs w:val="32"/>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5" w:hRule="atLeast"/>
          <w:jc w:val="center"/>
        </w:trPr>
        <w:tc>
          <w:tcPr>
            <w:tcW w:w="393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2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7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1" w:hRule="atLeast"/>
          <w:jc w:val="center"/>
        </w:trPr>
        <w:tc>
          <w:tcPr>
            <w:tcW w:w="3933"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r>
              <w:rPr>
                <w:rFonts w:ascii="SimSun" w:hAnsi="SimSun" w:eastAsia="SimSun" w:cs="SimSun"/>
                <w:color w:val="000000"/>
                <w:kern w:val="0"/>
                <w:sz w:val="20"/>
                <w:szCs w:val="20"/>
              </w:rPr>
              <w:t>迁安高新技术产业开发区管理委员会</w:t>
            </w:r>
          </w:p>
        </w:tc>
        <w:tc>
          <w:tcPr>
            <w:tcW w:w="5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2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7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5739"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收入</w:t>
            </w:r>
          </w:p>
        </w:tc>
        <w:tc>
          <w:tcPr>
            <w:tcW w:w="517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0"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行次</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金额</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行次</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一、一般公共预算财政拨款收入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9,776.87</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一、一般公共服务支出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29</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53.05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二、政府性基金预算财政拨款收入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二、外交支出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30</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2"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三、上级补助收入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三、国防支出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31</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四、事业收入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四、公共安全支出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32</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五、经营收入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五、教育支出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33</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六、附属单位上缴收入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六、科学技术支出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34</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943.49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七、其他收入</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7</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七、文化旅游体育与传媒支出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35</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8</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八、社会保障和就业支出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36</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9</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九、卫生健康支出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37</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10</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十、节能环保支出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38</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十一、城乡社区支出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39</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13,261.56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十二、农林水支出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40</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十三、交通运输支出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41</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十四、资源勘探信息等支出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42</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十五、商业服务业等支出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43</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十六、金融支出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44</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17</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十七、援助其他地区支出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45</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18</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十八、自然资源海洋气象等支出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46</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19</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十九、住房保障支出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47</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20</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二十、粮油物资储备支出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48</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二十一、灾害防治及应急管理支出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49</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二十二、其他支出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50</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二十四、债务付息支出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51</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本年收入合计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17,112.68</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本年支出合计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52</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16,721.09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用事业基金弥补收支差额</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结余分配</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53</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年初结转和结余</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695.11</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年末结转和结余</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54</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1,086.70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27</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55</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93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总计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28</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17,807.80</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总计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56</w:t>
            </w:r>
          </w:p>
        </w:tc>
        <w:tc>
          <w:tcPr>
            <w:tcW w:w="11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17,807.80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10909"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ascii="SimSun" w:hAnsi="SimSun" w:eastAsia="SimSun" w:cs="SimSun"/>
                <w:color w:val="000000"/>
                <w:kern w:val="0"/>
                <w:sz w:val="22"/>
              </w:rPr>
            </w:pPr>
            <w:r>
              <w:rPr>
                <w:rFonts w:hint="eastAsia" w:ascii="SimSun" w:hAnsi="SimSun" w:eastAsia="SimSun" w:cs="SimSun"/>
                <w:color w:val="000000"/>
                <w:kern w:val="0"/>
                <w:sz w:val="22"/>
              </w:rPr>
              <w:t>注：本表反映部门本年度的总收支和年末结转结余情况。</w:t>
            </w:r>
          </w:p>
          <w:p>
            <w:pPr>
              <w:widowControl/>
              <w:jc w:val="left"/>
              <w:textAlignment w:val="center"/>
              <w:rPr>
                <w:rFonts w:ascii="SimSun" w:hAnsi="SimSun" w:eastAsia="SimSun" w:cs="SimSun"/>
                <w:color w:val="000000"/>
                <w:kern w:val="0"/>
                <w:sz w:val="22"/>
              </w:rPr>
            </w:pPr>
          </w:p>
          <w:p>
            <w:pPr>
              <w:widowControl/>
              <w:jc w:val="left"/>
              <w:textAlignment w:val="center"/>
              <w:rPr>
                <w:rFonts w:ascii="SimSun" w:hAnsi="SimSun" w:eastAsia="SimSun" w:cs="SimSun"/>
                <w:color w:val="000000"/>
                <w:kern w:val="0"/>
                <w:sz w:val="22"/>
              </w:rPr>
            </w:pPr>
          </w:p>
        </w:tc>
      </w:tr>
    </w:tbl>
    <w:tbl>
      <w:tblPr>
        <w:tblStyle w:val="7"/>
        <w:tblW w:w="1009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09"/>
        <w:gridCol w:w="57"/>
        <w:gridCol w:w="58"/>
        <w:gridCol w:w="3230"/>
        <w:gridCol w:w="1028"/>
        <w:gridCol w:w="1028"/>
        <w:gridCol w:w="737"/>
        <w:gridCol w:w="737"/>
        <w:gridCol w:w="737"/>
        <w:gridCol w:w="737"/>
        <w:gridCol w:w="7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jc w:val="center"/>
        </w:trPr>
        <w:tc>
          <w:tcPr>
            <w:tcW w:w="10097"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SimHei" w:hAnsi="SimSun" w:eastAsia="SimHei" w:cs="SimHei"/>
                <w:color w:val="000000"/>
                <w:kern w:val="0"/>
                <w:sz w:val="32"/>
                <w:szCs w:val="32"/>
              </w:rPr>
            </w:pPr>
          </w:p>
          <w:p>
            <w:pPr>
              <w:widowControl/>
              <w:jc w:val="center"/>
              <w:textAlignment w:val="bottom"/>
              <w:rPr>
                <w:rFonts w:ascii="SimHei" w:hAnsi="SimSun" w:eastAsia="SimHei" w:cs="SimHei"/>
                <w:color w:val="000000"/>
                <w:sz w:val="32"/>
                <w:szCs w:val="32"/>
              </w:rPr>
            </w:pPr>
            <w:r>
              <w:rPr>
                <w:rFonts w:hint="eastAsia" w:ascii="SimHei" w:hAnsi="SimSun" w:eastAsia="SimHei" w:cs="SimHei"/>
                <w:color w:val="000000"/>
                <w:kern w:val="0"/>
                <w:sz w:val="32"/>
                <w:szCs w:val="32"/>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10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2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7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1009"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2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ascii="SimSun" w:hAnsi="SimSun" w:eastAsia="SimSun" w:cs="SimSun"/>
                <w:color w:val="000000"/>
                <w:kern w:val="0"/>
                <w:sz w:val="20"/>
                <w:szCs w:val="20"/>
              </w:rPr>
              <w:t>迁安高新技术产业开发区管理委员会</w:t>
            </w:r>
          </w:p>
        </w:tc>
        <w:tc>
          <w:tcPr>
            <w:tcW w:w="10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13"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435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102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本年收入合计</w:t>
            </w:r>
          </w:p>
        </w:tc>
        <w:tc>
          <w:tcPr>
            <w:tcW w:w="102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财政拨款收入</w:t>
            </w:r>
          </w:p>
        </w:tc>
        <w:tc>
          <w:tcPr>
            <w:tcW w:w="73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上级补助收入</w:t>
            </w:r>
          </w:p>
        </w:tc>
        <w:tc>
          <w:tcPr>
            <w:tcW w:w="73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事业收入</w:t>
            </w:r>
          </w:p>
        </w:tc>
        <w:tc>
          <w:tcPr>
            <w:tcW w:w="73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经营收入</w:t>
            </w:r>
          </w:p>
        </w:tc>
        <w:tc>
          <w:tcPr>
            <w:tcW w:w="73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附属单位上缴收入</w:t>
            </w:r>
          </w:p>
        </w:tc>
        <w:tc>
          <w:tcPr>
            <w:tcW w:w="73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功能分类科目编码</w:t>
            </w:r>
          </w:p>
        </w:tc>
        <w:tc>
          <w:tcPr>
            <w:tcW w:w="32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32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32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3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435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435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17,112.68</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17,112.68</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一般公共服务支出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商贸事务</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2011308</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招商引资</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50.00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科学技术支出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984.69</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984.69</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技术研究与开发</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2060404</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科技成果转化与扩散</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科技条件与服务</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924.51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924.51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2060502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技术创新服务体系</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754.21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754.21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其他科技条件与服务支出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170.30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170.30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社会保障和就业支出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92.69</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92.69</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行政事业单位离退休</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91.10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91.10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2080505</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机关事业单位基本养老保险缴费支出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85.22</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85.22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2080506</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机关事业单位职业年金缴费支出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其他社会保障和就业支出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其他社会保障和就业支出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卫生健康支出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行政事业单位医疗</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2101102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事业单位医疗</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节能环保支出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21103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污染防治</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2110301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大气</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19.50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13,291.31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13,291.31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城乡社区管理事务</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其他城乡社区管理事务支出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城乡社区公共设施</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5,895.50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5,895.50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2120303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小城镇基础设施建设</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3,893.30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3,893.30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其他城乡社区公共设施支出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2,002.20</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2,002.20</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国有土地使用权出让收入及对应专项债务收入安排的支出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2120802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土地开发支出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6,281.12</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6,281.12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其他国有土地使用权出让收入安排的支出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商业服务业等支出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其他商业服务业等支出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2169999</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其他商业服务业等支出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2,591.12</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住房保障支出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住房改革支出</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住房公积金</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10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32.41</w:t>
            </w: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73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0097" w:type="dxa"/>
            <w:gridSpan w:val="11"/>
            <w:tcBorders>
              <w:top w:val="nil"/>
              <w:left w:val="nil"/>
              <w:bottom w:val="nil"/>
              <w:right w:val="nil"/>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注：本表反映部门本年度取得的各项收入情况。</w:t>
            </w:r>
          </w:p>
        </w:tc>
      </w:tr>
    </w:tbl>
    <w:p>
      <w:pPr>
        <w:jc w:val="left"/>
      </w:pPr>
    </w:p>
    <w:p>
      <w:r>
        <w:br w:type="page"/>
      </w:r>
    </w:p>
    <w:tbl>
      <w:tblPr>
        <w:tblStyle w:val="7"/>
        <w:tblW w:w="96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41"/>
        <w:gridCol w:w="53"/>
        <w:gridCol w:w="111"/>
        <w:gridCol w:w="2663"/>
        <w:gridCol w:w="1140"/>
        <w:gridCol w:w="1035"/>
        <w:gridCol w:w="1140"/>
        <w:gridCol w:w="960"/>
        <w:gridCol w:w="660"/>
        <w:gridCol w:w="9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SimHei" w:hAnsi="SimSun" w:eastAsia="SimHei" w:cs="SimHei"/>
                <w:color w:val="000000"/>
                <w:sz w:val="32"/>
                <w:szCs w:val="32"/>
              </w:rPr>
            </w:pPr>
            <w:r>
              <w:rPr>
                <w:rFonts w:hint="eastAsia" w:ascii="SimHei" w:hAnsi="SimSun" w:eastAsia="SimHei" w:cs="SimHei"/>
                <w:color w:val="000000"/>
                <w:kern w:val="0"/>
                <w:sz w:val="32"/>
                <w:szCs w:val="32"/>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6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3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77" w:type="dxa"/>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803" w:type="dxa"/>
            <w:gridSpan w:val="2"/>
            <w:tcBorders>
              <w:top w:val="nil"/>
              <w:left w:val="nil"/>
              <w:bottom w:val="nil"/>
            </w:tcBorders>
            <w:tcMar>
              <w:top w:w="15" w:type="dxa"/>
              <w:left w:w="15" w:type="dxa"/>
              <w:right w:w="15" w:type="dxa"/>
            </w:tcMar>
            <w:vAlign w:val="bottom"/>
          </w:tcPr>
          <w:p>
            <w:pPr>
              <w:rPr>
                <w:rFonts w:ascii="Arial" w:hAnsi="Arial" w:cs="Arial"/>
                <w:color w:val="000000"/>
                <w:sz w:val="20"/>
                <w:szCs w:val="20"/>
              </w:rPr>
            </w:pPr>
            <w:r>
              <w:rPr>
                <w:rFonts w:ascii="SimSun" w:hAnsi="SimSun" w:eastAsia="SimSun" w:cs="SimSun"/>
                <w:color w:val="000000"/>
                <w:kern w:val="0"/>
                <w:sz w:val="20"/>
                <w:szCs w:val="20"/>
              </w:rPr>
              <w:t>迁安高新技术产业开发区管理委员会</w:t>
            </w:r>
          </w:p>
        </w:tc>
        <w:tc>
          <w:tcPr>
            <w:tcW w:w="103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37"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3768"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11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本年支出合计</w:t>
            </w:r>
          </w:p>
        </w:tc>
        <w:tc>
          <w:tcPr>
            <w:tcW w:w="103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基本支出</w:t>
            </w:r>
          </w:p>
        </w:tc>
        <w:tc>
          <w:tcPr>
            <w:tcW w:w="11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项目支出</w:t>
            </w:r>
          </w:p>
        </w:tc>
        <w:tc>
          <w:tcPr>
            <w:tcW w:w="96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上缴上级支出</w:t>
            </w:r>
          </w:p>
        </w:tc>
        <w:tc>
          <w:tcPr>
            <w:tcW w:w="66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经营支出</w:t>
            </w:r>
          </w:p>
        </w:tc>
        <w:tc>
          <w:tcPr>
            <w:tcW w:w="97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功能分类科目编码</w:t>
            </w:r>
          </w:p>
        </w:tc>
        <w:tc>
          <w:tcPr>
            <w:tcW w:w="26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6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7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66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6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7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66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1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66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7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376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376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16,721.09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735.60</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15,985.49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一般公共服务支出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53.05</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商贸事务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2011308</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招商引资</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其他一般公共服务支出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2019999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其他一般公共服务支出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科学技术支出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943.49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381.06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技术研究与开发</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2060404</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科技成果转化与扩散</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科技条件与服务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883.30</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320.88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2060502</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技术创新服务体系</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750.38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187.95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其他科技条件与服务支出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132.93</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社会保障和就业支出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行政事业单位离退休</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85.60</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85.60</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2080505</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机关事业单位基本养老保险缴费支出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79.72</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79.72</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2080506</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机关事业单位职业年金缴费支出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其他社会保障和就业支出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2089901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其他社会保障和就业支出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卫生健康支出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行政事业单位医疗</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2101102</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事业单位医疗</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13,261.56</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0.00</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13,261.56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城乡社区管理事务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其他城乡社区管理事务支出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城乡社区公共设施</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5,176.63</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5,176.63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2120303</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小城镇基础设施建设</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3,888.30</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3,888.30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其他城乡社区公共设施支出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1,288.33</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1,288.33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国有土地使用权出让收入及对应专项债务收入安排的支出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2120802</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土地开发支出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6,971.19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6,971.19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其他国有土地使用权出让收入安排的支出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商业服务业等支出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其他商业服务业等支出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2169999</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其他商业服务业等支出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住房保障支出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住房改革支出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2210201</w:t>
            </w:r>
          </w:p>
        </w:tc>
        <w:tc>
          <w:tcPr>
            <w:tcW w:w="266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住房公积金</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0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9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注：本表反映部门本年度各项支出情况。</w:t>
            </w:r>
          </w:p>
        </w:tc>
      </w:tr>
    </w:tbl>
    <w:p>
      <w:r>
        <w:br w:type="page"/>
      </w:r>
    </w:p>
    <w:tbl>
      <w:tblPr>
        <w:tblStyle w:val="7"/>
        <w:tblW w:w="116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75"/>
        <w:gridCol w:w="66"/>
        <w:gridCol w:w="67"/>
        <w:gridCol w:w="1770"/>
        <w:gridCol w:w="795"/>
        <w:gridCol w:w="960"/>
        <w:gridCol w:w="836"/>
        <w:gridCol w:w="2249"/>
        <w:gridCol w:w="350"/>
        <w:gridCol w:w="393"/>
        <w:gridCol w:w="1093"/>
        <w:gridCol w:w="87"/>
        <w:gridCol w:w="828"/>
        <w:gridCol w:w="930"/>
        <w:gridCol w:w="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406" w:hRule="atLeast"/>
          <w:jc w:val="center"/>
        </w:trPr>
        <w:tc>
          <w:tcPr>
            <w:tcW w:w="11599" w:type="dxa"/>
            <w:gridSpan w:val="14"/>
            <w:tcBorders>
              <w:top w:val="nil"/>
              <w:left w:val="nil"/>
              <w:bottom w:val="nil"/>
              <w:right w:val="nil"/>
            </w:tcBorders>
            <w:tcMar>
              <w:top w:w="15" w:type="dxa"/>
              <w:left w:w="15" w:type="dxa"/>
              <w:right w:w="15" w:type="dxa"/>
            </w:tcMar>
            <w:vAlign w:val="bottom"/>
          </w:tcPr>
          <w:p>
            <w:pPr>
              <w:jc w:val="center"/>
              <w:rPr>
                <w:rFonts w:ascii="SimHei" w:hAnsi="SimSun" w:eastAsia="SimHei" w:cs="SimHei"/>
                <w:color w:val="000000"/>
                <w:sz w:val="32"/>
                <w:szCs w:val="32"/>
              </w:rPr>
            </w:pPr>
            <w:r>
              <w:rPr>
                <w:rFonts w:hint="eastAsia" w:ascii="SimHei" w:hAnsi="SimSun" w:eastAsia="SimHei" w:cs="SimHei"/>
                <w:color w:val="000000"/>
                <w:kern w:val="0"/>
                <w:sz w:val="32"/>
                <w:szCs w:val="32"/>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435"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38"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4833" w:type="dxa"/>
            <w:gridSpan w:val="6"/>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部门：迁安高新技术产业开发区管理委员会</w:t>
            </w:r>
          </w:p>
        </w:tc>
        <w:tc>
          <w:tcPr>
            <w:tcW w:w="3435"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38"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4833"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收     入</w:t>
            </w:r>
          </w:p>
        </w:tc>
        <w:tc>
          <w:tcPr>
            <w:tcW w:w="6766" w:type="dxa"/>
            <w:gridSpan w:val="8"/>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312" w:hRule="atLeast"/>
          <w:jc w:val="center"/>
        </w:trPr>
        <w:tc>
          <w:tcPr>
            <w:tcW w:w="3078"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79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行次</w:t>
            </w:r>
          </w:p>
        </w:tc>
        <w:tc>
          <w:tcPr>
            <w:tcW w:w="9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金额</w:t>
            </w:r>
          </w:p>
        </w:tc>
        <w:tc>
          <w:tcPr>
            <w:tcW w:w="3435"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39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行次</w:t>
            </w:r>
          </w:p>
        </w:tc>
        <w:tc>
          <w:tcPr>
            <w:tcW w:w="109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91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18"/>
                <w:szCs w:val="18"/>
              </w:rPr>
            </w:pPr>
            <w:r>
              <w:rPr>
                <w:rFonts w:hint="eastAsia" w:ascii="SimSun" w:hAnsi="SimSun" w:eastAsia="SimSun" w:cs="SimSun"/>
                <w:color w:val="000000"/>
                <w:kern w:val="0"/>
                <w:sz w:val="18"/>
                <w:szCs w:val="18"/>
              </w:rPr>
              <w:t>一般公共预算财政拨款</w:t>
            </w:r>
          </w:p>
        </w:tc>
        <w:tc>
          <w:tcPr>
            <w:tcW w:w="9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18"/>
                <w:szCs w:val="18"/>
              </w:rPr>
            </w:pPr>
            <w:r>
              <w:rPr>
                <w:rFonts w:hint="eastAsia" w:ascii="SimSun" w:hAnsi="SimSun" w:eastAsia="SimSun" w:cs="SimSun"/>
                <w:color w:val="000000"/>
                <w:kern w:val="0"/>
                <w:sz w:val="18"/>
                <w:szCs w:val="18"/>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312" w:hRule="atLeast"/>
          <w:jc w:val="center"/>
        </w:trPr>
        <w:tc>
          <w:tcPr>
            <w:tcW w:w="3078"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9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6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343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39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9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1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Cs w:val="21"/>
              </w:rPr>
            </w:pPr>
            <w:r>
              <w:rPr>
                <w:rFonts w:hint="eastAsia" w:ascii="SimSun" w:hAnsi="SimSun" w:eastAsia="SimSun" w:cs="SimSun"/>
                <w:color w:val="000000"/>
                <w:kern w:val="0"/>
                <w:szCs w:val="21"/>
              </w:rPr>
              <w:t>栏次</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一、一般公共预算财政拨款</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9,776.87</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一、一般公共服务支出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30</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53.05</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53.05</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二、政府性基金预算财政拨款</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二、外交支出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31</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三、国防支出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32</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四、公共安全支出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33</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五、教育支出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34</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六、科学技术支出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35</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943.49</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943.49</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七、文化旅游体育与传媒支出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36</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八、社会保障和就业支出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37</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九、卫生健康支出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38</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十、节能环保支出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39</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十一、城乡社区支出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40</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13,261.56</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5,235.67</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十二、农林水支出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41</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十三、交通运输支出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42</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十四、资源勘探信息等支出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43</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十五、商业服务业等支出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44</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十六、金融支出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45</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十七、援助其他地区支出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46</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Cs w:val="21"/>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Cs w:val="21"/>
              </w:rPr>
            </w:pPr>
            <w:r>
              <w:rPr>
                <w:rFonts w:hint="eastAsia" w:ascii="SimSun" w:hAnsi="SimSun" w:eastAsia="SimSun" w:cs="SimSun"/>
                <w:color w:val="000000"/>
                <w:kern w:val="0"/>
                <w:szCs w:val="21"/>
              </w:rPr>
              <w:t>十八、自然资源海洋气象等支出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47</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十九、住房保障支出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48</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二十、粮油物资储备支出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49</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Cs w:val="21"/>
              </w:rPr>
            </w:pPr>
            <w:r>
              <w:rPr>
                <w:rFonts w:hint="eastAsia" w:ascii="SimSun" w:hAnsi="SimSun" w:eastAsia="SimSun" w:cs="SimSun"/>
                <w:color w:val="000000"/>
                <w:kern w:val="0"/>
                <w:sz w:val="20"/>
                <w:szCs w:val="20"/>
              </w:rPr>
              <w:t>二十一、灾害防治及应急管理支出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50</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二十二、其他支出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51</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二十四、债务付息支出</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52</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本年收入合计</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17,112.68</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本年支出合计</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53</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16,721.09</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8,695.21</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年初财政拨款结转和结余</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695.11</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年末财政拨款结转和结余</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54</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1,086.70</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1,086.70</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一、一般公共预算财政拨款</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55</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二、政府性基金预算财政拨款</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690.08</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56</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57</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307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总计</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17,807.80</w:t>
            </w:r>
          </w:p>
        </w:tc>
        <w:tc>
          <w:tcPr>
            <w:tcW w:w="343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b/>
                <w:color w:val="000000"/>
                <w:sz w:val="22"/>
              </w:rPr>
            </w:pPr>
            <w:r>
              <w:rPr>
                <w:rFonts w:hint="eastAsia" w:ascii="SimSun" w:hAnsi="SimSun" w:eastAsia="SimSun" w:cs="SimSun"/>
                <w:b/>
                <w:color w:val="000000"/>
                <w:kern w:val="0"/>
                <w:sz w:val="22"/>
              </w:rPr>
              <w:t>总计</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58</w:t>
            </w:r>
          </w:p>
        </w:tc>
        <w:tc>
          <w:tcPr>
            <w:tcW w:w="10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17,807.80</w:t>
            </w:r>
          </w:p>
        </w:tc>
        <w:tc>
          <w:tcPr>
            <w:tcW w:w="9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9,781.91</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6" w:type="dxa"/>
          <w:trHeight w:val="90" w:hRule="atLeast"/>
          <w:jc w:val="center"/>
        </w:trPr>
        <w:tc>
          <w:tcPr>
            <w:tcW w:w="11599" w:type="dxa"/>
            <w:gridSpan w:val="14"/>
            <w:tcBorders>
              <w:top w:val="nil"/>
              <w:left w:val="nil"/>
              <w:bottom w:val="nil"/>
              <w:right w:val="nil"/>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注：本表反映部门本年度一般公共预算财政拨款和政府性基金预算财政拨款的总收支和年末结转结余情况。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4" w:hRule="atLeast"/>
          <w:jc w:val="center"/>
        </w:trPr>
        <w:tc>
          <w:tcPr>
            <w:tcW w:w="11625" w:type="dxa"/>
            <w:gridSpan w:val="15"/>
            <w:tcBorders>
              <w:top w:val="nil"/>
              <w:left w:val="nil"/>
              <w:bottom w:val="nil"/>
              <w:right w:val="nil"/>
            </w:tcBorders>
            <w:tcMar>
              <w:top w:w="15" w:type="dxa"/>
              <w:left w:w="15" w:type="dxa"/>
              <w:right w:w="15" w:type="dxa"/>
            </w:tcMar>
            <w:vAlign w:val="center"/>
          </w:tcPr>
          <w:p>
            <w:pPr>
              <w:rPr>
                <w:rFonts w:ascii="SimHei" w:hAnsi="SimSun" w:eastAsia="SimHei" w:cs="SimHei"/>
                <w:color w:val="000000"/>
                <w:sz w:val="32"/>
                <w:szCs w:val="32"/>
              </w:rPr>
            </w:pPr>
            <w:r>
              <w:br w:type="page"/>
            </w:r>
            <w:r>
              <w:rPr>
                <w:rFonts w:hint="eastAsia" w:ascii="SimHei" w:hAnsi="SimSun" w:eastAsia="SimHei" w:cs="SimHei"/>
                <w:color w:val="000000"/>
                <w:kern w:val="0"/>
                <w:sz w:val="32"/>
                <w:szCs w:val="32"/>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1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61"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4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07" w:type="dxa"/>
            <w:gridSpan w:val="7"/>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175"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61"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迁安高新技术产业开发区管理委员会</w:t>
            </w:r>
          </w:p>
        </w:tc>
        <w:tc>
          <w:tcPr>
            <w:tcW w:w="224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07" w:type="dxa"/>
            <w:gridSpan w:val="7"/>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669"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5956" w:type="dxa"/>
            <w:gridSpan w:val="8"/>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功能分类科目编码</w:t>
            </w:r>
          </w:p>
        </w:tc>
        <w:tc>
          <w:tcPr>
            <w:tcW w:w="4361"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224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小计</w:t>
            </w:r>
          </w:p>
        </w:tc>
        <w:tc>
          <w:tcPr>
            <w:tcW w:w="1923"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基本支出</w:t>
            </w:r>
          </w:p>
        </w:tc>
        <w:tc>
          <w:tcPr>
            <w:tcW w:w="1784"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4361"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24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923"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784"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4361"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24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923"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784"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669"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669"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8,695.21</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735.60</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7,959.60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一般公共服务支出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53.05</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商贸事务</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2011308</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招商引资</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48.01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其他一般公共服务支出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2019999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其他一般公共服务支出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5.04</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科学技术支出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943.49</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381.06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技术研究与开发</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2060404</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科技成果转化与扩散</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科技条件与服务</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883.30</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320.88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2060502</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技术创新服务体系</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750.38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562.43</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187.95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2060599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其他科技条件与服务支出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132.93</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132.93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社会保障和就业支出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87.19</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行政事业单位离退休</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85.60</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85.60</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2080505</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机关事业单位基本养老保险缴费支出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79.72</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79.72</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2080506</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机关事业单位职业年金缴费支出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5.88</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其他社会保障和就业支出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2089901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其他社会保障和就业支出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1.59</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卫生健康支出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行政事业单位医疗</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2101102</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事业单位医疗</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50.97</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5,235.67</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5,235.67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城乡社区管理事务</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2120199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其他城乡社区管理事务支出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城乡社区公共设施</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5,176.63</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5,176.63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2120303</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小城镇基础设施建设</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3,888.30</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3,888.30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2120399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其他城乡社区公共设施支出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1,288.33</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1,288.33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商业服务业等支出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其他商业服务业等支出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2169999</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其他商业服务业等支出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2,294.86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住房保障支出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住房改革支出</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2210201</w:t>
            </w:r>
          </w:p>
        </w:tc>
        <w:tc>
          <w:tcPr>
            <w:tcW w:w="43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住房公积金</w:t>
            </w:r>
          </w:p>
        </w:tc>
        <w:tc>
          <w:tcPr>
            <w:tcW w:w="224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92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29.98</w:t>
            </w:r>
          </w:p>
        </w:tc>
        <w:tc>
          <w:tcPr>
            <w:tcW w:w="17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bl>
    <w:p>
      <w:r>
        <w:br w:type="page"/>
      </w:r>
    </w:p>
    <w:tbl>
      <w:tblPr>
        <w:tblStyle w:val="7"/>
        <w:tblW w:w="1065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17"/>
        <w:gridCol w:w="2175"/>
        <w:gridCol w:w="719"/>
        <w:gridCol w:w="631"/>
        <w:gridCol w:w="1960"/>
        <w:gridCol w:w="630"/>
        <w:gridCol w:w="945"/>
        <w:gridCol w:w="2285"/>
        <w:gridCol w:w="5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jc w:val="center"/>
        </w:trPr>
        <w:tc>
          <w:tcPr>
            <w:tcW w:w="10657"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SimHei" w:hAnsi="SimSun" w:eastAsia="SimHei" w:cs="SimHei"/>
                <w:color w:val="000000"/>
                <w:sz w:val="32"/>
                <w:szCs w:val="32"/>
              </w:rPr>
            </w:pPr>
            <w:r>
              <w:rPr>
                <w:rFonts w:hint="eastAsia" w:ascii="SimHei" w:hAnsi="SimSun" w:eastAsia="SimHei" w:cs="SimHei"/>
                <w:color w:val="000000"/>
                <w:kern w:val="0"/>
                <w:sz w:val="32"/>
                <w:szCs w:val="32"/>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7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1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1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3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18"/>
                <w:szCs w:val="18"/>
              </w:rPr>
            </w:pPr>
            <w:r>
              <w:rPr>
                <w:rFonts w:hint="eastAsia" w:ascii="SimSun" w:hAnsi="SimSun" w:eastAsia="SimSun" w:cs="SimSun"/>
                <w:color w:val="000000"/>
                <w:kern w:val="0"/>
                <w:sz w:val="18"/>
                <w:szCs w:val="18"/>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717"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3525"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迁安高新技术产业开发区管理委员会</w:t>
            </w:r>
          </w:p>
        </w:tc>
        <w:tc>
          <w:tcPr>
            <w:tcW w:w="1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18"/>
                <w:szCs w:val="18"/>
              </w:rPr>
            </w:pPr>
            <w:r>
              <w:rPr>
                <w:rFonts w:hint="eastAsia" w:ascii="SimSun" w:hAnsi="SimSun" w:eastAsia="SimSun" w:cs="SimSun"/>
                <w:color w:val="000000"/>
                <w:kern w:val="0"/>
                <w:sz w:val="18"/>
                <w:szCs w:val="18"/>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人员经费</w:t>
            </w:r>
          </w:p>
        </w:tc>
        <w:tc>
          <w:tcPr>
            <w:tcW w:w="7046"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717"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kern w:val="0"/>
                <w:sz w:val="22"/>
              </w:rPr>
            </w:pPr>
            <w:r>
              <w:rPr>
                <w:rFonts w:hint="eastAsia" w:ascii="SimSun" w:hAnsi="SimSun" w:eastAsia="SimSun" w:cs="SimSun"/>
                <w:color w:val="000000"/>
                <w:kern w:val="0"/>
                <w:sz w:val="22"/>
              </w:rPr>
              <w:t>科目</w:t>
            </w:r>
          </w:p>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编码</w:t>
            </w:r>
          </w:p>
        </w:tc>
        <w:tc>
          <w:tcPr>
            <w:tcW w:w="217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71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决算数</w:t>
            </w:r>
          </w:p>
        </w:tc>
        <w:tc>
          <w:tcPr>
            <w:tcW w:w="63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科目编码</w:t>
            </w:r>
          </w:p>
        </w:tc>
        <w:tc>
          <w:tcPr>
            <w:tcW w:w="19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6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决算数</w:t>
            </w:r>
          </w:p>
        </w:tc>
        <w:tc>
          <w:tcPr>
            <w:tcW w:w="94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kern w:val="0"/>
                <w:sz w:val="22"/>
              </w:rPr>
            </w:pPr>
            <w:r>
              <w:rPr>
                <w:rFonts w:hint="eastAsia" w:ascii="SimSun" w:hAnsi="SimSun" w:eastAsia="SimSun" w:cs="SimSun"/>
                <w:color w:val="000000"/>
                <w:kern w:val="0"/>
                <w:sz w:val="22"/>
              </w:rPr>
              <w:t>科目</w:t>
            </w:r>
          </w:p>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编码</w:t>
            </w:r>
          </w:p>
        </w:tc>
        <w:tc>
          <w:tcPr>
            <w:tcW w:w="228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59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jc w:val="center"/>
        </w:trPr>
        <w:tc>
          <w:tcPr>
            <w:tcW w:w="717"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17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71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63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96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6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9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228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59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工资福利支出</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662.58</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商品和服务支出</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72.57</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307</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债务利息及费用支出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30101</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基本工资</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260.30</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30201</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办公费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15.89</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30701</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国内债务付息</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30102</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津贴补贴</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63.18</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30202</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印刷费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30702</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国外债务付息</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30103</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奖金</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86.81</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30203</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咨询费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资本性支出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30106</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伙食补助费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30204</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手续费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31001</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房屋建筑物购建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30107</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绩效工资</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75.28</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30205</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水费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31002</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办公设备购置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30108</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机关事业单位基本养老保险缴费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81.66</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30206</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电费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31003</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专用设备购置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30109</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职业年金缴费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5.88</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30207</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邮电费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20.08</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31005</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基础设施建设</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30110</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职工基本医疗保险缴费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33.81</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30208</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取暖费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6.50</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31006</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大型修缮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30111</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公务员医疗补助缴费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17.33</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30209</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物业管理费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31007</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信息网络及软件购置更新</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30112</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其他社会保障缴费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2.59</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30211</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差旅费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1.67</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31008</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物资储备</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30113</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住房公积金</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31.11</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30212</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因公出国（境）费用</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31009</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土地补偿</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30114</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医疗费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30213</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维修（护）费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31010</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安置补助</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30199</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其他工资福利支出</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4.63</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30214</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租赁费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0.06</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31011</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地上附着物和青苗补偿</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对个人和家庭的补助</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0.46</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30215</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会议费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31012</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拆迁补偿</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30301</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离休费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30216</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培训费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31013</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公务用车购置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30302</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退休费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公务接待费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31019</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其他交通工具购置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30303</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退职（役）费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30218</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专用材料费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31021</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文物和陈列品购置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30304</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抚恤金</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30224</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被装购置费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31022</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无形资产购置</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30305</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生活补助</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30225</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专用燃料费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31099</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其他资本性支出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30306</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救济费</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30226</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劳务费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4.29</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399</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其他支出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30307</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医疗费补助</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30227</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委托业务费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1.50</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39906</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赠与</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30308</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助学金</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30228</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工会经费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5.41</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39907</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国家赔偿费用支出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30309</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奖励金</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0.46</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30229</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福利费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9.18</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39908</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w:t>
            </w:r>
            <w:r>
              <w:rPr>
                <w:rFonts w:hint="eastAsia" w:ascii="SimSun" w:hAnsi="SimSun" w:eastAsia="SimSun" w:cs="SimSun"/>
                <w:color w:val="000000"/>
                <w:kern w:val="0"/>
                <w:sz w:val="18"/>
                <w:szCs w:val="18"/>
              </w:rPr>
              <w:t xml:space="preserve"> 对民间非营利组织和群众性自治组织补贴</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30310</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个人农业生产补贴</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30231</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公务用车运行维护费</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5.65</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39999</w:t>
            </w: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其他支出</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30399</w:t>
            </w: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其他对个人和家庭的补助</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30239</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其他交通费用</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2.27</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　</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30240</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税金及附加费用</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7" w:hRule="atLeast"/>
          <w:jc w:val="center"/>
        </w:trPr>
        <w:tc>
          <w:tcPr>
            <w:tcW w:w="7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217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　</w:t>
            </w:r>
          </w:p>
        </w:tc>
        <w:tc>
          <w:tcPr>
            <w:tcW w:w="63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30299</w:t>
            </w:r>
          </w:p>
        </w:tc>
        <w:tc>
          <w:tcPr>
            <w:tcW w:w="19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 xml:space="preserve"> 其他商品和服务支出</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0.08</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228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SimSun" w:hAnsi="SimSun" w:eastAsia="SimSun" w:cs="SimSun"/>
                <w:color w:val="000000"/>
                <w:sz w:val="20"/>
                <w:szCs w:val="20"/>
              </w:rPr>
            </w:pP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89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人员经费合计</w:t>
            </w: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0"/>
                <w:szCs w:val="20"/>
              </w:rPr>
            </w:pPr>
            <w:r>
              <w:rPr>
                <w:rFonts w:hint="eastAsia" w:ascii="SimSun" w:hAnsi="SimSun" w:eastAsia="SimSun" w:cs="SimSun"/>
                <w:color w:val="000000"/>
                <w:kern w:val="0"/>
                <w:sz w:val="22"/>
              </w:rPr>
              <w:t>663.04</w:t>
            </w:r>
          </w:p>
        </w:tc>
        <w:tc>
          <w:tcPr>
            <w:tcW w:w="6451"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SimSun" w:hAnsi="SimSun" w:eastAsia="SimSun" w:cs="SimSun"/>
                <w:color w:val="000000"/>
                <w:sz w:val="20"/>
                <w:szCs w:val="20"/>
              </w:rPr>
            </w:pPr>
            <w:r>
              <w:rPr>
                <w:rFonts w:hint="eastAsia" w:ascii="SimSun" w:hAnsi="SimSun" w:eastAsia="SimSun" w:cs="SimSun"/>
                <w:color w:val="000000"/>
                <w:kern w:val="0"/>
                <w:sz w:val="20"/>
                <w:szCs w:val="20"/>
              </w:rPr>
              <w:t>公用经费合计</w:t>
            </w:r>
          </w:p>
        </w:tc>
        <w:tc>
          <w:tcPr>
            <w:tcW w:w="595"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SimSun" w:hAnsi="SimSun" w:eastAsia="SimSun" w:cs="SimSun"/>
                <w:color w:val="000000"/>
                <w:sz w:val="20"/>
                <w:szCs w:val="20"/>
              </w:rPr>
            </w:pPr>
            <w:r>
              <w:rPr>
                <w:rFonts w:hint="eastAsia" w:ascii="SimSun" w:hAnsi="SimSun" w:eastAsia="SimSun" w:cs="SimSun"/>
                <w:color w:val="000000"/>
                <w:sz w:val="22"/>
              </w:rPr>
              <w:t>72.57</w:t>
            </w:r>
          </w:p>
        </w:tc>
      </w:tr>
    </w:tbl>
    <w:p>
      <w:r>
        <w:br w:type="page"/>
      </w:r>
    </w:p>
    <w:tbl>
      <w:tblPr>
        <w:tblStyle w:val="7"/>
        <w:tblW w:w="92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1686"/>
        <w:gridCol w:w="1565"/>
        <w:gridCol w:w="1565"/>
        <w:gridCol w:w="1565"/>
        <w:gridCol w:w="15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tcMar>
              <w:top w:w="15" w:type="dxa"/>
              <w:left w:w="15" w:type="dxa"/>
              <w:right w:w="15" w:type="dxa"/>
            </w:tcMar>
            <w:vAlign w:val="center"/>
          </w:tcPr>
          <w:p>
            <w:pPr>
              <w:widowControl/>
              <w:jc w:val="center"/>
              <w:textAlignment w:val="center"/>
              <w:rPr>
                <w:rFonts w:ascii="SimHei" w:hAnsi="SimSun" w:eastAsia="SimHei" w:cs="SimHei"/>
                <w:color w:val="000000"/>
                <w:sz w:val="32"/>
                <w:szCs w:val="32"/>
              </w:rPr>
            </w:pPr>
            <w:r>
              <w:rPr>
                <w:rFonts w:hint="eastAsia" w:ascii="SimHei" w:hAnsi="SimSun" w:eastAsia="SimHei" w:cs="SimHei"/>
                <w:color w:val="000000"/>
                <w:kern w:val="0"/>
                <w:sz w:val="32"/>
                <w:szCs w:val="32"/>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部门：迁安高新技术产业开发区管理委员会</w:t>
            </w: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6.00</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5.65</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5.65</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5.65</w:t>
            </w:r>
          </w:p>
        </w:tc>
        <w:tc>
          <w:tcPr>
            <w:tcW w:w="1572"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bl>
    <w:p>
      <w:r>
        <w:rPr>
          <w:rFonts w:hint="eastAsia" w:ascii="SimSun" w:hAnsi="SimSun" w:eastAsia="SimSun" w:cs="SimSun"/>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1071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18"/>
        <w:gridCol w:w="59"/>
        <w:gridCol w:w="59"/>
        <w:gridCol w:w="1674"/>
        <w:gridCol w:w="1317"/>
        <w:gridCol w:w="1317"/>
        <w:gridCol w:w="1317"/>
        <w:gridCol w:w="1317"/>
        <w:gridCol w:w="1317"/>
        <w:gridCol w:w="13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10719"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SimHei" w:hAnsi="SimSun" w:eastAsia="SimHei" w:cs="SimHei"/>
                <w:color w:val="000000"/>
                <w:sz w:val="32"/>
                <w:szCs w:val="32"/>
              </w:rPr>
            </w:pPr>
            <w:r>
              <w:rPr>
                <w:rFonts w:hint="eastAsia" w:ascii="SimHei" w:hAnsi="SimSun" w:eastAsia="SimHei" w:cs="SimHei"/>
                <w:color w:val="000000"/>
                <w:kern w:val="0"/>
                <w:sz w:val="32"/>
                <w:szCs w:val="32"/>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1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4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18"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08"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迁安高新技术产业开发区管理委员会</w:t>
            </w: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4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81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w:t>
            </w:r>
          </w:p>
        </w:tc>
        <w:tc>
          <w:tcPr>
            <w:tcW w:w="131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年初结转和结余</w:t>
            </w:r>
          </w:p>
        </w:tc>
        <w:tc>
          <w:tcPr>
            <w:tcW w:w="131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本年收入</w:t>
            </w:r>
          </w:p>
        </w:tc>
        <w:tc>
          <w:tcPr>
            <w:tcW w:w="395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本年支出</w:t>
            </w:r>
          </w:p>
        </w:tc>
        <w:tc>
          <w:tcPr>
            <w:tcW w:w="132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功能分类科目编码</w:t>
            </w:r>
          </w:p>
        </w:tc>
        <w:tc>
          <w:tcPr>
            <w:tcW w:w="167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小计</w:t>
            </w:r>
          </w:p>
        </w:tc>
        <w:tc>
          <w:tcPr>
            <w:tcW w:w="131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基本支出</w:t>
            </w:r>
          </w:p>
        </w:tc>
        <w:tc>
          <w:tcPr>
            <w:tcW w:w="131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项目支出</w:t>
            </w:r>
          </w:p>
        </w:tc>
        <w:tc>
          <w:tcPr>
            <w:tcW w:w="132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6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2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6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1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c>
          <w:tcPr>
            <w:tcW w:w="132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8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4</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5</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8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690.08</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7,335.81</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8,025.89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r>
              <w:rPr>
                <w:rFonts w:hint="eastAsia" w:ascii="SimSun" w:hAnsi="SimSun" w:eastAsia="SimSun" w:cs="SimSun"/>
                <w:b/>
                <w:color w:val="000000"/>
                <w:kern w:val="0"/>
                <w:sz w:val="22"/>
              </w:rPr>
              <w:t>8,025.89</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w:t>
            </w:r>
          </w:p>
        </w:tc>
        <w:tc>
          <w:tcPr>
            <w:tcW w:w="16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城乡社区支出</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690.08</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w:t>
            </w:r>
          </w:p>
        </w:tc>
        <w:tc>
          <w:tcPr>
            <w:tcW w:w="16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国有土地使用权出让收入及对应专项债务收入安排的支出</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690.08</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7,335.81</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8,025.89</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2120802</w:t>
            </w:r>
          </w:p>
        </w:tc>
        <w:tc>
          <w:tcPr>
            <w:tcW w:w="16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土地开发支出</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690.08</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6,281.12</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6,971.19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6,971.19</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2120899</w:t>
            </w:r>
          </w:p>
        </w:tc>
        <w:tc>
          <w:tcPr>
            <w:tcW w:w="16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SimSun" w:hAnsi="SimSun" w:eastAsia="SimSun" w:cs="SimSun"/>
                <w:color w:val="000000"/>
                <w:sz w:val="22"/>
              </w:rPr>
            </w:pPr>
            <w:r>
              <w:rPr>
                <w:rFonts w:hint="eastAsia" w:ascii="SimSun" w:hAnsi="SimSun" w:eastAsia="SimSun" w:cs="SimSun"/>
                <w:color w:val="000000"/>
                <w:kern w:val="0"/>
                <w:sz w:val="22"/>
              </w:rPr>
              <w:t xml:space="preserve">  其他国有土地使用权出让收入安排的支出</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r>
              <w:rPr>
                <w:rFonts w:hint="eastAsia" w:ascii="SimSun" w:hAnsi="SimSun" w:eastAsia="SimSun" w:cs="SimSun"/>
                <w:color w:val="000000"/>
                <w:kern w:val="0"/>
                <w:sz w:val="22"/>
              </w:rPr>
              <w:t>1,054.69</w:t>
            </w: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16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3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32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bl>
    <w:p>
      <w:pPr>
        <w:widowControl/>
        <w:adjustRightInd w:val="0"/>
        <w:textAlignment w:val="center"/>
        <w:rPr>
          <w:rFonts w:ascii="SimSun" w:hAnsi="SimSun" w:cs="SimSun"/>
          <w:color w:val="000000"/>
          <w:kern w:val="0"/>
          <w:szCs w:val="21"/>
        </w:rPr>
      </w:pPr>
      <w:r>
        <w:rPr>
          <w:rFonts w:hint="eastAsia" w:ascii="SimSun" w:hAnsi="SimSun" w:cs="SimSun"/>
          <w:color w:val="000000"/>
          <w:kern w:val="0"/>
          <w:szCs w:val="21"/>
        </w:rPr>
        <w:t>注：本表反映部门本年度政府性基金预算财政拨款收入、支出及结转和结余情况。</w:t>
      </w:r>
    </w:p>
    <w:p>
      <w:r>
        <w:br w:type="page"/>
      </w:r>
    </w:p>
    <w:tbl>
      <w:tblPr>
        <w:tblStyle w:val="7"/>
        <w:tblW w:w="99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04"/>
        <w:gridCol w:w="57"/>
        <w:gridCol w:w="57"/>
        <w:gridCol w:w="5147"/>
        <w:gridCol w:w="749"/>
        <w:gridCol w:w="1450"/>
        <w:gridCol w:w="14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SimHei" w:hAnsi="SimSun" w:eastAsia="SimHei" w:cs="SimHei"/>
                <w:color w:val="000000"/>
                <w:sz w:val="32"/>
                <w:szCs w:val="32"/>
              </w:rPr>
            </w:pPr>
            <w:r>
              <w:rPr>
                <w:rFonts w:hint="eastAsia" w:ascii="SimHei" w:hAnsi="SimSun" w:eastAsia="SimHei" w:cs="SimHei"/>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0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4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0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04" w:type="dxa"/>
            <w:tcBorders>
              <w:top w:val="nil"/>
              <w:left w:val="nil"/>
              <w:bottom w:val="nil"/>
              <w:right w:val="nil"/>
            </w:tcBorders>
            <w:tcMar>
              <w:top w:w="15" w:type="dxa"/>
              <w:left w:w="15" w:type="dxa"/>
              <w:right w:w="15" w:type="dxa"/>
            </w:tcMar>
            <w:vAlign w:val="bottom"/>
          </w:tcPr>
          <w:p>
            <w:pPr>
              <w:widowControl/>
              <w:jc w:val="lef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部门：</w:t>
            </w: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4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SimSun" w:hAnsi="SimSun" w:eastAsia="SimSun" w:cs="SimSun"/>
                <w:color w:val="000000"/>
                <w:kern w:val="0"/>
                <w:sz w:val="20"/>
                <w:szCs w:val="20"/>
              </w:rPr>
              <w:t>迁安高新技术产业开发区管理委员会</w:t>
            </w:r>
          </w:p>
        </w:tc>
        <w:tc>
          <w:tcPr>
            <w:tcW w:w="74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0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SimSun" w:hAnsi="SimSun" w:eastAsia="SimSun" w:cs="SimSun"/>
                <w:color w:val="000000"/>
                <w:sz w:val="20"/>
                <w:szCs w:val="20"/>
              </w:rPr>
            </w:pPr>
            <w:r>
              <w:rPr>
                <w:rFonts w:hint="eastAsia" w:ascii="SimSun" w:hAnsi="SimSun" w:eastAsia="SimSun" w:cs="SimSun"/>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265"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w:t>
            </w:r>
          </w:p>
        </w:tc>
        <w:tc>
          <w:tcPr>
            <w:tcW w:w="36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功能分类科目编码</w:t>
            </w: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科目名称</w:t>
            </w: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小计</w:t>
            </w: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基本支出</w:t>
            </w: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26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栏次</w:t>
            </w: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1</w:t>
            </w: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2</w:t>
            </w: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26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SimSun" w:hAnsi="SimSun" w:eastAsia="SimSun" w:cs="SimSun"/>
                <w:color w:val="000000"/>
                <w:sz w:val="22"/>
              </w:rPr>
            </w:pPr>
            <w:r>
              <w:rPr>
                <w:rFonts w:hint="eastAsia" w:ascii="SimSun" w:hAnsi="SimSun" w:eastAsia="SimSun" w:cs="SimSun"/>
                <w:color w:val="000000"/>
                <w:kern w:val="0"/>
                <w:sz w:val="22"/>
              </w:rPr>
              <w:t>合计</w:t>
            </w: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1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514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SimSun" w:hAnsi="SimSun" w:eastAsia="SimSun" w:cs="SimSun"/>
                <w:color w:val="000000"/>
                <w:sz w:val="22"/>
              </w:rPr>
            </w:pPr>
          </w:p>
        </w:tc>
        <w:tc>
          <w:tcPr>
            <w:tcW w:w="74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c>
          <w:tcPr>
            <w:tcW w:w="14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SimSun" w:hAnsi="SimSun" w:eastAsia="SimSun" w:cs="SimSun"/>
                <w:color w:val="000000"/>
                <w:sz w:val="22"/>
              </w:rPr>
            </w:pPr>
          </w:p>
        </w:tc>
      </w:tr>
    </w:tbl>
    <w:p>
      <w:pPr>
        <w:widowControl/>
        <w:jc w:val="left"/>
        <w:textAlignment w:val="center"/>
        <w:rPr>
          <w:rFonts w:ascii="SimSun" w:hAnsi="SimSun" w:cs="SimSun"/>
          <w:color w:val="000000"/>
          <w:kern w:val="0"/>
          <w:sz w:val="22"/>
        </w:rPr>
      </w:pPr>
      <w:r>
        <w:rPr>
          <w:rFonts w:hint="eastAsia" w:ascii="SimSun" w:hAnsi="SimSun" w:cs="SimSun"/>
          <w:color w:val="000000"/>
          <w:kern w:val="0"/>
          <w:sz w:val="22"/>
        </w:rPr>
        <w:t>注：本表反映部门本年度国有资本经营预算财政拨款支出情况。</w:t>
      </w:r>
    </w:p>
    <w:p>
      <w:r>
        <w:rPr>
          <w:rFonts w:hint="eastAsia" w:ascii="SimSun" w:hAnsi="SimSun" w:cs="SimSun"/>
          <w:color w:val="000000"/>
          <w:kern w:val="0"/>
          <w:sz w:val="22"/>
        </w:rPr>
        <w:t xml:space="preserve">    本部门本年度无国有资本经营预算财政拨款支出情况，按要求以空表列示。</w:t>
      </w:r>
      <w:r>
        <w:br w:type="page"/>
      </w:r>
    </w:p>
    <w:p>
      <w:r>
        <w:rPr>
          <w:rFonts w:ascii="等线" w:hAnsi="等线" w:eastAsia="等线" w:cs="SimHei"/>
          <w:kern w:val="2"/>
          <w:sz w:val="21"/>
          <w:szCs w:val="22"/>
          <w:lang w:val="en-US" w:eastAsia="zh-CN" w:bidi="ar-SA"/>
        </w:rPr>
        <w:pict>
          <v:rect id="矩形 40" o:spid="_x0000_s1108" o:spt="1" style="position:absolute;left:0pt;margin-left:-70.5pt;margin-top:-85.25pt;height:841.15pt;width:595.1pt;z-index:251679744;mso-width-relative:page;mso-height-relative:page;" fillcolor="#FFC000" filled="t" o:preferrelative="t" stroked="f" coordsize="21600,21600">
            <v:path/>
            <v:fill on="t" focussize="0,0"/>
            <v:stroke on="f"/>
            <v:imagedata gain="65536f" blacklevel="0f" gamma="0" o:title=""/>
            <o:lock v:ext="edit" position="f" selection="f" grouping="f" rotation="f" cropping="f" text="f" aspectratio="f"/>
          </v:rect>
        </w:pict>
      </w:r>
    </w:p>
    <w:sectPr>
      <w:headerReference r:id="rId19" w:type="first"/>
      <w:headerReference r:id="rId18" w:type="default"/>
      <w:footerReference r:id="rId2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Microsoft YaHei"/>
    <w:panose1 w:val="02010600030101010101"/>
    <w:charset w:val="86"/>
    <w:family w:val="auto"/>
    <w:pitch w:val="default"/>
    <w:sig w:usb0="00000000" w:usb1="00000000" w:usb2="00000016" w:usb3="00000000" w:csb0="0004000F" w:csb1="00000000"/>
  </w:font>
  <w:font w:name="仿宋_GB2312">
    <w:altName w:val="FangSong"/>
    <w:panose1 w:val="02010609030101010101"/>
    <w:charset w:val="86"/>
    <w:family w:val="auto"/>
    <w:pitch w:val="default"/>
    <w:sig w:usb0="00000000" w:usb1="00000000" w:usb2="00000000" w:usb3="00000000" w:csb0="00040001" w:csb1="00000000"/>
  </w:font>
  <w:font w:name="楷体_GB2312">
    <w:altName w:val="KaiTi"/>
    <w:panose1 w:val="02010609030101010101"/>
    <w:charset w:val="86"/>
    <w:family w:val="auto"/>
    <w:pitch w:val="default"/>
    <w:sig w:usb0="00000000" w:usb1="00000000" w:usb2="00000000" w:usb3="00000000" w:csb0="00040000" w:csb1="00000000"/>
  </w:font>
  <w:font w:name="Yu Gothic UI Semibold">
    <w:altName w:val="Meiryo UI"/>
    <w:panose1 w:val="020B0700000000000000"/>
    <w:charset w:val="80"/>
    <w:family w:val="auto"/>
    <w:pitch w:val="default"/>
    <w:sig w:usb0="00000000" w:usb1="00000000" w:usb2="00000016" w:usb3="00000000" w:csb0="2002009F" w:csb1="00000000"/>
  </w:font>
  <w:font w:name="思源黑体 HW Bold">
    <w:altName w:val="SimSun"/>
    <w:panose1 w:val="020B0800000000000000"/>
    <w:charset w:val="86"/>
    <w:family w:val="auto"/>
    <w:pitch w:val="default"/>
    <w:sig w:usb0="00000000" w:usb1="00000000" w:usb2="00000016" w:usb3="00000000" w:csb0="002E0107" w:csb1="00000000"/>
  </w:font>
  <w:font w:name="Microsoft YaHei">
    <w:panose1 w:val="020B0503020204020204"/>
    <w:charset w:val="86"/>
    <w:family w:val="auto"/>
    <w:pitch w:val="default"/>
    <w:sig w:usb0="80000287" w:usb1="280F3C52" w:usb2="00000016" w:usb3="00000000" w:csb0="0004001F" w:csb1="00000000"/>
  </w:font>
  <w:font w:name="FangSong">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方正小标宋_GBK">
    <w:altName w:val="SimSun"/>
    <w:panose1 w:val="00000000000000000000"/>
    <w:charset w:val="86"/>
    <w:family w:val="auto"/>
    <w:pitch w:val="default"/>
    <w:sig w:usb0="00000000" w:usb1="00000000" w:usb2="00000000" w:usb3="00000000" w:csb0="00040001" w:csb1="00000000"/>
  </w:font>
  <w:font w:name="方正书宋_GBK">
    <w:altName w:val="SimSun"/>
    <w:panose1 w:val="00000000000000000000"/>
    <w:charset w:val="86"/>
    <w:family w:val="auto"/>
    <w:pitch w:val="default"/>
    <w:sig w:usb0="00000000" w:usb1="00000000" w:usb2="00000000" w:usb3="00000000" w:csb0="00040001" w:csb1="00000000"/>
  </w:font>
  <w:font w:name="Cambria">
    <w:panose1 w:val="02040503050406030204"/>
    <w:charset w:val="00"/>
    <w:family w:val="auto"/>
    <w:pitch w:val="default"/>
    <w:sig w:usb0="E00002FF" w:usb1="400004FF" w:usb2="00000000" w:usb3="00000000" w:csb0="2000019F" w:csb1="00000000"/>
  </w:font>
  <w:font w:name="DengXian-Regular">
    <w:altName w:val="SimSun"/>
    <w:panose1 w:val="00000000000000000000"/>
    <w:charset w:val="86"/>
    <w:family w:val="auto"/>
    <w:pitch w:val="default"/>
    <w:sig w:usb0="00000000" w:usb1="00000000" w:usb2="00000010" w:usb3="00000000" w:csb0="00040001" w:csb1="00000000"/>
  </w:font>
  <w:font w:name="DengXian-Bold">
    <w:altName w:val="SimSun"/>
    <w:panose1 w:val="00000000000000000000"/>
    <w:charset w:val="86"/>
    <w:family w:val="auto"/>
    <w:pitch w:val="default"/>
    <w:sig w:usb0="00000000" w:usb1="00000000" w:usb2="00000010" w:usb3="00000000" w:csb0="00040001" w:csb1="00000000"/>
  </w:font>
  <w:font w:name="KaiTi">
    <w:panose1 w:val="02010609060101010101"/>
    <w:charset w:val="86"/>
    <w:family w:val="auto"/>
    <w:pitch w:val="default"/>
    <w:sig w:usb0="800002BF" w:usb1="38CF7CFA" w:usb2="00000016" w:usb3="00000000" w:csb0="00040001" w:csb1="00000000"/>
  </w:font>
  <w:font w:name="方正仿宋简体">
    <w:altName w:val="Microsoft YaHei"/>
    <w:panose1 w:val="02010601030101010101"/>
    <w:charset w:val="86"/>
    <w:family w:val="auto"/>
    <w:pitch w:val="default"/>
    <w:sig w:usb0="00000000" w:usb1="00000000" w:usb2="00000000" w:usb3="00000000" w:csb0="00040000" w:csb1="00000000"/>
  </w:font>
  <w:font w:name="TimesNewRomanPSMT">
    <w:altName w:val="Arial"/>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SimHei"/>
        <w:kern w:val="2"/>
        <w:sz w:val="18"/>
        <w:szCs w:val="18"/>
        <w:lang w:val="en-US" w:eastAsia="zh-CN" w:bidi="ar-SA"/>
      </w:rPr>
      <w:pict>
        <v:rect id="文本框 2" o:spid="_x0000_s2064" o:spt="1" style="position:absolute;left:0pt;margin-left:209.65pt;margin-top:-12.95pt;height:14.3pt;width:30.6pt;mso-position-horizontal-relative:margin;z-index:25166950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SimHei"/>
        <w:kern w:val="2"/>
        <w:sz w:val="18"/>
        <w:szCs w:val="18"/>
        <w:lang w:val="en-US" w:eastAsia="zh-CN" w:bidi="ar-SA"/>
      </w:rPr>
      <w:pict>
        <v:rect id="文本框 3" o:spid="_x0000_s2056" o:spt="1" style="position:absolute;left:0pt;margin-left:206.55pt;margin-top:-22.45pt;height:35.15pt;width:34pt;mso-position-horizontal-relative:margin;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p>
            </w:txbxContent>
          </v:textbox>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SimHei"/>
        <w:kern w:val="2"/>
        <w:sz w:val="18"/>
        <w:szCs w:val="18"/>
        <w:lang w:val="en-US" w:eastAsia="zh-CN" w:bidi="ar-SA"/>
      </w:rPr>
      <w:pict>
        <v:rect id="文本框 5" o:spid="_x0000_s2087" o:spt="1" style="position:absolute;left:0pt;margin-left:209.15pt;margin-top:-6pt;height:18.7pt;width:144pt;mso-position-horizontal-relative:margin;mso-wrap-style:none;z-index:25167155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SimHei"/>
        <w:kern w:val="2"/>
        <w:sz w:val="18"/>
        <w:szCs w:val="18"/>
        <w:lang w:val="en-US" w:eastAsia="zh-CN" w:bidi="ar-SA"/>
      </w:rPr>
      <w:pict>
        <v:rect id="文本框 14" o:spid="_x0000_s2079" o:spt="1" style="position:absolute;left:0pt;margin-left:205.45pt;margin-top:-18.75pt;height:31.45pt;width:30.15pt;mso-position-horizontal-relative:margin;z-index:25167257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SimHei"/>
        <w:kern w:val="2"/>
        <w:sz w:val="18"/>
        <w:szCs w:val="18"/>
        <w:lang w:val="en-US" w:eastAsia="zh-CN" w:bidi="ar-SA"/>
      </w:rPr>
      <w:pict>
        <v:rect id="文本框 45" o:spid="_x0000_s2102" o:spt="1" style="position:absolute;left:0pt;margin-left:209.15pt;margin-top:-6pt;height:18.7pt;width:144pt;mso-position-horizontal-relative:margin;mso-wrap-style:none;z-index:25167564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25" o:spid="_x0000_s2049" o:spt="203" style="position:absolute;left:0pt;margin-top:29.75pt;height:32pt;width:157.5pt;mso-position-horizontal:left;mso-position-horizontal-relative:page;mso-position-vertical-relative:page;z-index:251660288;mso-width-relative:page;mso-height-relative:page;" coordorigin="1337,880" coordsize="3151,641">
          <o:lock v:ext="edit" position="f" selection="f" grouping="f" rotation="f" cropping="f" text="f" aspectratio="f"/>
          <v:rect id="矩形 1026" o:spid="_x0000_s2050"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28"/>
                      <w:szCs w:val="36"/>
                    </w:rPr>
                  </w:pPr>
                  <w:r>
                    <w:rPr>
                      <w:rFonts w:hint="eastAsia" w:ascii="Microsoft YaHei" w:hAnsi="Microsoft YaHei" w:eastAsia="Microsoft YaHei" w:cs="Microsoft YaHei"/>
                      <w:b/>
                      <w:bCs/>
                      <w:sz w:val="28"/>
                      <w:szCs w:val="36"/>
                    </w:rPr>
                    <w:t>20XX 企业业务制定</w:t>
                  </w:r>
                </w:p>
              </w:txbxContent>
            </v:textbox>
          </v:rect>
          <v:rect id="矩形 1027" o:spid="_x0000_s2051"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SimHei"/>
        <w:kern w:val="2"/>
        <w:sz w:val="18"/>
        <w:szCs w:val="18"/>
        <w:lang w:val="en-US" w:eastAsia="zh-CN" w:bidi="ar-SA"/>
      </w:rPr>
      <w:pict>
        <v:group id="组合 1028" o:spid="_x0000_s2052" o:spt="203" style="position:absolute;left:0pt;margin-top:-58.95pt;height:58.95pt;width:595.3pt;mso-position-horizontal:center;mso-position-horizontal-relative:page;mso-position-vertical-relative:page;z-index:251659264;mso-width-relative:page;mso-height-relative:page;" coordorigin="881,505" coordsize="11931,1179">
          <o:lock v:ext="edit" position="f" selection="f" grouping="f" rotation="f" cropping="f" text="f" aspectratio="f"/>
          <v:rect id="矩形 1029" o:spid="_x0000_s2053"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4"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55"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89" o:spid="_x0000_s2095" o:spt="203" style="position:absolute;left:0pt;margin-left:2.5pt;margin-top:28.75pt;height:35.25pt;width:594.8pt;mso-position-horizontal-relative:page;mso-position-vertical-relative:page;z-index:251676672;mso-width-relative:page;mso-height-relative:page;" coordorigin="878,302" coordsize="11897,705">
          <o:lock v:ext="edit" position="f" selection="f" grouping="f" rotation="f" cropping="f" text="f" aspectratio="f"/>
          <v:rect id="矩形 1090" o:spid="_x0000_s2096" o:spt="1" style="position:absolute;left:878;top:920;height:87;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97" style="position:absolute;left:10148;top:410;height:516;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98" style="position:absolute;left:10437;top:302;height:663;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SimHei"/>
        <w:kern w:val="2"/>
        <w:sz w:val="18"/>
        <w:szCs w:val="18"/>
        <w:lang w:val="en-US" w:eastAsia="zh-CN" w:bidi="ar-SA"/>
      </w:rPr>
      <w:pict>
        <v:group id="组合 1093" o:spid="_x0000_s2099" o:spt="203" style="position:absolute;left:0pt;margin-left:0pt;margin-top:29.75pt;height:32pt;width:280pt;mso-position-horizontal-relative:page;mso-position-vertical-relative:page;z-index:251677696;mso-width-relative:page;mso-height-relative:page;" coordorigin="2377,880" coordsize="5602,641">
          <o:lock v:ext="edit" position="f" selection="f" grouping="f" rotation="f" cropping="f" text="f" aspectratio="f"/>
          <v:rect id="矩形 1094" o:spid="_x0000_s2100" o:spt="1" style="position:absolute;left:2491;top:880;height:641;width:5488;"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32"/>
                      <w:szCs w:val="40"/>
                    </w:rPr>
                  </w:pPr>
                  <w:r>
                    <w:rPr>
                      <w:rFonts w:hint="eastAsia" w:ascii="Microsoft YaHei" w:hAnsi="Microsoft YaHei" w:eastAsia="Microsoft YaHei" w:cs="Microsoft YaHei"/>
                      <w:b/>
                      <w:bCs/>
                      <w:sz w:val="32"/>
                      <w:szCs w:val="40"/>
                    </w:rPr>
                    <w:t>第四部分 2019年度部门决算报表</w:t>
                  </w:r>
                </w:p>
                <w:p/>
              </w:txbxContent>
            </v:textbox>
          </v:rect>
          <v:rect id="矩形 1095" o:spid="_x0000_s2101" o:spt="1" style="position:absolute;left:2377;top:1044;height:330;width:21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97" o:spid="_x0000_s2088" o:spt="203" style="position:absolute;left:0pt;margin-left:0.75pt;margin-top:24.2pt;height:38.05pt;width:595.3pt;mso-position-horizontal-relative:page;mso-position-vertical-relative:page;z-index:251673600;mso-width-relative:page;mso-height-relative:page;" coordorigin="881,326" coordsize="11931,761">
          <o:lock v:ext="edit" position="f" selection="f" grouping="f" rotation="f" cropping="f" text="f" aspectratio="f"/>
          <v:rect id="矩形 1098" o:spid="_x0000_s2089" o:spt="1" style="position:absolute;left:881;top:993;height:94;width:11925;"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90" style="position:absolute;left:10177;top:443;height:556;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91" style="position:absolute;left:10467;top:326;height:715;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SimHei"/>
        <w:kern w:val="2"/>
        <w:sz w:val="18"/>
        <w:szCs w:val="18"/>
        <w:lang w:val="en-US" w:eastAsia="zh-CN" w:bidi="ar-SA"/>
      </w:rPr>
      <w:pict>
        <v:group id="组合 1101" o:spid="_x0000_s2092" o:spt="203" style="position:absolute;left:0pt;margin-top:29.75pt;height:32pt;width:254.25pt;mso-position-horizontal:left;mso-position-horizontal-relative:page;mso-position-vertical-relative:page;z-index:251674624;mso-width-relative:page;mso-height-relative:page;" coordorigin="2158,880" coordsize="5087,641">
          <o:lock v:ext="edit" position="f" selection="f" grouping="f" rotation="f" cropping="f" text="f" aspectratio="f"/>
          <v:rect id="矩形 1102" o:spid="_x0000_s2093" o:spt="1" style="position:absolute;left:2262;top:880;height:641;width:4983;"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28"/>
                      <w:szCs w:val="36"/>
                    </w:rPr>
                  </w:pPr>
                  <w:r>
                    <w:rPr>
                      <w:rFonts w:hint="eastAsia" w:ascii="Microsoft YaHei" w:hAnsi="Microsoft YaHei" w:eastAsia="Microsoft YaHei" w:cs="Microsoft YaHei"/>
                      <w:b/>
                      <w:bCs/>
                      <w:sz w:val="28"/>
                      <w:szCs w:val="36"/>
                    </w:rPr>
                    <w:t>第四部分  2019年度部门决算报表</w:t>
                  </w:r>
                </w:p>
              </w:txbxContent>
            </v:textbox>
          </v:rect>
          <v:rect id="矩形 1103" o:spid="_x0000_s2094" o:spt="1" style="position:absolute;left:2158;top:1044;height:330;width:19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44" o:spid="_x0000_s2057" o:spt="203" style="position:absolute;left:0pt;margin-left:0pt;margin-top:53.75pt;height:31.5pt;width:594.8pt;mso-position-horizontal-relative:page;mso-position-vertical-relative:page;z-index:251667456;mso-width-relative:page;mso-height-relative:page;" coordorigin="878,270" coordsize="11897,630">
          <o:lock v:ext="edit" position="f" selection="f" grouping="f" rotation="f" cropping="f" text="f" aspectratio="f"/>
          <v:rect id="矩形 1045" o:spid="_x0000_s2058" o:spt="1" style="position:absolute;left:878;top:822;height:78;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9" style="position:absolute;left:10148;top:367;height:460;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60" style="position:absolute;left:10437;top:270;height:59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SimHei"/>
        <w:kern w:val="2"/>
        <w:sz w:val="18"/>
        <w:szCs w:val="18"/>
        <w:lang w:val="en-US" w:eastAsia="zh-CN" w:bidi="ar-SA"/>
      </w:rPr>
      <w:pict>
        <v:group id="组合 1048" o:spid="_x0000_s2061" o:spt="203" style="position:absolute;left:0pt;margin-left:-2.15pt;margin-top:47.15pt;height:32pt;width:235.7pt;mso-position-horizontal-relative:page;mso-position-vertical-relative:page;z-index:251668480;mso-width-relative:page;mso-height-relative:page;" coordorigin="2001,880" coordsize="4715,641">
          <o:lock v:ext="edit" position="f" selection="f" grouping="f" rotation="f" cropping="f" text="f" aspectratio="f"/>
          <v:rect id="矩形 1049" o:spid="_x0000_s2062"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32"/>
                      <w:szCs w:val="40"/>
                    </w:rPr>
                  </w:pPr>
                  <w:r>
                    <w:rPr>
                      <w:rFonts w:hint="eastAsia" w:ascii="Microsoft YaHei" w:hAnsi="Microsoft YaHei" w:eastAsia="Microsoft YaHei" w:cs="Microsoft YaHei"/>
                      <w:b/>
                      <w:bCs/>
                      <w:sz w:val="32"/>
                      <w:szCs w:val="40"/>
                    </w:rPr>
                    <w:t>第一部分  部门概况</w:t>
                  </w:r>
                </w:p>
              </w:txbxContent>
            </v:textbox>
          </v:rect>
          <v:rect id="矩形 1050" o:spid="_x0000_s2063"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54" o:spid="_x0000_s2065" o:spt="203" style="position:absolute;left:0pt;margin-left:2.75pt;margin-top:46.95pt;height:32.8pt;width:596.85pt;mso-position-horizontal-relative:page;mso-position-vertical-relative:page;z-index:251661312;mso-width-relative:page;mso-height-relative:page;" coordorigin="878,281" coordsize="11937,656">
          <o:lock v:ext="edit" position="f" selection="f" grouping="f" rotation="f" cropping="f" text="f" aspectratio="f"/>
          <v:rect id="矩形 1055" o:spid="_x0000_s2066" o:spt="1" style="position:absolute;left:878;top:856;height:81;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67" style="position:absolute;left:10148;top:382;height:479;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68" style="position:absolute;left:10437;top:281;height:616;width:2378;"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r>
      <w:rPr>
        <w:rFonts w:ascii="等线" w:hAnsi="等线" w:eastAsia="等线" w:cs="SimHei"/>
        <w:kern w:val="2"/>
        <w:sz w:val="18"/>
        <w:szCs w:val="18"/>
        <w:lang w:val="en-US" w:eastAsia="zh-CN" w:bidi="ar-SA"/>
      </w:rPr>
      <w:pict>
        <v:group id="组合 1058" o:spid="_x0000_s2069" o:spt="203" style="position:absolute;left:0pt;margin-left:1.95pt;margin-top:47.1pt;height:32pt;width:235.7pt;mso-position-horizontal-relative:page;mso-position-vertical-relative:page;z-index:251662336;mso-width-relative:page;mso-height-relative:page;" coordorigin="2001,880" coordsize="4715,641">
          <o:lock v:ext="edit" position="f" selection="f" grouping="f" rotation="f" cropping="f" text="f" aspectratio="f"/>
          <v:rect id="矩形 1059" o:spid="_x0000_s2070"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32"/>
                      <w:szCs w:val="40"/>
                    </w:rPr>
                  </w:pPr>
                  <w:r>
                    <w:rPr>
                      <w:rFonts w:hint="eastAsia" w:ascii="Microsoft YaHei" w:hAnsi="Microsoft YaHei" w:eastAsia="Microsoft YaHei" w:cs="Microsoft YaHei"/>
                      <w:b/>
                      <w:bCs/>
                      <w:sz w:val="32"/>
                      <w:szCs w:val="40"/>
                    </w:rPr>
                    <w:t>第二部分  部门决算情况说明</w:t>
                  </w:r>
                </w:p>
              </w:txbxContent>
            </v:textbox>
          </v:rect>
          <v:rect id="矩形 1060" o:spid="_x0000_s2071"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71" o:spid="_x0000_s2080" o:spt="203" style="position:absolute;left:0pt;margin-left:0pt;margin-top:43.35pt;height:37.85pt;width:594.8pt;mso-position-horizontal-relative:page;mso-position-vertical-relative:page;z-index:251663360;mso-width-relative:page;mso-height-relative:page;" coordorigin="878,324" coordsize="11897,757">
          <o:lock v:ext="edit" position="f" selection="f" grouping="f" rotation="f" cropping="f" text="f" aspectratio="f"/>
          <v:rect id="矩形 1072" o:spid="_x0000_s2081" o:spt="1" style="position:absolute;left:878;top:988;height:93;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82" style="position:absolute;left:10148;top:440;height:554;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83" style="position:absolute;left:10437;top:324;height:71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SimHei"/>
        <w:kern w:val="2"/>
        <w:sz w:val="18"/>
        <w:szCs w:val="18"/>
        <w:lang w:val="en-US" w:eastAsia="zh-CN" w:bidi="ar-SA"/>
      </w:rPr>
      <w:pict>
        <v:group id="组合 1075" o:spid="_x0000_s2084" o:spt="203" style="position:absolute;left:0pt;margin-left:-2.15pt;margin-top:47.15pt;height:32pt;width:235.7pt;mso-position-horizontal-relative:page;mso-position-vertical-relative:page;z-index:251664384;mso-width-relative:page;mso-height-relative:page;" coordorigin="2001,880" coordsize="4715,641">
          <o:lock v:ext="edit" position="f" selection="f" grouping="f" rotation="f" cropping="f" text="f" aspectratio="f"/>
          <v:rect id="矩形 1076" o:spid="_x0000_s2085"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32"/>
                      <w:szCs w:val="40"/>
                    </w:rPr>
                  </w:pPr>
                  <w:r>
                    <w:rPr>
                      <w:rFonts w:hint="eastAsia" w:ascii="Microsoft YaHei" w:hAnsi="Microsoft YaHei" w:eastAsia="Microsoft YaHei" w:cs="Microsoft YaHei"/>
                      <w:b/>
                      <w:bCs/>
                      <w:sz w:val="32"/>
                      <w:szCs w:val="40"/>
                    </w:rPr>
                    <w:t>第三部分  名词解释</w:t>
                  </w:r>
                </w:p>
              </w:txbxContent>
            </v:textbox>
          </v:rect>
          <v:rect id="矩形 1077" o:spid="_x0000_s2086"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SimHei"/>
        <w:kern w:val="2"/>
        <w:sz w:val="18"/>
        <w:szCs w:val="18"/>
        <w:lang w:val="en-US" w:eastAsia="zh-CN" w:bidi="ar-SA"/>
      </w:rPr>
      <w:pict>
        <v:group id="组合 1079" o:spid="_x0000_s2072" o:spt="203" style="position:absolute;left:0pt;margin-top:29.75pt;height:32pt;width:157.5pt;mso-position-horizontal:left;mso-position-horizontal-relative:page;mso-position-vertical-relative:page;z-index:251666432;mso-width-relative:page;mso-height-relative:page;" coordorigin="1337,880" coordsize="3151,641">
          <o:lock v:ext="edit" position="f" selection="f" grouping="f" rotation="f" cropping="f" text="f" aspectratio="f"/>
          <v:rect id="矩形 1080" o:spid="_x0000_s2073"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Microsoft YaHei" w:hAnsi="Microsoft YaHei" w:eastAsia="Microsoft YaHei" w:cs="Microsoft YaHei"/>
                      <w:b/>
                      <w:bCs/>
                      <w:sz w:val="28"/>
                      <w:szCs w:val="36"/>
                    </w:rPr>
                  </w:pPr>
                  <w:r>
                    <w:rPr>
                      <w:rFonts w:hint="eastAsia" w:ascii="Microsoft YaHei" w:hAnsi="Microsoft YaHei" w:eastAsia="Microsoft YaHei" w:cs="Microsoft YaHei"/>
                      <w:b/>
                      <w:bCs/>
                      <w:sz w:val="28"/>
                      <w:szCs w:val="36"/>
                    </w:rPr>
                    <w:t>20XX 企业业务制定</w:t>
                  </w:r>
                </w:p>
              </w:txbxContent>
            </v:textbox>
          </v:rect>
          <v:rect id="矩形 1081" o:spid="_x0000_s2074"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SimHei"/>
        <w:kern w:val="2"/>
        <w:sz w:val="18"/>
        <w:szCs w:val="18"/>
        <w:lang w:val="en-US" w:eastAsia="zh-CN" w:bidi="ar-SA"/>
      </w:rPr>
      <w:pict>
        <v:group id="组合 1082" o:spid="_x0000_s2075" o:spt="203" style="position:absolute;left:0pt;margin-top:43.1pt;height:58.95pt;width:595.3pt;mso-position-horizontal:center;mso-position-horizontal-relative:page;mso-position-vertical-relative:page;z-index:251665408;mso-width-relative:page;mso-height-relative:page;" coordorigin="881,505" coordsize="11931,1179">
          <o:lock v:ext="edit" position="f" selection="f" grouping="f" rotation="f" cropping="f" text="f" aspectratio="f"/>
          <v:rect id="矩形 1083" o:spid="_x0000_s2076"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77"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78"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386120"/>
    <w:multiLevelType w:val="singleLevel"/>
    <w:tmpl w:val="E3386120"/>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29D654F"/>
    <w:rsid w:val="323F4002"/>
    <w:rsid w:val="35273C74"/>
    <w:rsid w:val="3AE17978"/>
    <w:rsid w:val="59F9700F"/>
    <w:rsid w:val="6D1360D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SimSun"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qFormat="1"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SimHe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2"/>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9">
    <w:name w:val="列表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0">
    <w:name w:val="页眉 字符"/>
    <w:basedOn w:val="8"/>
    <w:link w:val="6"/>
    <w:qFormat/>
    <w:uiPriority w:val="99"/>
    <w:rPr>
      <w:rFonts w:ascii="等线" w:hAnsi="等线" w:eastAsia="等线"/>
      <w:sz w:val="18"/>
      <w:szCs w:val="18"/>
    </w:rPr>
  </w:style>
  <w:style w:type="character" w:customStyle="1" w:styleId="11">
    <w:name w:val="页脚 字符"/>
    <w:basedOn w:val="8"/>
    <w:link w:val="5"/>
    <w:qFormat/>
    <w:uiPriority w:val="99"/>
    <w:rPr>
      <w:sz w:val="18"/>
      <w:szCs w:val="18"/>
    </w:rPr>
  </w:style>
  <w:style w:type="character" w:customStyle="1" w:styleId="12">
    <w:name w:val="批注框文本 字符"/>
    <w:basedOn w:val="8"/>
    <w:link w:val="4"/>
    <w:qFormat/>
    <w:uiPriority w:val="99"/>
    <w:rPr>
      <w:rFonts w:ascii="等线" w:hAnsi="等线" w:eastAsia="等线" w:cs="SimHei"/>
      <w:kern w:val="2"/>
      <w:sz w:val="18"/>
      <w:szCs w:val="18"/>
    </w:rPr>
  </w:style>
  <w:style w:type="paragraph" w:customStyle="1" w:styleId="13">
    <w:name w:val="列出段落2"/>
    <w:basedOn w:val="1"/>
    <w:qFormat/>
    <w:uiPriority w:val="34"/>
    <w:pPr>
      <w:spacing w:after="0" w:line="240" w:lineRule="auto"/>
      <w:ind w:firstLine="420" w:firstLineChars="200"/>
    </w:pPr>
    <w:rPr>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header5.xml" Type="http://schemas.openxmlformats.org/officeDocument/2006/relationships/header"/><Relationship Id="rId12" Target="header6.xml" Type="http://schemas.openxmlformats.org/officeDocument/2006/relationships/header"/><Relationship Id="rId13" Target="header7.xml" Type="http://schemas.openxmlformats.org/officeDocument/2006/relationships/header"/><Relationship Id="rId14" Target="footer5.xml" Type="http://schemas.openxmlformats.org/officeDocument/2006/relationships/footer"/><Relationship Id="rId15" Target="footer6.xml" Type="http://schemas.openxmlformats.org/officeDocument/2006/relationships/footer"/><Relationship Id="rId16" Target="header8.xml" Type="http://schemas.openxmlformats.org/officeDocument/2006/relationships/header"/><Relationship Id="rId17" Target="header9.xml" Type="http://schemas.openxmlformats.org/officeDocument/2006/relationships/header"/><Relationship Id="rId18" Target="header10.xml" Type="http://schemas.openxmlformats.org/officeDocument/2006/relationships/header"/><Relationship Id="rId19" Target="header11.xml" Type="http://schemas.openxmlformats.org/officeDocument/2006/relationships/header"/><Relationship Id="rId2" Target="settings.xml" Type="http://schemas.openxmlformats.org/officeDocument/2006/relationships/settings"/><Relationship Id="rId20" Target="footer7.xml" Type="http://schemas.openxmlformats.org/officeDocument/2006/relationships/footer"/><Relationship Id="rId21" Target="theme/theme1.xml" Type="http://schemas.openxmlformats.org/officeDocument/2006/relationships/theme"/><Relationship Id="rId22" Target="media/image1.jpeg" Type="http://schemas.openxmlformats.org/officeDocument/2006/relationships/image"/><Relationship Id="rId23" Target="media/image2.bmp" Type="http://schemas.openxmlformats.org/officeDocument/2006/relationships/image"/><Relationship Id="rId24" Target="media/image3.png" Type="http://schemas.openxmlformats.org/officeDocument/2006/relationships/image"/><Relationship Id="rId25" Target="media/image4.png" Type="http://schemas.openxmlformats.org/officeDocument/2006/relationships/image"/><Relationship Id="rId26" Target="media/image5.png" Type="http://schemas.openxmlformats.org/officeDocument/2006/relationships/image"/><Relationship Id="rId27" Target="media/image6.png" Type="http://schemas.openxmlformats.org/officeDocument/2006/relationships/image"/><Relationship Id="rId28" Target="../customXml/item1.xml" Type="http://schemas.openxmlformats.org/officeDocument/2006/relationships/customXml"/><Relationship Id="rId29" Target="numbering.xml" Type="http://schemas.openxmlformats.org/officeDocument/2006/relationships/numbering"/><Relationship Id="rId3" Target="header1.xml" Type="http://schemas.openxmlformats.org/officeDocument/2006/relationships/header"/><Relationship Id="rId30" Target="fontTable.xml" Type="http://schemas.openxmlformats.org/officeDocument/2006/relationships/fontTable"/><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header4.xml" Type="http://schemas.openxmlformats.org/officeDocument/2006/relationships/header"/><Relationship Id="rId9" Target="footer3.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50" textRotate="1"/>
    <customShpInfo spid="_x0000_s2051" textRotate="1"/>
    <customShpInfo spid="_x0000_s2049"/>
    <customShpInfo spid="_x0000_s2053" textRotate="1"/>
    <customShpInfo spid="_x0000_s2054" textRotate="1"/>
    <customShpInfo spid="_x0000_s2055" textRotate="1"/>
    <customShpInfo spid="_x0000_s2052"/>
    <customShpInfo spid="_x0000_s2058" textRotate="1"/>
    <customShpInfo spid="_x0000_s2059" textRotate="1"/>
    <customShpInfo spid="_x0000_s2060" textRotate="1"/>
    <customShpInfo spid="_x0000_s2057"/>
    <customShpInfo spid="_x0000_s2062" textRotate="1"/>
    <customShpInfo spid="_x0000_s2063" textRotate="1"/>
    <customShpInfo spid="_x0000_s2061"/>
    <customShpInfo spid="_x0000_s2064" textRotate="1"/>
    <customShpInfo spid="_x0000_s2056" textRotate="1"/>
    <customShpInfo spid="_x0000_s2066" textRotate="1"/>
    <customShpInfo spid="_x0000_s2067" textRotate="1"/>
    <customShpInfo spid="_x0000_s2068" textRotate="1"/>
    <customShpInfo spid="_x0000_s2065"/>
    <customShpInfo spid="_x0000_s2070" textRotate="1"/>
    <customShpInfo spid="_x0000_s2071" textRotate="1"/>
    <customShpInfo spid="_x0000_s2069"/>
    <customShpInfo spid="_x0000_s2081" textRotate="1"/>
    <customShpInfo spid="_x0000_s2082" textRotate="1"/>
    <customShpInfo spid="_x0000_s2083" textRotate="1"/>
    <customShpInfo spid="_x0000_s2080"/>
    <customShpInfo spid="_x0000_s2085" textRotate="1"/>
    <customShpInfo spid="_x0000_s2086" textRotate="1"/>
    <customShpInfo spid="_x0000_s2084"/>
    <customShpInfo spid="_x0000_s2073" textRotate="1"/>
    <customShpInfo spid="_x0000_s2074" textRotate="1"/>
    <customShpInfo spid="_x0000_s2072"/>
    <customShpInfo spid="_x0000_s2076" textRotate="1"/>
    <customShpInfo spid="_x0000_s2077" textRotate="1"/>
    <customShpInfo spid="_x0000_s2078" textRotate="1"/>
    <customShpInfo spid="_x0000_s2075"/>
    <customShpInfo spid="_x0000_s2087" textRotate="1"/>
    <customShpInfo spid="_x0000_s2079" textRotate="1"/>
    <customShpInfo spid="_x0000_s2096" textRotate="1"/>
    <customShpInfo spid="_x0000_s2097" textRotate="1"/>
    <customShpInfo spid="_x0000_s2098" textRotate="1"/>
    <customShpInfo spid="_x0000_s2095"/>
    <customShpInfo spid="_x0000_s2100" textRotate="1"/>
    <customShpInfo spid="_x0000_s2101" textRotate="1"/>
    <customShpInfo spid="_x0000_s2099"/>
    <customShpInfo spid="_x0000_s2089" textRotate="1"/>
    <customShpInfo spid="_x0000_s2090" textRotate="1"/>
    <customShpInfo spid="_x0000_s2091" textRotate="1"/>
    <customShpInfo spid="_x0000_s2088"/>
    <customShpInfo spid="_x0000_s2093" textRotate="1"/>
    <customShpInfo spid="_x0000_s2094" textRotate="1"/>
    <customShpInfo spid="_x0000_s2092"/>
    <customShpInfo spid="_x0000_s2102" textRotate="1"/>
    <customShpInfo spid="_x0000_s1080" textRotate="1"/>
    <customShpInfo spid="_x0000_s1081" textRotate="1"/>
    <customShpInfo spid="_x0000_s1082" textRotate="1"/>
    <customShpInfo spid="_x0000_s1083" textRotate="1"/>
    <customShpInfo spid="_x0000_s1085" textRotate="1"/>
    <customShpInfo spid="_x0000_s1086" textRotate="1"/>
    <customShpInfo spid="_x0000_s1084"/>
    <customShpInfo spid="_x0000_s1088" textRotate="1"/>
    <customShpInfo spid="_x0000_s1089" textRotate="1"/>
    <customShpInfo spid="_x0000_s1087"/>
    <customShpInfo spid="_x0000_s1090" textRotate="1"/>
    <customShpInfo spid="_x0000_s1092" textRotate="1"/>
    <customShpInfo spid="_x0000_s1093" textRotate="1"/>
    <customShpInfo spid="_x0000_s1094" textRotate="1"/>
    <customShpInfo spid="_x0000_s1095"/>
    <customShpInfo spid="_x0000_s1096" textRotate="1"/>
    <customShpInfo spid="_x0000_s1097"/>
    <customShpInfo spid="_x0000_s1098" textRotate="1"/>
    <customShpInfo spid="_x0000_s1099"/>
    <customShpInfo spid="_x0000_s1100" textRotate="1"/>
    <customShpInfo spid="_x0000_s1101"/>
    <customShpInfo spid="_x0000_s1102" textRotate="1"/>
    <customShpInfo spid="_x0000_s1104"/>
    <customShpInfo spid="_x0000_s1105"/>
    <customShpInfo spid="_x0000_s1103"/>
    <customShpInfo spid="_x0000_s1106" textRotate="1"/>
    <customShpInfo spid="_x0000_s1107" textRotate="1"/>
    <customShpInfo spid="_x0000_s110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Pages>43</Pages>
  <Words>2901</Words>
  <Characters>16536</Characters>
  <Lines>137</Lines>
  <Paragraphs>38</Paragraphs>
  <TotalTime>2</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2020-08-24T01:59:00Z</dcterms:created>
  <dc:creator>王明新TIAD</dc:creator>
  <cp:lastModifiedBy>Newyan</cp:lastModifiedBy>
  <cp:lastPrinted>2020-08-24T01:52:00Z</cp:lastPrinted>
  <dcterms:modified xsi:type="dcterms:W3CDTF">2021-05-15T06:46:35Z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87624EFD976942BEAF9888FFBB371A47</vt:lpwstr>
  </property>
</Properties>
</file>