
<file path=[Content_Types].xml><?xml version="1.0" encoding="utf-8"?>
<Types xmlns="http://schemas.openxmlformats.org/package/2006/content-types">
  <Default ContentType="image/gif" Extension="gif"/>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header+xml" PartName="/word/header7.xml"/>
  <Override ContentType="application/vnd.openxmlformats-officedocument.wordprocessingml.header+xml" PartName="/word/header8.xml"/>
  <Override ContentType="application/vnd.openxmlformats-officedocument.wordprocessingml.header+xml" PartName="/word/header9.xml"/>
  <Override ContentType="application/vnd.openxmlformats-officedocument.wordprocessingml.header+xml" PartName="/word/header10.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pgSz w:w="11906" w:h="16838"/>
          <w:pgMar w:top="0" w:right="0" w:bottom="0" w:left="0" w:header="851" w:footer="992" w:gutter="0"/>
          <w:cols w:space="720" w:num="1"/>
          <w:titlePg/>
          <w:docGrid w:type="lines" w:linePitch="312" w:charSpace="0"/>
        </w:sectPr>
      </w:pPr>
      <w:r>
        <w:pict>
          <v:rect id="文本框 10" o:spid="_x0000_s1080" o:spt="1" style="position:absolute;left:0pt;margin-left:106.25pt;margin-top:693.55pt;height:79.95pt;width:404.15pt;z-index:1024;mso-width-relative:page;mso-height-relative:page;" filled="f" o:preferrelative="t" stroked="f" coordsize="21600,21600">
            <v:path/>
            <v:fill on="f" focussize="0,0"/>
            <v:stroke on="f"/>
            <v:imagedata o:title=""/>
            <o:lock v:ext="edit"/>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二〇二〇年八月</w:t>
                  </w:r>
                </w:p>
              </w:txbxContent>
            </v:textbox>
          </v:rect>
        </w:pict>
      </w:r>
      <w:r>
        <w:pict>
          <v:shape id="椭圆 8" o:spid="_x0000_s1081" o:spt="3" type="#_x0000_t3" style="position:absolute;left:0pt;margin-left:53.5pt;margin-top:232.45pt;height:121.95pt;width:121.95pt;z-index:1024;mso-width-relative:page;mso-height-relative:page;" o:preferrelative="t" stroked="f" coordsize="21600,21600">
            <v:path/>
            <v:fill focussize="0,0"/>
            <v:stroke on="f"/>
            <v:imagedata o:title=""/>
            <o:lock v:ext="edit"/>
            <v:textbox>
              <w:txbxContent>
                <w:p>
                  <w:pPr>
                    <w:jc w:val="center"/>
                  </w:pPr>
                </w:p>
              </w:txbxContent>
            </v:textbox>
          </v:shape>
        </w:pict>
      </w:r>
      <w:r>
        <w:pict>
          <v:rect id="矩形 14" o:spid="_x0000_s1082" o:spt="1" style="position:absolute;left:0pt;margin-left:33.6pt;margin-top:256.75pt;height:69.6pt;width:160.65pt;z-index:1024;mso-width-relative:page;mso-height-relative:page;" filled="f" o:preferrelative="t" stroked="f" coordsize="21600,2160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w:r>
      <w:r>
        <w:pict>
          <v:shape id="椭圆 9" o:spid="_x0000_s1083" o:spt="3" type="#_x0000_t3" style="position:absolute;left:0pt;margin-left:62.2pt;margin-top:242.75pt;height:103.45pt;width:103.45pt;z-index:1024;mso-width-relative:page;mso-height-relative:page;" fillcolor="#1F2959" filled="t" o:preferrelative="t" stroked="f" coordsize="21600,21600">
            <v:path/>
            <v:fill on="t" focussize="0,0"/>
            <v:stroke on="f"/>
            <v:imagedata o:title=""/>
            <o:lock v:ext="edit"/>
            <v:textbox>
              <w:txbxContent>
                <w:p>
                  <w:pPr>
                    <w:jc w:val="center"/>
                  </w:pPr>
                </w:p>
              </w:txbxContent>
            </v:textbox>
          </v:shape>
        </w:pict>
      </w:r>
      <w:r>
        <w:pict>
          <v:group id="组合 1036" o:spid="_x0000_s1084" o:spt="203" style="position:absolute;left:0pt;margin-left:1.25pt;margin-top:821.7pt;height:21.45pt;width:595.25pt;z-index:1024;mso-width-relative:page;mso-height-relative:page;" coordorigin="1483,16692" coordsize="11905,429">
            <o:lock v:ext="edit"/>
            <v:rect id="矩形 1037" o:spid="_x0000_s1085" o:spt="1" style="position:absolute;left:1483;top:16692;height:428;width:1125;" fillcolor="#FDBC11" filled="t" o:preferrelative="t" stroked="f" coordsize="21600,21600">
              <v:path/>
              <v:fill on="t" focussize="0,0"/>
              <v:stroke on="f"/>
              <v:imagedata o:title=""/>
              <o:lock v:ext="edit"/>
            </v:rect>
            <v:rect id="矩形 1038" o:spid="_x0000_s1086" o:spt="1" style="position:absolute;left:2608;top:16693;height:428;width:10780;" fillcolor="#1F2959" filled="t" o:preferrelative="t" stroked="f" coordsize="21600,21600">
              <v:path/>
              <v:fill on="t" focussize="0,0"/>
              <v:stroke on="f"/>
              <v:imagedata o:title=""/>
              <o:lock v:ext="edit"/>
            </v:rect>
          </v:group>
        </w:pict>
      </w:r>
      <w:r>
        <w:pict>
          <v:group id="组合 1039" o:spid="_x0000_s1087" o:spt="203" style="position:absolute;left:0pt;margin-left:-2.5pt;margin-top:0pt;height:308.5pt;width:600.25pt;z-index:-1024;mso-width-relative:page;mso-height-relative:page;" coordorigin="13622,283" coordsize="12005,6170">
            <o:lock v:ext="edit"/>
            <v:rect id="矩形 1040" o:spid="_x0000_s1088" o:spt="1" style="position:absolute;left:13622;top:283;height:6170;width:12005;" fillcolor="#FDBC11" filled="t" o:preferrelative="t" stroked="f" coordsize="21600,21600">
              <v:path/>
              <v:fill on="t" focussize="0,0"/>
              <v:stroke on="f"/>
              <v:imagedata o:title=""/>
              <o:lock v:ext="edit"/>
            </v:rect>
            <v:rect id="矩形 1041" o:spid="_x0000_s1089" o:spt="1" style="position:absolute;left:17229;top:5021;height:1392;width:8083;" filled="f" o:preferrelative="t" stroked="f" coordsize="21600,21600">
              <v:path/>
              <v:fill on="f" focussize="0,0"/>
              <v:stroke on="f"/>
              <v:imagedata o:title=""/>
              <o:lock v:ext="edit"/>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rect>
          </v:group>
        </w:pict>
      </w:r>
      <w:r>
        <w:pict>
          <v:rect id="矩形 11" o:spid="_x0000_s1090" o:spt="1" style="position:absolute;left:0pt;margin-left:184.75pt;margin-top:286.6pt;height:31.25pt;width:339.65pt;mso-wrap-style:none;z-index:1024;mso-width-relative:page;mso-height-relative:page;" filled="f" o:preferrelative="t" stroked="f" coordsize="21600,21600">
            <v:path/>
            <v:fill on="f" focussize="0,0"/>
            <v:stroke on="f"/>
            <v:imagedata o:title=""/>
            <o:lock v:ext="edit"/>
            <v:textbox style="mso-fit-shape-to-text:t;">
              <w:txbxContent>
                <w:p/>
              </w:txbxContent>
            </v:textbox>
          </v:rect>
        </w:pict>
      </w:r>
    </w:p>
    <w:p/>
    <w:p>
      <w:pPr>
        <w:jc w:val="center"/>
        <w:rPr>
          <w:rFonts w:ascii="黑体" w:hAnsi="黑体" w:eastAsia="黑体"/>
          <w:sz w:val="56"/>
          <w:szCs w:val="72"/>
        </w:rPr>
      </w:pPr>
    </w:p>
    <w:p>
      <w:pPr>
        <w:jc w:val="center"/>
        <w:rPr>
          <w:rFonts w:ascii="黑体" w:hAnsi="黑体" w:eastAsia="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ascii="黑体" w:hAnsi="Times New Roman" w:eastAsia="黑体" w:cs="Times New Roman"/>
          <w:sz w:val="48"/>
          <w:szCs w:val="48"/>
        </w:rPr>
        <w:pict>
          <v:shape id="_x0000_i1025" o:spt="75" type="#_x0000_t75" style="height:618.5pt;width:464pt;" filled="f" o:preferrelative="t" stroked="f" coordsize="21600,21600">
            <v:path/>
            <v:fill on="f" focussize="0,0"/>
            <v:stroke on="f" joinstyle="miter"/>
            <v:imagedata r:id="rId21" o:title=""/>
            <o:lock v:ext="edit" aspectratio="t"/>
            <w10:wrap type="none"/>
            <w10:anchorlock/>
          </v:shape>
        </w:pict>
      </w:r>
      <w:r>
        <w:rPr>
          <w:rFonts w:hint="eastAsia" w:ascii="黑体" w:hAnsi="Times New Roman" w:eastAsia="黑体" w:cs="Times New Roman"/>
          <w:sz w:val="48"/>
          <w:szCs w:val="48"/>
        </w:rPr>
        <w:tab/>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type w:val="continuous"/>
          <w:pgSz w:w="11906" w:h="16838"/>
          <w:pgMar w:top="2041" w:right="1531" w:bottom="2041" w:left="1531" w:header="851" w:footer="992" w:gutter="0"/>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rect id="文本框 143" o:spid="_x0000_s1092" o:spt="1" style="position:absolute;left:0pt;margin-left:-85.7pt;margin-top:80.7pt;height:263.1pt;width:613.65pt;z-index:1024;mso-width-relative:page;mso-height-relative:page;" fillcolor="#FFD966" filled="t" o:preferrelative="t" stroked="t" coordsize="21600,21600">
            <v:path/>
            <v:fill type="pattern" on="t" focussize="0,0" r:id="rId22"/>
            <v:stroke weight="1pt" color="#FFD966" miterlimit="2"/>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v:textbox>
          </v:rect>
        </w:pict>
      </w:r>
      <w:r>
        <w:br w:type="page"/>
      </w:r>
    </w:p>
    <w:p>
      <w:pPr>
        <w:keepNext/>
        <w:keepLines/>
        <w:widowControl/>
        <w:spacing w:line="600" w:lineRule="exact"/>
        <w:jc w:val="left"/>
        <w:outlineLvl w:val="0"/>
        <w:rPr>
          <w:rFonts w:ascii="黑体" w:hAnsi="黑体" w:eastAsia="黑体" w:cs="Times New Roman"/>
          <w:kern w:val="0"/>
          <w:sz w:val="32"/>
          <w:szCs w:val="32"/>
        </w:rPr>
      </w:pPr>
      <w:r>
        <w:rPr>
          <w:rFonts w:ascii="黑体" w:hAnsi="黑体" w:eastAsia="黑体" w:cs="Times New Roman"/>
          <w:kern w:val="0"/>
          <w:sz w:val="32"/>
          <w:szCs w:val="32"/>
        </w:rPr>
        <w:t>一、部门职责</w:t>
      </w:r>
    </w:p>
    <w:p>
      <w:pPr>
        <w:widowControl/>
        <w:wordWrap w:val="0"/>
        <w:ind w:firstLine="640"/>
        <w:rPr>
          <w:rFonts w:ascii="仿宋" w:hAnsi="仿宋" w:eastAsia="仿宋" w:cs="Times New Roman"/>
          <w:kern w:val="0"/>
          <w:sz w:val="32"/>
          <w:szCs w:val="32"/>
        </w:rPr>
      </w:pPr>
      <w:r>
        <w:rPr>
          <w:rFonts w:ascii="仿宋" w:hAnsi="仿宋" w:eastAsia="仿宋" w:cs="Times New Roman"/>
          <w:kern w:val="0"/>
          <w:sz w:val="32"/>
          <w:szCs w:val="32"/>
        </w:rPr>
        <w:t>负责编制辖区内总体规划、经济社会发展规划、区域性城市发展规划和国土利用规划，经批准后组织实施；负责对固定资产投资项目进行审核或审批；负责辖区内基础设施、公用设施的建设与管理；负责辖区财政管理，实施辖区内财政预算、决算、国有资产管理和财政监督工作；负责招商引资、进出口贸易和国内外经济技术合作工作；负责辖区环境保护和安全生产监督管理工作；负责协调辖区内上级有关部门派驻机构的工作；负责迁安市人民政府交办的其他事项。</w:t>
      </w:r>
    </w:p>
    <w:p>
      <w:pPr>
        <w:keepNext/>
        <w:keepLines/>
        <w:widowControl/>
        <w:spacing w:line="600" w:lineRule="exact"/>
        <w:jc w:val="left"/>
        <w:outlineLvl w:val="0"/>
        <w:rPr>
          <w:rFonts w:hint="eastAsia" w:ascii="黑体" w:hAnsi="黑体" w:eastAsia="黑体" w:cs="Times New Roman"/>
          <w:kern w:val="0"/>
          <w:sz w:val="32"/>
          <w:szCs w:val="32"/>
        </w:rPr>
      </w:pPr>
      <w:r>
        <w:rPr>
          <w:rFonts w:ascii="黑体" w:hAnsi="黑体" w:eastAsia="黑体" w:cs="Times New Roman"/>
          <w:kern w:val="0"/>
          <w:sz w:val="32"/>
          <w:szCs w:val="32"/>
        </w:rPr>
        <w:t>二、机构设置</w:t>
      </w:r>
    </w:p>
    <w:p>
      <w:pPr>
        <w:widowControl/>
        <w:wordWrap w:val="0"/>
        <w:ind w:firstLine="640"/>
        <w:rPr>
          <w:rFonts w:ascii="仿宋" w:hAnsi="仿宋" w:eastAsia="仿宋" w:cs="Times New Roman"/>
          <w:kern w:val="0"/>
          <w:sz w:val="32"/>
          <w:szCs w:val="32"/>
        </w:rPr>
      </w:pPr>
      <w:r>
        <w:rPr>
          <w:rFonts w:ascii="仿宋" w:hAnsi="仿宋" w:eastAsia="仿宋" w:cs="Times New Roman"/>
          <w:kern w:val="0"/>
          <w:sz w:val="32"/>
          <w:szCs w:val="32"/>
        </w:rPr>
        <w:t>根据上述职责，迁安市北方钢铁物流产业聚集区管理委员会设3个内设机构：</w:t>
      </w:r>
    </w:p>
    <w:p>
      <w:pPr>
        <w:widowControl/>
        <w:wordWrap w:val="0"/>
        <w:ind w:firstLine="643"/>
        <w:rPr>
          <w:rFonts w:ascii="仿宋" w:hAnsi="仿宋" w:eastAsia="仿宋" w:cs="Times New Roman"/>
          <w:b/>
          <w:kern w:val="0"/>
          <w:sz w:val="32"/>
          <w:szCs w:val="32"/>
        </w:rPr>
      </w:pPr>
      <w:r>
        <w:rPr>
          <w:rFonts w:hint="eastAsia" w:ascii="仿宋" w:hAnsi="仿宋" w:eastAsia="仿宋" w:cs="Times New Roman"/>
          <w:b/>
          <w:kern w:val="0"/>
          <w:sz w:val="32"/>
          <w:szCs w:val="32"/>
          <w:lang w:eastAsia="zh-CN"/>
        </w:rPr>
        <w:t>（</w:t>
      </w:r>
      <w:r>
        <w:rPr>
          <w:rFonts w:ascii="仿宋" w:hAnsi="仿宋" w:eastAsia="仿宋" w:cs="Times New Roman"/>
          <w:b/>
          <w:kern w:val="0"/>
          <w:sz w:val="32"/>
          <w:szCs w:val="32"/>
        </w:rPr>
        <w:t>一</w:t>
      </w:r>
      <w:r>
        <w:rPr>
          <w:rFonts w:hint="eastAsia" w:ascii="仿宋" w:hAnsi="仿宋" w:eastAsia="仿宋" w:cs="Times New Roman"/>
          <w:b/>
          <w:kern w:val="0"/>
          <w:sz w:val="32"/>
          <w:szCs w:val="32"/>
          <w:lang w:eastAsia="zh-CN"/>
        </w:rPr>
        <w:t>）</w:t>
      </w:r>
      <w:r>
        <w:rPr>
          <w:rFonts w:ascii="仿宋" w:hAnsi="仿宋" w:eastAsia="仿宋" w:cs="Times New Roman"/>
          <w:b/>
          <w:kern w:val="0"/>
          <w:sz w:val="32"/>
          <w:szCs w:val="32"/>
        </w:rPr>
        <w:t>、综合办公室</w:t>
      </w:r>
    </w:p>
    <w:p>
      <w:pPr>
        <w:widowControl/>
        <w:wordWrap w:val="0"/>
        <w:ind w:firstLine="640"/>
        <w:rPr>
          <w:rFonts w:ascii="仿宋" w:hAnsi="仿宋" w:eastAsia="仿宋" w:cs="Times New Roman"/>
          <w:kern w:val="0"/>
          <w:sz w:val="32"/>
          <w:szCs w:val="32"/>
        </w:rPr>
      </w:pPr>
      <w:r>
        <w:rPr>
          <w:rFonts w:ascii="仿宋" w:hAnsi="仿宋" w:eastAsia="仿宋" w:cs="Times New Roman"/>
          <w:kern w:val="0"/>
          <w:sz w:val="32"/>
          <w:szCs w:val="32"/>
        </w:rPr>
        <w:t>负责党工委、管委会日常事务的综合协调工作;负责辖区党组织建设、领导班子建设和干部管理工作;负责机构编制、人力资源和社 保障工作;负责信息反馈、接待、会议活动组织、后勤等工作;负责文件收发、文书档案及印章管理工作;负责纪检监察、宣传、统战、群团和武装工作;负责组织维护辖区社会稳定和信访工作;负责编制年度财政收支计划,做好财政预算、执行、决算以及国有资产保值增值管理等财政方面的工作;负责统计工作;负责民政、人口和计划生育、公共卫生等方面的工作。</w:t>
      </w:r>
    </w:p>
    <w:p>
      <w:pPr>
        <w:widowControl/>
        <w:wordWrap w:val="0"/>
        <w:ind w:firstLine="643"/>
        <w:rPr>
          <w:rFonts w:ascii="仿宋" w:hAnsi="仿宋" w:eastAsia="仿宋" w:cs="Times New Roman"/>
          <w:b/>
          <w:kern w:val="0"/>
          <w:sz w:val="32"/>
          <w:szCs w:val="32"/>
        </w:rPr>
      </w:pPr>
      <w:r>
        <w:rPr>
          <w:rFonts w:ascii="仿宋" w:hAnsi="仿宋" w:eastAsia="仿宋" w:cs="Times New Roman"/>
          <w:b/>
          <w:kern w:val="0"/>
          <w:sz w:val="32"/>
          <w:szCs w:val="32"/>
        </w:rPr>
        <w:t xml:space="preserve"> </w:t>
      </w:r>
      <w:r>
        <w:rPr>
          <w:rFonts w:hint="eastAsia" w:ascii="仿宋" w:hAnsi="仿宋" w:eastAsia="仿宋" w:cs="Times New Roman"/>
          <w:b/>
          <w:kern w:val="0"/>
          <w:sz w:val="32"/>
          <w:szCs w:val="32"/>
          <w:lang w:eastAsia="zh-CN"/>
        </w:rPr>
        <w:t>（</w:t>
      </w:r>
      <w:r>
        <w:rPr>
          <w:rFonts w:hint="eastAsia" w:ascii="仿宋" w:hAnsi="仿宋" w:eastAsia="仿宋" w:cs="Times New Roman"/>
          <w:b/>
          <w:kern w:val="0"/>
          <w:sz w:val="32"/>
          <w:szCs w:val="32"/>
          <w:lang w:val="en-US" w:eastAsia="zh-CN"/>
        </w:rPr>
        <w:t>二</w:t>
      </w:r>
      <w:r>
        <w:rPr>
          <w:rFonts w:hint="eastAsia" w:ascii="仿宋" w:hAnsi="仿宋" w:eastAsia="仿宋" w:cs="Times New Roman"/>
          <w:b/>
          <w:kern w:val="0"/>
          <w:sz w:val="32"/>
          <w:szCs w:val="32"/>
          <w:lang w:eastAsia="zh-CN"/>
        </w:rPr>
        <w:t>）</w:t>
      </w:r>
      <w:r>
        <w:rPr>
          <w:rFonts w:ascii="仿宋" w:hAnsi="仿宋" w:eastAsia="仿宋" w:cs="Times New Roman"/>
          <w:b/>
          <w:kern w:val="0"/>
          <w:sz w:val="32"/>
          <w:szCs w:val="32"/>
        </w:rPr>
        <w:t>、招商投资部</w:t>
      </w:r>
    </w:p>
    <w:p>
      <w:pPr>
        <w:widowControl/>
        <w:wordWrap w:val="0"/>
        <w:ind w:firstLine="640"/>
        <w:rPr>
          <w:rFonts w:ascii="仿宋" w:hAnsi="仿宋" w:eastAsia="仿宋" w:cs="Times New Roman"/>
          <w:kern w:val="0"/>
          <w:sz w:val="32"/>
          <w:szCs w:val="32"/>
        </w:rPr>
      </w:pPr>
      <w:r>
        <w:rPr>
          <w:rFonts w:ascii="仿宋" w:hAnsi="仿宋" w:eastAsia="仿宋" w:cs="Times New Roman"/>
          <w:kern w:val="0"/>
          <w:sz w:val="32"/>
          <w:szCs w:val="32"/>
        </w:rPr>
        <w:t>负责辖区经济发展总体规划、中长期计划及年度计划的编制及实施;负责区内企业的安全生产和环境保护工作;负责投融资管理工作;负责编制辖区招商计划,并组织实施;负责项目信息的搜集、整理、储各和招商引资信息网络建设管理;负责国内外客商的日常接待和项目洽谈;组织实施各项重大招商活动;负责进出口贸易和国内外经济技术合作的组织和管理工作;对权限内固定资产投资项目进行核准或各案;负责外来投资项目申请享受优惠政策的审查、落实工作;负责省下放特定区域审批权除规划建设审批权限以外相关事项的审批;负责上级下达给园区企业年度发展资金的分配。</w:t>
      </w:r>
    </w:p>
    <w:p>
      <w:pPr>
        <w:widowControl/>
        <w:wordWrap w:val="0"/>
        <w:ind w:firstLine="643"/>
        <w:rPr>
          <w:rFonts w:ascii="仿宋" w:hAnsi="仿宋" w:eastAsia="仿宋" w:cs="Times New Roman"/>
          <w:b/>
          <w:kern w:val="0"/>
          <w:sz w:val="32"/>
          <w:szCs w:val="32"/>
        </w:rPr>
      </w:pPr>
      <w:r>
        <w:rPr>
          <w:rFonts w:ascii="仿宋" w:hAnsi="仿宋" w:eastAsia="仿宋" w:cs="Times New Roman"/>
          <w:b/>
          <w:kern w:val="0"/>
          <w:sz w:val="32"/>
          <w:szCs w:val="32"/>
        </w:rPr>
        <w:t xml:space="preserve"> </w:t>
      </w:r>
      <w:r>
        <w:rPr>
          <w:rFonts w:hint="eastAsia" w:ascii="仿宋" w:hAnsi="仿宋" w:eastAsia="仿宋" w:cs="Times New Roman"/>
          <w:b/>
          <w:kern w:val="0"/>
          <w:sz w:val="32"/>
          <w:szCs w:val="32"/>
          <w:lang w:eastAsia="zh-CN"/>
        </w:rPr>
        <w:t>（</w:t>
      </w:r>
      <w:r>
        <w:rPr>
          <w:rFonts w:hint="eastAsia" w:ascii="仿宋" w:hAnsi="仿宋" w:eastAsia="仿宋" w:cs="Times New Roman"/>
          <w:b/>
          <w:kern w:val="0"/>
          <w:sz w:val="32"/>
          <w:szCs w:val="32"/>
          <w:lang w:val="en-US" w:eastAsia="zh-CN"/>
        </w:rPr>
        <w:t>三</w:t>
      </w:r>
      <w:r>
        <w:rPr>
          <w:rFonts w:hint="eastAsia" w:ascii="仿宋" w:hAnsi="仿宋" w:eastAsia="仿宋" w:cs="Times New Roman"/>
          <w:b/>
          <w:kern w:val="0"/>
          <w:sz w:val="32"/>
          <w:szCs w:val="32"/>
          <w:lang w:eastAsia="zh-CN"/>
        </w:rPr>
        <w:t>）</w:t>
      </w:r>
      <w:r>
        <w:rPr>
          <w:rFonts w:ascii="仿宋" w:hAnsi="仿宋" w:eastAsia="仿宋" w:cs="Times New Roman"/>
          <w:b/>
          <w:kern w:val="0"/>
          <w:sz w:val="32"/>
          <w:szCs w:val="32"/>
        </w:rPr>
        <w:t>、规划建设部</w:t>
      </w:r>
    </w:p>
    <w:p>
      <w:pPr>
        <w:widowControl/>
        <w:wordWrap w:val="0"/>
        <w:ind w:firstLine="640"/>
        <w:rPr>
          <w:rFonts w:ascii="仿宋" w:hAnsi="仿宋" w:eastAsia="仿宋" w:cs="Times New Roman"/>
          <w:kern w:val="0"/>
          <w:sz w:val="32"/>
          <w:szCs w:val="32"/>
        </w:rPr>
      </w:pPr>
      <w:r>
        <w:rPr>
          <w:rFonts w:ascii="仿宋" w:hAnsi="仿宋" w:eastAsia="仿宋" w:cs="Times New Roman"/>
          <w:kern w:val="0"/>
          <w:sz w:val="32"/>
          <w:szCs w:val="32"/>
        </w:rPr>
        <w:t>负责辖区区域性城市发展建设规划、国土利用规划的编制、报批、调整、组织实施和管理工作;负责建设项目的选址意见书、建设用地规划许可证、建设工程规划许可证的颁发和建设工程规划验收工作;负责建设项目登记、招投标及造价管理、质量监督、安全监督、施工许可证颁发等工作;负责基础设施和公用设施的建设和管理以及公用设施的维护工作;负责建筑市场稽查、建筑节能改造、墙体材料革新和建筑队伍管理工作;负责解决建筑领域的拖欠问题;负责上级下达给园区年度土地支持指标的统筹分配;负责辖区地名申报及管理工作。</w:t>
      </w:r>
    </w:p>
    <w:p>
      <w:pPr>
        <w:widowControl/>
        <w:wordWrap w:val="0"/>
        <w:ind w:firstLine="643"/>
        <w:rPr>
          <w:rFonts w:ascii="仿宋" w:hAnsi="仿宋" w:eastAsia="仿宋" w:cs="Times New Roman"/>
          <w:b/>
          <w:kern w:val="0"/>
          <w:sz w:val="32"/>
          <w:szCs w:val="32"/>
        </w:rPr>
      </w:pPr>
      <w:r>
        <w:rPr>
          <w:rFonts w:hint="eastAsia" w:ascii="仿宋" w:hAnsi="仿宋" w:eastAsia="仿宋" w:cs="Times New Roman"/>
          <w:b/>
          <w:kern w:val="0"/>
          <w:sz w:val="32"/>
          <w:szCs w:val="32"/>
          <w:lang w:eastAsia="zh-CN"/>
        </w:rPr>
        <w:t>（</w:t>
      </w:r>
      <w:r>
        <w:rPr>
          <w:rFonts w:hint="eastAsia" w:ascii="仿宋" w:hAnsi="仿宋" w:eastAsia="仿宋" w:cs="Times New Roman"/>
          <w:b/>
          <w:kern w:val="0"/>
          <w:sz w:val="32"/>
          <w:szCs w:val="32"/>
          <w:lang w:val="en-US" w:eastAsia="zh-CN"/>
        </w:rPr>
        <w:t>四</w:t>
      </w:r>
      <w:r>
        <w:rPr>
          <w:rFonts w:hint="eastAsia" w:ascii="仿宋" w:hAnsi="仿宋" w:eastAsia="仿宋" w:cs="Times New Roman"/>
          <w:b/>
          <w:kern w:val="0"/>
          <w:sz w:val="32"/>
          <w:szCs w:val="32"/>
          <w:lang w:eastAsia="zh-CN"/>
        </w:rPr>
        <w:t>）</w:t>
      </w:r>
      <w:r>
        <w:rPr>
          <w:rFonts w:ascii="仿宋" w:hAnsi="仿宋" w:eastAsia="仿宋" w:cs="Times New Roman"/>
          <w:b/>
          <w:kern w:val="0"/>
          <w:sz w:val="32"/>
          <w:szCs w:val="32"/>
        </w:rPr>
        <w:t>、所属事业单位</w:t>
      </w:r>
    </w:p>
    <w:p>
      <w:pPr>
        <w:widowControl/>
        <w:wordWrap w:val="0"/>
        <w:ind w:firstLine="640"/>
        <w:rPr>
          <w:rFonts w:ascii="仿宋" w:hAnsi="仿宋" w:eastAsia="仿宋" w:cs="Times New Roman"/>
          <w:kern w:val="0"/>
          <w:sz w:val="32"/>
          <w:szCs w:val="32"/>
        </w:rPr>
      </w:pPr>
      <w:r>
        <w:rPr>
          <w:rFonts w:ascii="仿宋" w:hAnsi="仿宋" w:eastAsia="仿宋" w:cs="Times New Roman"/>
          <w:kern w:val="0"/>
          <w:sz w:val="32"/>
          <w:szCs w:val="32"/>
        </w:rPr>
        <w:t>1 . 园区建设服务中心( 副科级 )。核定全额事业编制7名,其中设主任1名(</w:t>
      </w:r>
      <w:r>
        <w:rPr>
          <w:rFonts w:ascii="仿宋" w:hAnsi="仿宋" w:eastAsia="仿宋" w:cs="Times New Roman"/>
          <w:kern w:val="0"/>
          <w:sz w:val="32"/>
          <w:szCs w:val="32"/>
        </w:rPr>
        <w:tab/>
      </w:r>
      <w:r>
        <w:rPr>
          <w:rFonts w:ascii="仿宋" w:hAnsi="仿宋" w:eastAsia="仿宋" w:cs="Times New Roman"/>
          <w:kern w:val="0"/>
          <w:sz w:val="32"/>
          <w:szCs w:val="32"/>
        </w:rPr>
        <w:t>副科级 )，副主任2名( 正股级 )。要职责是协调解决项目建设过程中遇到的各种实际问题; 负责协调涉及乡镇做好征地、拆迁及人员安置工作;</w:t>
      </w:r>
      <w:r>
        <w:rPr>
          <w:rFonts w:ascii="仿宋" w:hAnsi="仿宋" w:eastAsia="仿宋" w:cs="Times New Roman"/>
          <w:kern w:val="0"/>
          <w:sz w:val="32"/>
          <w:szCs w:val="32"/>
        </w:rPr>
        <w:tab/>
      </w:r>
      <w:r>
        <w:rPr>
          <w:rFonts w:ascii="仿宋" w:hAnsi="仿宋" w:eastAsia="仿宋" w:cs="Times New Roman"/>
          <w:kern w:val="0"/>
          <w:sz w:val="32"/>
          <w:szCs w:val="32"/>
        </w:rPr>
        <w:t>负责园林绿化、环境卫生等工作,组织实施全区市容市貌和环境卫生的宏观管理工作 ; 负责有偿使用市政公用事业设施的收费和经营权招投标的管理工作。</w:t>
      </w:r>
    </w:p>
    <w:p>
      <w:pPr>
        <w:widowControl/>
        <w:spacing w:line="560" w:lineRule="exact"/>
        <w:ind w:firstLine="640" w:firstLineChars="200"/>
        <w:rPr>
          <w:rFonts w:ascii="仿宋_GB2312" w:hAnsi="ArialUnicodeMS" w:eastAsia="宋体" w:cs="Times New Roman"/>
          <w:kern w:val="0"/>
          <w:sz w:val="32"/>
          <w:szCs w:val="32"/>
        </w:rPr>
      </w:pPr>
      <w:r>
        <w:rPr>
          <w:rFonts w:ascii="仿宋" w:hAnsi="仿宋" w:eastAsia="仿宋" w:cs="Times New Roman"/>
          <w:kern w:val="0"/>
          <w:sz w:val="32"/>
          <w:szCs w:val="32"/>
        </w:rPr>
        <w:t>2 .资投服务中心 ( 副科级 ) 。核定全额事业编制 3 名, 其中设主任 1 名 ( 副科级 ) 。主要职责是 : 负责区内企业的政策引导和协调服务工作 , 负责组织协调企业标准化、计量、质量等工作 , 为进区企业提供全方位技术创新、技术成果转化服务 ; 负责指导项目单位办事流程及办事指南, 协助编排项目审批进度计划 ; 负责协助项目单位分阶段准各申报材料 , 负责对审批过程进行跟踪 ,及时向项目单位反馈项目办理进展情况，负责审批部门及相关单位的沟通协调工作；做好代办项目相关资料的整理、保管和移交工作。</w:t>
      </w:r>
    </w:p>
    <w:p>
      <w:pPr>
        <w:widowControl/>
        <w:spacing w:line="560" w:lineRule="exact"/>
        <w:ind w:firstLine="640" w:firstLineChars="200"/>
        <w:rPr>
          <w:rFonts w:ascii="仿宋_GB2312" w:hAnsi="ArialUnicodeMS" w:eastAsia="ArialUnicodeMS" w:cs="Times New Roman"/>
          <w:kern w:val="0"/>
          <w:sz w:val="32"/>
          <w:szCs w:val="32"/>
        </w:rPr>
      </w:pPr>
      <w:r>
        <w:rPr>
          <w:rFonts w:ascii="仿宋_GB2312" w:hAnsi="ArialUnicodeMS" w:eastAsia="ArialUnicodeMS" w:cs="Times New Roman"/>
          <w:kern w:val="0"/>
          <w:sz w:val="32"/>
          <w:szCs w:val="32"/>
        </w:rPr>
        <w:t>从决算编报单位构成看，纳入2019年度本部门决算汇编范围的独立核算单位（以下简称“单位”）共1个，具体情况如下：</w:t>
      </w:r>
    </w:p>
    <w:tbl>
      <w:tblPr>
        <w:tblStyle w:val="8"/>
        <w:tblpPr w:leftFromText="180" w:rightFromText="180" w:vertAnchor="text" w:horzAnchor="page" w:tblpXSpec="center" w:tblpY="10"/>
        <w:tblOverlap w:val="never"/>
        <w:tblW w:w="815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4136"/>
        <w:gridCol w:w="1903"/>
        <w:gridCol w:w="134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1" w:hRule="atLeast"/>
        </w:trPr>
        <w:tc>
          <w:tcPr>
            <w:tcW w:w="779" w:type="dxa"/>
            <w:vAlign w:val="center"/>
          </w:tcPr>
          <w:p>
            <w:pPr>
              <w:widowControl/>
              <w:spacing w:line="560" w:lineRule="exact"/>
              <w:jc w:val="center"/>
              <w:rPr>
                <w:rFonts w:ascii="仿宋_GB2312" w:hAnsi="ArialUnicodeMS" w:eastAsia="ArialUnicodeMS" w:cs="Times New Roman"/>
                <w:b/>
                <w:kern w:val="0"/>
                <w:sz w:val="28"/>
                <w:szCs w:val="28"/>
              </w:rPr>
            </w:pPr>
            <w:r>
              <w:rPr>
                <w:rFonts w:ascii="仿宋_GB2312" w:hAnsi="ArialUnicodeMS" w:eastAsia="ArialUnicodeMS" w:cs="Times New Roman"/>
                <w:b/>
                <w:kern w:val="0"/>
                <w:sz w:val="28"/>
                <w:szCs w:val="28"/>
              </w:rPr>
              <w:t>序号</w:t>
            </w:r>
          </w:p>
        </w:tc>
        <w:tc>
          <w:tcPr>
            <w:tcW w:w="4136" w:type="dxa"/>
            <w:vAlign w:val="center"/>
          </w:tcPr>
          <w:p>
            <w:pPr>
              <w:widowControl/>
              <w:spacing w:line="560" w:lineRule="exact"/>
              <w:jc w:val="center"/>
              <w:rPr>
                <w:rFonts w:ascii="仿宋_GB2312" w:hAnsi="ArialUnicodeMS" w:eastAsia="ArialUnicodeMS" w:cs="Times New Roman"/>
                <w:b/>
                <w:kern w:val="0"/>
                <w:sz w:val="28"/>
                <w:szCs w:val="28"/>
              </w:rPr>
            </w:pPr>
            <w:r>
              <w:rPr>
                <w:rFonts w:ascii="仿宋_GB2312" w:hAnsi="ArialUnicodeMS" w:eastAsia="ArialUnicodeMS" w:cs="Times New Roman"/>
                <w:b/>
                <w:kern w:val="0"/>
                <w:sz w:val="28"/>
                <w:szCs w:val="28"/>
              </w:rPr>
              <w:t>单位名称</w:t>
            </w:r>
          </w:p>
        </w:tc>
        <w:tc>
          <w:tcPr>
            <w:tcW w:w="1903" w:type="dxa"/>
            <w:vAlign w:val="center"/>
          </w:tcPr>
          <w:p>
            <w:pPr>
              <w:widowControl/>
              <w:spacing w:line="560" w:lineRule="exact"/>
              <w:jc w:val="center"/>
              <w:rPr>
                <w:rFonts w:ascii="仿宋_GB2312" w:hAnsi="ArialUnicodeMS" w:eastAsia="ArialUnicodeMS" w:cs="Times New Roman"/>
                <w:b/>
                <w:kern w:val="0"/>
                <w:sz w:val="28"/>
                <w:szCs w:val="28"/>
              </w:rPr>
            </w:pPr>
            <w:r>
              <w:rPr>
                <w:rFonts w:ascii="仿宋_GB2312" w:hAnsi="ArialUnicodeMS" w:eastAsia="ArialUnicodeMS" w:cs="Times New Roman"/>
                <w:b/>
                <w:kern w:val="0"/>
                <w:sz w:val="28"/>
                <w:szCs w:val="28"/>
              </w:rPr>
              <w:t>单位基本性质</w:t>
            </w:r>
          </w:p>
        </w:tc>
        <w:tc>
          <w:tcPr>
            <w:tcW w:w="1341" w:type="dxa"/>
            <w:vAlign w:val="center"/>
          </w:tcPr>
          <w:p>
            <w:pPr>
              <w:widowControl/>
              <w:spacing w:line="560" w:lineRule="exact"/>
              <w:jc w:val="center"/>
              <w:rPr>
                <w:rFonts w:ascii="仿宋_GB2312" w:hAnsi="ArialUnicodeMS" w:eastAsia="ArialUnicodeMS" w:cs="Times New Roman"/>
                <w:b/>
                <w:kern w:val="0"/>
                <w:sz w:val="28"/>
                <w:szCs w:val="28"/>
              </w:rPr>
            </w:pPr>
            <w:r>
              <w:rPr>
                <w:rFonts w:ascii="仿宋_GB2312" w:hAnsi="ArialUnicodeMS" w:eastAsia="ArialUnicodeMS" w:cs="Times New Roman"/>
                <w:b/>
                <w:kern w:val="0"/>
                <w:sz w:val="28"/>
                <w:szCs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96" w:hRule="atLeast"/>
        </w:trPr>
        <w:tc>
          <w:tcPr>
            <w:tcW w:w="779" w:type="dxa"/>
          </w:tcPr>
          <w:p>
            <w:pPr>
              <w:widowControl/>
              <w:spacing w:line="560" w:lineRule="exact"/>
              <w:jc w:val="center"/>
              <w:rPr>
                <w:rFonts w:ascii="仿宋_GB2312" w:hAnsi="ArialUnicodeMS" w:eastAsia="ArialUnicodeMS" w:cs="Times New Roman"/>
                <w:kern w:val="0"/>
                <w:sz w:val="28"/>
                <w:szCs w:val="28"/>
              </w:rPr>
            </w:pPr>
            <w:r>
              <w:rPr>
                <w:rFonts w:ascii="仿宋_GB2312" w:hAnsi="ArialUnicodeMS" w:eastAsia="ArialUnicodeMS" w:cs="Times New Roman"/>
                <w:kern w:val="0"/>
                <w:sz w:val="28"/>
                <w:szCs w:val="28"/>
              </w:rPr>
              <w:t>1</w:t>
            </w:r>
          </w:p>
        </w:tc>
        <w:tc>
          <w:tcPr>
            <w:tcW w:w="4136" w:type="dxa"/>
          </w:tcPr>
          <w:p>
            <w:pPr>
              <w:widowControl/>
              <w:spacing w:line="560" w:lineRule="exact"/>
              <w:rPr>
                <w:rFonts w:ascii="仿宋_GB2312" w:hAnsi="ArialUnicodeMS" w:eastAsia="ArialUnicodeMS" w:cs="Times New Roman"/>
                <w:kern w:val="0"/>
                <w:sz w:val="28"/>
                <w:szCs w:val="28"/>
              </w:rPr>
            </w:pPr>
            <w:r>
              <w:rPr>
                <w:rFonts w:ascii="仿宋_GB2312" w:hAnsi="ArialUnicodeMS" w:eastAsia="ArialUnicodeMS" w:cs="Times New Roman"/>
                <w:kern w:val="0"/>
                <w:sz w:val="28"/>
                <w:szCs w:val="28"/>
              </w:rPr>
              <w:t>迁安市北方钢铁物流产业聚集区</w:t>
            </w:r>
          </w:p>
        </w:tc>
        <w:tc>
          <w:tcPr>
            <w:tcW w:w="1903" w:type="dxa"/>
          </w:tcPr>
          <w:p>
            <w:pPr>
              <w:widowControl/>
              <w:spacing w:line="560" w:lineRule="exact"/>
              <w:jc w:val="center"/>
              <w:rPr>
                <w:rFonts w:ascii="仿宋_GB2312" w:hAnsi="ArialUnicodeMS" w:eastAsia="ArialUnicodeMS" w:cs="Times New Roman"/>
                <w:kern w:val="0"/>
                <w:sz w:val="28"/>
                <w:szCs w:val="28"/>
              </w:rPr>
            </w:pPr>
            <w:r>
              <w:rPr>
                <w:rFonts w:ascii="仿宋_GB2312" w:hAnsi="ArialUnicodeMS" w:eastAsia="ArialUnicodeMS" w:cs="Times New Roman"/>
                <w:kern w:val="0"/>
                <w:sz w:val="28"/>
                <w:szCs w:val="28"/>
              </w:rPr>
              <w:t>行政单位</w:t>
            </w:r>
          </w:p>
        </w:tc>
        <w:tc>
          <w:tcPr>
            <w:tcW w:w="1341" w:type="dxa"/>
          </w:tcPr>
          <w:p>
            <w:pPr>
              <w:widowControl/>
              <w:spacing w:line="560" w:lineRule="exact"/>
              <w:jc w:val="center"/>
              <w:rPr>
                <w:rFonts w:ascii="仿宋_GB2312" w:hAnsi="ArialUnicodeMS" w:eastAsia="ArialUnicodeMS" w:cs="Times New Roman"/>
                <w:kern w:val="0"/>
                <w:sz w:val="28"/>
                <w:szCs w:val="28"/>
              </w:rPr>
            </w:pPr>
            <w:r>
              <w:rPr>
                <w:rFonts w:ascii="仿宋_GB2312" w:hAnsi="ArialUnicodeMS" w:eastAsia="ArialUnicodeMS" w:cs="Times New Roman"/>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0" w:type="first"/>
          <w:headerReference r:id="rId8" w:type="default"/>
          <w:footerReference r:id="rId9" w:type="default"/>
          <w:pgSz w:w="11906" w:h="16838"/>
          <w:pgMar w:top="2041" w:right="1531" w:bottom="2041" w:left="1531" w:header="851" w:footer="992" w:gutter="0"/>
          <w:pgNumType w:fmt="numberInDash" w:start="1"/>
          <w:cols w:space="72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1" w:type="default"/>
          <w:type w:val="continuous"/>
          <w:pgSz w:w="11906" w:h="16838"/>
          <w:pgMar w:top="2041" w:right="1531" w:bottom="2041" w:left="1531" w:header="851" w:footer="992" w:gutter="0"/>
          <w:pgNumType w:fmt="numberInDash"/>
          <w:cols w:space="72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720" w:num="1"/>
          <w:titlePg/>
          <w:docGrid w:type="lines" w:linePitch="312" w:charSpace="0"/>
        </w:sectPr>
      </w:pPr>
      <w:r>
        <w:rPr>
          <w:sz w:val="72"/>
        </w:rPr>
        <w:pict>
          <v:rect id="文本框 151" o:spid="_x0000_s1093" o:spt="1" style="position:absolute;left:0pt;margin-left:-85.7pt;margin-top:238.15pt;height:173.25pt;width:613.65pt;z-index:1024;mso-width-relative:page;mso-height-relative:page;" filled="f" o:preferrelative="t" stroked="f" coordsize="21600,21600">
            <v:path/>
            <v:fill on="f" focussize="0,0"/>
            <v:stroke on="f"/>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 xml:space="preserve"> </w:t>
                  </w:r>
                </w:p>
                <w:p>
                  <w:pPr>
                    <w:widowControl/>
                    <w:jc w:val="center"/>
                    <w:rPr>
                      <w:rFonts w:ascii="黑体" w:hAnsi="黑体" w:eastAsia="黑体"/>
                      <w:color w:val="000000"/>
                      <w:sz w:val="96"/>
                      <w:szCs w:val="96"/>
                    </w:rPr>
                  </w:pPr>
                </w:p>
              </w:txbxContent>
            </v:textbox>
          </v:rect>
        </w:pict>
      </w:r>
    </w:p>
    <w:p>
      <w:pPr>
        <w:widowControl/>
        <w:spacing w:line="580" w:lineRule="exact"/>
        <w:ind w:firstLine="640" w:firstLineChars="200"/>
        <w:rPr>
          <w:rFonts w:eastAsia="黑体"/>
          <w:sz w:val="32"/>
          <w:szCs w:val="3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r>
        <w:rPr>
          <w:sz w:val="72"/>
        </w:rPr>
        <w:pict>
          <v:rect id="文本框 187" o:spid="_x0000_s1094" o:spt="1" style="position:absolute;left:0pt;margin-left:-90.8pt;margin-top:4.35pt;height:263.1pt;width:613.65pt;z-index:1024;mso-width-relative:page;mso-height-relative:page;" fillcolor="#FFD966" filled="t" o:preferrelative="t" stroked="t" coordsize="21600,21600">
            <v:path/>
            <v:fill type="pattern" on="t" focussize="0,0" r:id="rId22"/>
            <v:stroke weight="0.5pt" color="#FFD966" miterlimit="2"/>
            <v:imagedata o:title=""/>
            <o:lock v:ext="edit"/>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2019年部门决算情况说明</w:t>
                  </w:r>
                </w:p>
                <w:p/>
              </w:txbxContent>
            </v:textbox>
          </v:rect>
        </w:pict>
      </w: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本部门2019年度收支总计（含结转和结余）3458.39万元。与2018年度决算相比，收入增加2265.89万元，增长351.55%，支出增加2201.12万元，增长287.42%。主要原因是兑现招商引资优惠政策及支付迁控公司利息。</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本部门2019年度本年收入合计2910.43万元，其中：财政拨款收入2910.43万元，占100%。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pict>
          <v:shape id="图表 25" o:spid="_x0000_s1095" o:spt="100" style="position:absolute;left:0pt;margin-left:112.6pt;margin-top:95.15pt;height:147.1pt;width:214.1pt;mso-wrap-distance-bottom:0pt;mso-wrap-distance-top:0pt;z-index:1024;mso-width-relative:page;mso-height-relative:page;" filled="f" stroked="f" coordsize="21600,21600" adj=",,">
            <v:fill on="f" focussize="0,0"/>
            <v:stroke on="f"/>
            <v:imagedata o:title=""/>
            <o:lock v:ext="edit"/>
            <v:textbox>
              <w:txbxContent>
                <w:p/>
              </w:txbxContent>
            </v:textbox>
            <w10:wrap type="topAndBottom"/>
          </v:shape>
        </w:pict>
      </w:r>
      <w:r>
        <w:rPr>
          <w:rFonts w:hint="eastAsia" w:ascii="仿宋_GB2312" w:hAnsi="Times New Roman" w:eastAsia="仿宋_GB2312" w:cs="DengXian-Regular"/>
          <w:sz w:val="32"/>
          <w:szCs w:val="32"/>
        </w:rPr>
        <w:t>本部门2019年度本年支出合计2966.95万元，其中：基本支出356.64万元，占12.02%；项目支出2610.31万元，占87.98%。如图所示：</w:t>
      </w:r>
    </w:p>
    <w:p>
      <w:pPr>
        <w:keepNext/>
        <w:keepLines/>
        <w:snapToGrid w:val="0"/>
        <w:spacing w:line="580" w:lineRule="exact"/>
        <w:ind w:firstLine="640" w:firstLineChars="200"/>
        <w:outlineLvl w:val="1"/>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2910.43万元,比2018年度增加2265.89万元，增长351.55%，主要是兑现招商引资优惠政策及偿还迁控公司利息；本年支出2966.95万元，增加2201.12万元，增长287.42%，主要是兑现招商引资优惠政策及偿还迁控公司利息。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一般公共预算财政拨款本年收入2710.43万元，比上年增加2065.89万元；主要是兑现招商引资优惠政策；本年支出2766.95万元，比上年增加2001.12万元，主要是兑现招商引资优惠政策。</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政府性基金预算财政拨款本年收入200万元，比上年增加200万元，主要原因是偿还迁控公司利息；本年支出200万元，比上年增加200万元，主要是偿还迁控公司利息。</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2910.43万元，完成年初预算的699.57%,比年初预算增加2494.4万元，决算数大于预算数主要原因是兑现招商引资优惠政策及偿还迁控公司利息；本年支出2966.95万元，完成年初预算的713.15%,比年初预算增加2550.92万元，决算数大于预算数主要原因是主要是兑现招商引资优惠政策及偿还迁控公司利息。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一般公共预算财政拨款本年收入完成年初预算651.5%，比年初预算增加2294.4万元，主要是兑现招商引资优惠政策；支出完成年初预算665.08%，比年初预算增加2350.92万元，主要是兑现招商引资优惠政策。</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2.政府性基金预算财政拨款本年收入完成年初预算200%，比年初预算增加200万元，主要是偿还迁控公司利息；支出完成年初预算200%，比年初预算增加200万元，主要是偿还迁控公司利息。</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2966.95万元，主要用于以下方面：一般公共服务（类）支出35.83万元，占1.2%；社会保障和就业（类）支出35.76万元，占1.2%；卫生健康（类）支出19.08万元，占0.64%；节能环保支出（类）支出8.42万元，占0.28%；城乡社区（类）支出220.78万元，占7.44%；商业服务业等（类）支出2632.9万元，占 88.74%;住房保障（类）支出14.19万元，占0.48%。</w:t>
      </w:r>
    </w:p>
    <w:p>
      <w:pPr>
        <w:adjustRightInd w:val="0"/>
        <w:snapToGrid w:val="0"/>
        <w:spacing w:line="580" w:lineRule="exact"/>
        <w:ind w:firstLine="643" w:firstLineChars="200"/>
        <w:rPr>
          <w:rFonts w:ascii="仿宋_GB2312" w:hAnsi="Times New Roman" w:eastAsia="仿宋_GB2312" w:cs="DengXian-Regular"/>
          <w:sz w:val="32"/>
          <w:szCs w:val="32"/>
        </w:rPr>
      </w:pPr>
      <w:r>
        <w:rPr>
          <w:rFonts w:ascii="楷体_GB2312" w:hAnsi="Times New Roman" w:eastAsia="楷体_GB2312" w:cs="DengXian-Bold"/>
          <w:b/>
          <w:bCs/>
          <w:sz w:val="32"/>
          <w:szCs w:val="32"/>
        </w:rPr>
        <w:pict>
          <v:shape id="图表 26" o:spid="_x0000_s1096" o:spt="100" style="position:absolute;left:0pt;margin-left:25.85pt;margin-top:10.8pt;height:165.8pt;width:400pt;mso-wrap-distance-bottom:0pt;mso-wrap-distance-top:0pt;z-index:1024;mso-width-relative:page;mso-height-relative:page;" filled="f" stroked="f" coordsize="21600,21600" adj=",,">
            <v:fill on="f" focussize="0,0"/>
            <v:stroke on="f"/>
            <v:imagedata o:title=""/>
            <o:lock v:ext="edit"/>
            <v:textbox>
              <w:txbxContent>
                <w:p/>
              </w:txbxContent>
            </v:textbox>
            <w10:wrap type="topAndBottom"/>
          </v:shape>
        </w:pic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356.64万元，其中：人员经费286.3万元，主要包括基本工资91.28万元、津贴补贴47.21万元、奖金45.36万元、绩效工资22.25万元、机关事业单位基本养老保险缴费32.75万元、职业年金缴费2.47万元、职工基本医疗保险缴费9.34万元、公务员医疗补助缴费9.4万元、住房公积金14.19万元、其他社会保障缴费0.87万元、其他工资福利支出5.74万元、对个人和家庭的补助支出5.43万元；公用经费 70.34万元，主要包括办公费8.4万元、邮电费12.4万元、差旅费7.38万元、委托业务费29.14万元、工会经费2.52万元、福利费1.64万元、公务用车运行维护费1.03万元、其他交通费用5.14万元、其他商品和服务支出2.7万元。</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1.41万元，完成预算的10.89%,较预算减少11.5万元，降低89.11%，主要是公务用车严格履行出车手续，控制用车次数；公务接待严格履行接待手续，控制接待次数。较2018年度减少2.24万元，降低61.37%，主要是公务用车严格履行出车手续，控制用车次数；公务接待严格履行接待手续，控制接待次数。具体情况如下：</w:t>
      </w:r>
    </w:p>
    <w:p>
      <w:pPr>
        <w:numPr>
          <w:ilvl w:val="0"/>
          <w:numId w:val="4"/>
        </w:num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2019年未发生因公出国（境）费用。较预算无增减变化、较2018年度决算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（二）公务用车购置及运行维护费支出1.03万元。</w:t>
      </w:r>
      <w:r>
        <w:rPr>
          <w:rFonts w:hint="eastAsia" w:ascii="仿宋_GB2312" w:hAnsi="Times New Roman" w:eastAsia="仿宋_GB2312" w:cs="DengXian-Regular"/>
          <w:sz w:val="32"/>
          <w:szCs w:val="32"/>
        </w:rPr>
        <w:t>本部门2019年度公务用车购置及运行维护费较预算减少10.97万元，降低91.42%,主要是公务用车严格履行出车手续，控制用车次数。较上年减少1.6万元，降低60.84%,主要是公务用车严格履行出车手续，控制用车次数。</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年未发生公务用车购置经费支出。与年初预算持平、与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本部门2019年度单位公务用车保有量2辆。公车运行维护费支出较预算减少10.97万元，降低91.42%,主要是公车维修费减少；较上年增加减少1.6万元，降低60.84%，主要是主要是公车维修费减少。</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（三）公务接待费支出0.38万元。</w:t>
      </w:r>
      <w:r>
        <w:rPr>
          <w:rFonts w:hint="eastAsia" w:ascii="仿宋_GB2312" w:hAnsi="Times New Roman" w:eastAsia="仿宋_GB2312" w:cs="DengXian-Regular"/>
          <w:sz w:val="32"/>
          <w:szCs w:val="32"/>
        </w:rPr>
        <w:t>本部门2019年度公务接待共8批次、45人次。公务接待费支出较预算减少0.57万元，降低60%,主要是公务接待次数减少；较上年度减少0.64万元，降低62.75%,主要是公务接待次数减少。</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19个，共涉及资金2610.31万元，占一般公共预算项目支出总额的100%。组织对“2019年招商经费”、“兑现丝路物流(迁安)有限公司综合物流服务项目(原天津物产项目)优惠政策”等15个项目开展了部门评价，涉及一般公共预算支出1472.04万元。从评价情况来看，能够</w:t>
      </w:r>
      <w:r>
        <w:rPr>
          <w:rFonts w:hint="eastAsia" w:ascii="仿宋_GB2312" w:eastAsia="仿宋_GB2312" w:cs="DengXian-Regular"/>
          <w:sz w:val="32"/>
          <w:szCs w:val="32"/>
        </w:rPr>
        <w:t>科学评价物流园区的工作，从而进一步规范财政资金管理，强化部门责任意识，切实提高资金使用效益，对维护社会稳定、推动经济发展和社会进步产生积极作用</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本部门在今年部门决算公开中反映2019年招商经费、兑现丝路物流(迁安)有限公司综合物流服务项目(原天津物产项目)优惠政策等2个项目绩效自评结果。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招商经费项目自评综述：根据年初设定的绩效目标，招商经费项目绩效自评得分为10分（绩效自评表附后）。全年预算数为60万元，执行数为60万元，完成预算的100%。项目绩效目标完成情况：2019年，招商部赴北京、天津等地精准招商。2019年，招商引资工作在专项经费的支持下，积极做好龙头骨干项目招商，突出抓好物流、电商等产业招商，坚持“引资”与“引智”并举招商，进一步创新方式招商，坚持做到“走出去”推介和“请进来”考察相</w:t>
      </w:r>
      <w:bookmarkStart w:id="1" w:name="_GoBack"/>
      <w:bookmarkEnd w:id="1"/>
      <w:r>
        <w:rPr>
          <w:rFonts w:hint="eastAsia" w:ascii="仿宋_GB2312" w:hAnsi="仿宋_GB2312" w:eastAsia="仿宋_GB2312" w:cs="仿宋_GB2312"/>
          <w:sz w:val="32"/>
          <w:szCs w:val="32"/>
        </w:rPr>
        <w:t>结合，突出抓好以商招商、代理招商，较好的完成了工作任务。</w:t>
      </w:r>
      <w:r>
        <w:rPr>
          <w:rFonts w:ascii="仿宋_GB2312" w:hAnsi="仿宋_GB2312" w:eastAsia="仿宋_GB2312" w:cs="仿宋_GB2312"/>
          <w:sz w:val="32"/>
          <w:szCs w:val="32"/>
        </w:rPr>
        <w:t>本年度</w:t>
      </w:r>
      <w:r>
        <w:rPr>
          <w:rFonts w:hint="eastAsia" w:ascii="仿宋_GB2312" w:hAnsi="仿宋_GB2312" w:eastAsia="仿宋_GB2312" w:cs="仿宋_GB2312"/>
          <w:sz w:val="32"/>
          <w:szCs w:val="32"/>
        </w:rPr>
        <w:t>在绩效评价工作虽然取得了一些成绩，但是依然存在着问题和不足。一是绩效评价工作相关规定和制度仍需要在具体的实施过程中进一步巩固完善；二是部分干部职工对绩效评价工作认识和重视程度还有待加强。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使绩效评价结果得到合理应用，我园区及时总结经验，在此次绩效评价结果后，进一步加强财政支出管理、增强资金绩效理念、强化资金管理水平、提高资金使用效益。尤其将注重资料的收集，对能够反映各项指标任务完成落实情况及其成效的有关材料进行全面收集；在项目绩效评价测评后，将对项目进行解剖分析原因，保证绩效评价工作真正能够起到充分调动干部的工作积极性和主观能动性的目标。</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兑现丝路物流(迁安)有限公司综合物流服务项目(原天津物产项目)优惠政策项目绩效自评综述：根据年初设定的绩效目标，招商经费项目绩效自评得分为10分（绩效自评表附后）。全年预算数为94.87万元，执行数为94.87万元，完成预算的100%。项目绩效目标完成情况：根据项目综合评价得分及评价等级，2019年兑现企业优惠政策资金预算执行率、产出指标、效益指标及满意度指标测评结果均为优，表明2019年兑现企业优惠政策资金的使用，对政府信用的维护有了坚强的保障。</w:t>
      </w:r>
      <w:r>
        <w:rPr>
          <w:rFonts w:ascii="仿宋_GB2312" w:hAnsi="仿宋_GB2312" w:eastAsia="仿宋_GB2312" w:cs="仿宋_GB2312"/>
          <w:sz w:val="32"/>
          <w:szCs w:val="32"/>
        </w:rPr>
        <w:t>本年度</w:t>
      </w:r>
      <w:r>
        <w:rPr>
          <w:rFonts w:hint="eastAsia" w:ascii="仿宋_GB2312" w:hAnsi="仿宋_GB2312" w:eastAsia="仿宋_GB2312" w:cs="仿宋_GB2312"/>
          <w:sz w:val="32"/>
          <w:szCs w:val="32"/>
        </w:rPr>
        <w:t>在绩效评价工作虽然取得了一些成绩，但是依然存在着问题和不足。一是绩效评价工作相关规定和制度仍需要在具体的实施过程中进一步巩固完善；二是部分干部职工对绩效评价工作认识和重视程度还有待加强。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使绩效评价结果得到合理应用，我园区及时总结经验，在此次绩效评价结果后，进一步加强财政支出管理、增强资金绩效理念、强化资金管理水平、提高资金使用效益。尤其将注重资料的收集，对能够反映各项指标任务完成落实情况及其成效的有关材料进行全面收集；在项目绩效评价测评后，将对项目进行解剖分析原因，保证绩效评价工作真正能够起到充分调动干部的工作积极性和主观能动性的目标。</w:t>
      </w:r>
    </w:p>
    <w:tbl>
      <w:tblPr>
        <w:tblStyle w:val="8"/>
        <w:tblW w:w="9060" w:type="dxa"/>
        <w:jc w:val="center"/>
        <w:tblLayout w:type="fixed"/>
        <w:tblCellMar>
          <w:top w:w="0" w:type="dxa"/>
          <w:left w:w="108" w:type="dxa"/>
          <w:bottom w:w="0" w:type="dxa"/>
          <w:right w:w="108" w:type="dxa"/>
        </w:tblCellMar>
      </w:tblPr>
      <w:tblGrid>
        <w:gridCol w:w="570"/>
        <w:gridCol w:w="644"/>
        <w:gridCol w:w="1026"/>
        <w:gridCol w:w="1136"/>
        <w:gridCol w:w="1131"/>
        <w:gridCol w:w="283"/>
        <w:gridCol w:w="910"/>
        <w:gridCol w:w="926"/>
        <w:gridCol w:w="167"/>
        <w:gridCol w:w="410"/>
        <w:gridCol w:w="292"/>
        <w:gridCol w:w="250"/>
        <w:gridCol w:w="596"/>
        <w:gridCol w:w="719"/>
      </w:tblGrid>
      <w:tr>
        <w:tblPrEx>
          <w:tblCellMar>
            <w:top w:w="0" w:type="dxa"/>
            <w:left w:w="108" w:type="dxa"/>
            <w:bottom w:w="0" w:type="dxa"/>
            <w:right w:w="108" w:type="dxa"/>
          </w:tblCellMar>
        </w:tblPrEx>
        <w:trPr>
          <w:trHeight w:val="454" w:hRule="exact"/>
          <w:jc w:val="center"/>
        </w:trPr>
        <w:tc>
          <w:tcPr>
            <w:tcW w:w="9060" w:type="dxa"/>
            <w:gridSpan w:val="14"/>
            <w:tcBorders>
              <w:top w:val="nil"/>
              <w:left w:val="nil"/>
              <w:bottom w:val="nil"/>
              <w:right w:val="nil"/>
            </w:tcBorders>
            <w:vAlign w:val="center"/>
          </w:tcPr>
          <w:p>
            <w:pPr>
              <w:widowControl/>
              <w:spacing w:line="320" w:lineRule="exact"/>
              <w:jc w:val="center"/>
              <w:rPr>
                <w:rFonts w:ascii="黑体" w:hAnsi="黑体" w:eastAsia="黑体"/>
                <w:kern w:val="0"/>
                <w:sz w:val="32"/>
                <w:szCs w:val="32"/>
              </w:rPr>
            </w:pPr>
            <w:r>
              <w:rPr>
                <w:rFonts w:hint="eastAsia" w:ascii="黑体" w:hAnsi="黑体" w:eastAsia="黑体"/>
                <w:kern w:val="0"/>
                <w:sz w:val="32"/>
                <w:szCs w:val="32"/>
              </w:rPr>
              <w:t>2019年度预算项目绩效自评表</w:t>
            </w:r>
          </w:p>
          <w:p>
            <w:pPr>
              <w:widowControl/>
              <w:spacing w:line="320" w:lineRule="exact"/>
              <w:jc w:val="center"/>
              <w:rPr>
                <w:rFonts w:ascii="黑体" w:hAnsi="黑体" w:eastAsia="黑体"/>
                <w:kern w:val="0"/>
                <w:sz w:val="32"/>
                <w:szCs w:val="32"/>
              </w:rPr>
            </w:pPr>
          </w:p>
          <w:p>
            <w:pPr>
              <w:widowControl/>
              <w:spacing w:line="320" w:lineRule="exact"/>
              <w:jc w:val="center"/>
              <w:rPr>
                <w:rFonts w:ascii="黑体" w:hAnsi="黑体" w:eastAsia="黑体"/>
                <w:kern w:val="0"/>
                <w:sz w:val="32"/>
                <w:szCs w:val="32"/>
              </w:rPr>
            </w:pPr>
          </w:p>
        </w:tc>
      </w:tr>
      <w:tr>
        <w:tblPrEx>
          <w:tblCellMar>
            <w:top w:w="0" w:type="dxa"/>
            <w:left w:w="108" w:type="dxa"/>
            <w:bottom w:w="0" w:type="dxa"/>
            <w:right w:w="108" w:type="dxa"/>
          </w:tblCellMar>
        </w:tblPrEx>
        <w:trPr>
          <w:trHeight w:val="201" w:hRule="atLeast"/>
          <w:jc w:val="center"/>
        </w:trPr>
        <w:tc>
          <w:tcPr>
            <w:tcW w:w="9060" w:type="dxa"/>
            <w:gridSpan w:val="14"/>
            <w:tcBorders>
              <w:top w:val="nil"/>
              <w:left w:val="nil"/>
              <w:bottom w:val="nil"/>
              <w:right w:val="nil"/>
            </w:tcBorders>
          </w:tcPr>
          <w:p>
            <w:pPr>
              <w:widowControl/>
              <w:wordWrap w:val="0"/>
              <w:jc w:val="right"/>
              <w:rPr>
                <w:rFonts w:ascii="宋体" w:hAnsi="宋体" w:cs="宋体"/>
                <w:kern w:val="0"/>
                <w:sz w:val="22"/>
              </w:rPr>
            </w:pPr>
            <w:r>
              <w:rPr>
                <w:rFonts w:hint="eastAsia" w:ascii="宋体" w:hAnsi="宋体" w:cs="宋体"/>
                <w:kern w:val="0"/>
                <w:sz w:val="22"/>
              </w:rPr>
              <w:t xml:space="preserve">                      金额：万元</w:t>
            </w:r>
          </w:p>
        </w:tc>
      </w:tr>
      <w:tr>
        <w:tblPrEx>
          <w:tblCellMar>
            <w:top w:w="0" w:type="dxa"/>
            <w:left w:w="108" w:type="dxa"/>
            <w:bottom w:w="0" w:type="dxa"/>
            <w:right w:w="108" w:type="dxa"/>
          </w:tblCellMar>
        </w:tblPrEx>
        <w:trPr>
          <w:trHeight w:val="300" w:hRule="exact"/>
          <w:jc w:val="center"/>
        </w:trPr>
        <w:tc>
          <w:tcPr>
            <w:tcW w:w="1214"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846"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b/>
                <w:bCs/>
                <w:kern w:val="0"/>
                <w:sz w:val="18"/>
                <w:szCs w:val="18"/>
              </w:rPr>
              <w:t>招商经费</w:t>
            </w:r>
          </w:p>
        </w:tc>
      </w:tr>
      <w:tr>
        <w:tblPrEx>
          <w:tblCellMar>
            <w:top w:w="0" w:type="dxa"/>
            <w:left w:w="108" w:type="dxa"/>
            <w:bottom w:w="0" w:type="dxa"/>
            <w:right w:w="108" w:type="dxa"/>
          </w:tblCellMar>
        </w:tblPrEx>
        <w:trPr>
          <w:trHeight w:val="300" w:hRule="exact"/>
          <w:jc w:val="center"/>
        </w:trPr>
        <w:tc>
          <w:tcPr>
            <w:tcW w:w="1214"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486"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物流园区</w:t>
            </w:r>
          </w:p>
        </w:tc>
        <w:tc>
          <w:tcPr>
            <w:tcW w:w="10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7"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物流园区</w:t>
            </w:r>
          </w:p>
        </w:tc>
      </w:tr>
      <w:tr>
        <w:tblPrEx>
          <w:tblCellMar>
            <w:top w:w="0" w:type="dxa"/>
            <w:left w:w="108" w:type="dxa"/>
            <w:bottom w:w="0" w:type="dxa"/>
            <w:right w:w="108" w:type="dxa"/>
          </w:tblCellMar>
        </w:tblPrEx>
        <w:trPr>
          <w:trHeight w:val="300" w:hRule="exact"/>
          <w:jc w:val="center"/>
        </w:trPr>
        <w:tc>
          <w:tcPr>
            <w:tcW w:w="1214"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0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214"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60</w:t>
            </w:r>
          </w:p>
        </w:tc>
        <w:tc>
          <w:tcPr>
            <w:tcW w:w="11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60</w:t>
            </w:r>
          </w:p>
        </w:tc>
        <w:tc>
          <w:tcPr>
            <w:tcW w:w="10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60</w:t>
            </w:r>
          </w:p>
        </w:tc>
        <w:tc>
          <w:tcPr>
            <w:tcW w:w="7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214"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其中：上级资金</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214"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 xml:space="preserve">      本级资金</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60</w:t>
            </w:r>
          </w:p>
        </w:tc>
        <w:tc>
          <w:tcPr>
            <w:tcW w:w="11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60</w:t>
            </w:r>
          </w:p>
        </w:tc>
        <w:tc>
          <w:tcPr>
            <w:tcW w:w="10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60</w:t>
            </w:r>
          </w:p>
        </w:tc>
        <w:tc>
          <w:tcPr>
            <w:tcW w:w="7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214"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ind w:firstLine="540" w:firstLineChars="300"/>
              <w:rPr>
                <w:rFonts w:ascii="宋体" w:hAnsi="宋体" w:cs="宋体"/>
                <w:kern w:val="0"/>
                <w:sz w:val="18"/>
                <w:szCs w:val="18"/>
              </w:rPr>
            </w:pPr>
            <w:r>
              <w:rPr>
                <w:rFonts w:hint="eastAsia" w:ascii="宋体" w:hAnsi="宋体" w:cs="宋体"/>
                <w:kern w:val="0"/>
                <w:sz w:val="18"/>
                <w:szCs w:val="18"/>
              </w:rPr>
              <w:t>其他资金</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9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1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7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13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360"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实际完成情况综述</w:t>
            </w:r>
          </w:p>
        </w:tc>
      </w:tr>
      <w:tr>
        <w:tblPrEx>
          <w:tblCellMar>
            <w:top w:w="0" w:type="dxa"/>
            <w:left w:w="108" w:type="dxa"/>
            <w:bottom w:w="0" w:type="dxa"/>
            <w:right w:w="108" w:type="dxa"/>
          </w:tblCellMar>
        </w:tblPrEx>
        <w:trPr>
          <w:trHeight w:val="928" w:hRule="exact"/>
          <w:jc w:val="center"/>
        </w:trPr>
        <w:tc>
          <w:tcPr>
            <w:tcW w:w="57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13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目标1：完成市委市政府交办的招商接待任务</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目标2：加强招商引资力度，完成招商任务</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目标3：完成项目观摩任务</w:t>
            </w:r>
          </w:p>
        </w:tc>
        <w:tc>
          <w:tcPr>
            <w:tcW w:w="3360"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目标1完成情况：全部完成</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目标2完成情况：全部完成</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目标3完成情况：全部完成</w:t>
            </w:r>
          </w:p>
        </w:tc>
      </w:tr>
      <w:tr>
        <w:tblPrEx>
          <w:tblCellMar>
            <w:top w:w="0" w:type="dxa"/>
            <w:left w:w="108" w:type="dxa"/>
            <w:bottom w:w="0" w:type="dxa"/>
            <w:right w:w="108" w:type="dxa"/>
          </w:tblCellMar>
        </w:tblPrEx>
        <w:trPr>
          <w:trHeight w:val="533" w:hRule="exact"/>
          <w:jc w:val="center"/>
        </w:trPr>
        <w:tc>
          <w:tcPr>
            <w:tcW w:w="57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64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02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91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92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指标1：外出参加招商次数</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≥8次</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0"/>
              </w:rPr>
              <w:t>≥8次</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指标2：接待客商批次</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≥60批次</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≥60批次</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指标1：签约意向项目个数</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≥5个</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≥5个</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指标2：签约意向项目金额</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≥500万元</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≥500万元</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指标1：外出招商任务完成率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≥95%</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≥95%</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指标2：客商接待及时率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≥95%</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≥95%</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指标1：客商接待成本降低率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≥20%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0"/>
              </w:rPr>
              <w:t>≥20%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指标2：招商人员成本降低率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≥20%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0"/>
              </w:rPr>
              <w:t>≥20%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指标1：园区知名度增长率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≥10%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0"/>
              </w:rPr>
              <w:t>≥10%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指标2：园区招商环境提升率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≥10%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0"/>
              </w:rPr>
              <w:t>≥10%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指标1：园区知名度增长率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≥10%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0"/>
              </w:rPr>
              <w:t>≥10%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指标2：客商接待及时率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≥95%</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≥95%</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指标1：园区知名度增长率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≥10%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0"/>
              </w:rPr>
              <w:t>≥10%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指标2：园区招商环境提升率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≥10%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0"/>
              </w:rPr>
              <w:t>≥10%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指标1：接待客商满意度</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指标2：园区招商环境提升率</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≥10%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0"/>
              </w:rPr>
              <w:t>≥10%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指标1：接待客商满意度</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7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44"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55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指标2：参加培训人员满意度</w:t>
            </w:r>
          </w:p>
        </w:tc>
        <w:tc>
          <w:tcPr>
            <w:tcW w:w="910"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≥90%</w:t>
            </w:r>
          </w:p>
        </w:tc>
        <w:tc>
          <w:tcPr>
            <w:tcW w:w="926"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6626"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预算执行率</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6626"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b/>
          <w:bCs/>
          <w:sz w:val="32"/>
          <w:szCs w:val="32"/>
        </w:rPr>
      </w:pPr>
    </w:p>
    <w:tbl>
      <w:tblPr>
        <w:tblStyle w:val="8"/>
        <w:tblW w:w="9060" w:type="dxa"/>
        <w:jc w:val="center"/>
        <w:tblLayout w:type="fixed"/>
        <w:tblCellMar>
          <w:top w:w="0" w:type="dxa"/>
          <w:left w:w="108" w:type="dxa"/>
          <w:bottom w:w="0" w:type="dxa"/>
          <w:right w:w="108" w:type="dxa"/>
        </w:tblCellMar>
      </w:tblPr>
      <w:tblGrid>
        <w:gridCol w:w="556"/>
        <w:gridCol w:w="641"/>
        <w:gridCol w:w="1026"/>
        <w:gridCol w:w="1136"/>
        <w:gridCol w:w="1131"/>
        <w:gridCol w:w="284"/>
        <w:gridCol w:w="913"/>
        <w:gridCol w:w="942"/>
        <w:gridCol w:w="169"/>
        <w:gridCol w:w="408"/>
        <w:gridCol w:w="284"/>
        <w:gridCol w:w="255"/>
        <w:gridCol w:w="591"/>
        <w:gridCol w:w="724"/>
      </w:tblGrid>
      <w:tr>
        <w:tblPrEx>
          <w:tblCellMar>
            <w:top w:w="0" w:type="dxa"/>
            <w:left w:w="108" w:type="dxa"/>
            <w:bottom w:w="0" w:type="dxa"/>
            <w:right w:w="108" w:type="dxa"/>
          </w:tblCellMar>
        </w:tblPrEx>
        <w:trPr>
          <w:trHeight w:val="454" w:hRule="atLeast"/>
          <w:jc w:val="center"/>
        </w:trPr>
        <w:tc>
          <w:tcPr>
            <w:tcW w:w="9060" w:type="dxa"/>
            <w:gridSpan w:val="14"/>
            <w:vAlign w:val="center"/>
          </w:tcPr>
          <w:p>
            <w:pPr>
              <w:widowControl/>
              <w:spacing w:line="320" w:lineRule="exact"/>
              <w:jc w:val="center"/>
              <w:rPr>
                <w:rFonts w:ascii="黑体" w:hAnsi="黑体" w:eastAsia="黑体"/>
                <w:kern w:val="0"/>
                <w:sz w:val="32"/>
                <w:szCs w:val="32"/>
              </w:rPr>
            </w:pPr>
            <w:r>
              <w:rPr>
                <w:rFonts w:hint="eastAsia" w:ascii="黑体" w:hAnsi="黑体" w:eastAsia="黑体"/>
                <w:kern w:val="0"/>
                <w:sz w:val="32"/>
                <w:szCs w:val="32"/>
              </w:rPr>
              <w:t>2019年度预算项目绩效自评表</w:t>
            </w:r>
          </w:p>
        </w:tc>
      </w:tr>
      <w:tr>
        <w:tblPrEx>
          <w:tblCellMar>
            <w:top w:w="0" w:type="dxa"/>
            <w:left w:w="108" w:type="dxa"/>
            <w:bottom w:w="0" w:type="dxa"/>
            <w:right w:w="108" w:type="dxa"/>
          </w:tblCellMar>
        </w:tblPrEx>
        <w:trPr>
          <w:trHeight w:val="201" w:hRule="atLeast"/>
          <w:jc w:val="center"/>
        </w:trPr>
        <w:tc>
          <w:tcPr>
            <w:tcW w:w="9060" w:type="dxa"/>
            <w:gridSpan w:val="14"/>
          </w:tcPr>
          <w:p>
            <w:pPr>
              <w:widowControl/>
              <w:wordWrap w:val="0"/>
              <w:jc w:val="right"/>
              <w:rPr>
                <w:rFonts w:ascii="宋体" w:hAnsi="宋体" w:cs="宋体"/>
                <w:kern w:val="0"/>
                <w:sz w:val="22"/>
              </w:rPr>
            </w:pPr>
            <w:r>
              <w:rPr>
                <w:rFonts w:hint="eastAsia" w:ascii="宋体" w:hAnsi="宋体" w:cs="宋体"/>
                <w:kern w:val="0"/>
                <w:sz w:val="22"/>
              </w:rPr>
              <w:t xml:space="preserve">                      金额：万元</w:t>
            </w:r>
          </w:p>
        </w:tc>
      </w:tr>
      <w:tr>
        <w:tblPrEx>
          <w:tblCellMar>
            <w:top w:w="0" w:type="dxa"/>
            <w:left w:w="108" w:type="dxa"/>
            <w:bottom w:w="0" w:type="dxa"/>
            <w:right w:w="108" w:type="dxa"/>
          </w:tblCellMar>
        </w:tblPrEx>
        <w:trPr>
          <w:trHeight w:val="300" w:hRule="exact"/>
          <w:jc w:val="center"/>
        </w:trPr>
        <w:tc>
          <w:tcPr>
            <w:tcW w:w="119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863"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b/>
                <w:bCs/>
                <w:kern w:val="0"/>
                <w:sz w:val="18"/>
                <w:szCs w:val="18"/>
              </w:rPr>
              <w:t>兑现丝路物流(迁安)有限公司综合物流服务项目(原天津物产项目)优惠政策</w:t>
            </w:r>
          </w:p>
        </w:tc>
      </w:tr>
      <w:tr>
        <w:tblPrEx>
          <w:tblCellMar>
            <w:top w:w="0" w:type="dxa"/>
            <w:left w:w="108" w:type="dxa"/>
            <w:bottom w:w="0" w:type="dxa"/>
            <w:right w:w="108" w:type="dxa"/>
          </w:tblCellMar>
        </w:tblPrEx>
        <w:trPr>
          <w:trHeight w:val="300" w:hRule="exact"/>
          <w:jc w:val="center"/>
        </w:trPr>
        <w:tc>
          <w:tcPr>
            <w:tcW w:w="119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49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物流园区</w:t>
            </w:r>
          </w:p>
        </w:tc>
        <w:tc>
          <w:tcPr>
            <w:tcW w:w="111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2"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物流园区</w:t>
            </w:r>
          </w:p>
        </w:tc>
      </w:tr>
      <w:tr>
        <w:tblPrEx>
          <w:tblCellMar>
            <w:top w:w="0" w:type="dxa"/>
            <w:left w:w="108" w:type="dxa"/>
            <w:bottom w:w="0" w:type="dxa"/>
            <w:right w:w="108" w:type="dxa"/>
          </w:tblCellMar>
        </w:tblPrEx>
        <w:trPr>
          <w:trHeight w:val="300" w:hRule="exact"/>
          <w:jc w:val="center"/>
        </w:trPr>
        <w:tc>
          <w:tcPr>
            <w:tcW w:w="119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1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69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2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19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94.87</w:t>
            </w:r>
          </w:p>
        </w:tc>
        <w:tc>
          <w:tcPr>
            <w:tcW w:w="111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94.87</w:t>
            </w:r>
          </w:p>
        </w:tc>
        <w:tc>
          <w:tcPr>
            <w:tcW w:w="69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2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19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其中：上级资金</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9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2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19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 xml:space="preserve">      本级资金</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94.87</w:t>
            </w:r>
          </w:p>
        </w:tc>
        <w:tc>
          <w:tcPr>
            <w:tcW w:w="111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94.87</w:t>
            </w:r>
          </w:p>
        </w:tc>
        <w:tc>
          <w:tcPr>
            <w:tcW w:w="69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2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19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162" w:type="dxa"/>
            <w:gridSpan w:val="2"/>
            <w:tcBorders>
              <w:top w:val="single" w:color="auto" w:sz="4" w:space="0"/>
              <w:left w:val="nil"/>
              <w:bottom w:val="single" w:color="auto" w:sz="4" w:space="0"/>
              <w:right w:val="single" w:color="auto" w:sz="4" w:space="0"/>
            </w:tcBorders>
            <w:vAlign w:val="center"/>
          </w:tcPr>
          <w:p>
            <w:pPr>
              <w:widowControl/>
              <w:spacing w:line="240" w:lineRule="exact"/>
              <w:ind w:firstLine="540" w:firstLineChars="300"/>
              <w:rPr>
                <w:rFonts w:ascii="宋体" w:hAnsi="宋体" w:cs="宋体"/>
                <w:kern w:val="0"/>
                <w:sz w:val="18"/>
                <w:szCs w:val="18"/>
              </w:rPr>
            </w:pPr>
            <w:r>
              <w:rPr>
                <w:rFonts w:hint="eastAsia" w:ascii="宋体" w:hAnsi="宋体" w:cs="宋体"/>
                <w:kern w:val="0"/>
                <w:sz w:val="18"/>
                <w:szCs w:val="18"/>
              </w:rPr>
              <w:t>其他资金</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9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4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2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5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131"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373"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实际完成情况综述</w:t>
            </w:r>
          </w:p>
        </w:tc>
      </w:tr>
      <w:tr>
        <w:tblPrEx>
          <w:tblCellMar>
            <w:top w:w="0" w:type="dxa"/>
            <w:left w:w="108" w:type="dxa"/>
            <w:bottom w:w="0" w:type="dxa"/>
            <w:right w:w="108" w:type="dxa"/>
          </w:tblCellMar>
        </w:tblPrEx>
        <w:trPr>
          <w:trHeight w:val="928" w:hRule="exact"/>
          <w:jc w:val="center"/>
        </w:trPr>
        <w:tc>
          <w:tcPr>
            <w:tcW w:w="55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5131"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w:t>
            </w:r>
            <w:r>
              <w:rPr>
                <w:rFonts w:ascii="宋体" w:hAnsi="宋体" w:cs="宋体"/>
                <w:kern w:val="0"/>
                <w:sz w:val="18"/>
                <w:szCs w:val="18"/>
              </w:rPr>
              <w:t xml:space="preserve"> </w:t>
            </w:r>
            <w:r>
              <w:rPr>
                <w:rFonts w:hint="eastAsia" w:ascii="宋体" w:hAnsi="宋体" w:cs="宋体"/>
                <w:kern w:val="0"/>
                <w:sz w:val="18"/>
                <w:szCs w:val="18"/>
              </w:rPr>
              <w:t>及时拨付项目资金</w:t>
            </w:r>
          </w:p>
          <w:p>
            <w:pPr>
              <w:widowControl/>
              <w:spacing w:line="240" w:lineRule="exact"/>
              <w:jc w:val="left"/>
              <w:rPr>
                <w:rFonts w:ascii="宋体" w:hAnsi="宋体" w:eastAsia="宋体" w:cs="宋体"/>
                <w:kern w:val="0"/>
                <w:sz w:val="18"/>
                <w:szCs w:val="18"/>
              </w:rPr>
            </w:pPr>
            <w:r>
              <w:rPr>
                <w:rFonts w:hint="eastAsia" w:ascii="宋体" w:hAnsi="宋体" w:cs="宋体"/>
                <w:kern w:val="0"/>
                <w:sz w:val="18"/>
                <w:szCs w:val="18"/>
              </w:rPr>
              <w:t>目标2： 提升政府公信力</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目标3：</w:t>
            </w:r>
            <w:r>
              <w:rPr>
                <w:rFonts w:ascii="宋体" w:hAnsi="宋体" w:cs="宋体"/>
                <w:kern w:val="0"/>
                <w:sz w:val="18"/>
                <w:szCs w:val="18"/>
              </w:rPr>
              <w:t xml:space="preserve"> </w:t>
            </w:r>
          </w:p>
        </w:tc>
        <w:tc>
          <w:tcPr>
            <w:tcW w:w="3373"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目标1完成情况：全部完成</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目标2完成情况：全部完成</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目标3完成情况：</w:t>
            </w:r>
          </w:p>
        </w:tc>
      </w:tr>
      <w:tr>
        <w:tblPrEx>
          <w:tblCellMar>
            <w:top w:w="0" w:type="dxa"/>
            <w:left w:w="108" w:type="dxa"/>
            <w:bottom w:w="0" w:type="dxa"/>
            <w:right w:w="108" w:type="dxa"/>
          </w:tblCellMar>
        </w:tblPrEx>
        <w:trPr>
          <w:trHeight w:val="533" w:hRule="exact"/>
          <w:jc w:val="center"/>
        </w:trPr>
        <w:tc>
          <w:tcPr>
            <w:tcW w:w="556" w:type="dxa"/>
            <w:vMerge w:val="restart"/>
            <w:tcBorders>
              <w:top w:val="nil"/>
              <w:left w:val="single" w:color="auto" w:sz="4" w:space="0"/>
              <w:bottom w:val="nil"/>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64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02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91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94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指标1：资金拨付完整率</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指标2：资金拨付及时率</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指标1：资金拨付完整率</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指标2：资金拨付及时率</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指标1：资金拨付完整率</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指标2：资金拨付及时率</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指标1：资金拨付完整率</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指标2：资金拨付及时率</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指标1：资金拨付完整率</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指标2：资金拨付及时率</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指标1：物流产业增加值增长率</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≥30%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≥30%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p>
            <w:pPr>
              <w:widowControl/>
              <w:spacing w:line="240" w:lineRule="exact"/>
              <w:jc w:val="center"/>
              <w:rPr>
                <w:rFonts w:ascii="宋体" w:hAnsi="宋体" w:cs="宋体"/>
                <w:kern w:val="0"/>
                <w:sz w:val="18"/>
                <w:szCs w:val="18"/>
              </w:rPr>
            </w:pP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指标1：园区形象提升率</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≥30%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≥30%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指标1：资金拨付及时率</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指标2：资金拨付及时率</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cs="宋体"/>
                <w:color w:val="000000"/>
                <w:kern w:val="0"/>
                <w:sz w:val="18"/>
                <w:szCs w:val="18"/>
              </w:rPr>
              <w:t>指标1：政府信用提升率</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≥30%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≥30%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指标1：园区形象提升率</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≥30%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≥30%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restart"/>
            <w:tcBorders>
              <w:top w:val="nil"/>
              <w:left w:val="single" w:color="auto" w:sz="4" w:space="0"/>
              <w:bottom w:val="nil"/>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02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指标1：市政府满意度</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556"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641" w:type="dxa"/>
            <w:vMerge w:val="continue"/>
            <w:tcBorders>
              <w:top w:val="nil"/>
              <w:left w:val="single" w:color="auto" w:sz="4" w:space="0"/>
              <w:bottom w:val="nil"/>
              <w:right w:val="single" w:color="auto" w:sz="4" w:space="0"/>
            </w:tcBorders>
            <w:vAlign w:val="center"/>
          </w:tcPr>
          <w:p>
            <w:pPr>
              <w:widowControl/>
              <w:jc w:val="left"/>
              <w:rPr>
                <w:rFonts w:ascii="宋体" w:hAnsi="宋体" w:cs="宋体"/>
                <w:kern w:val="0"/>
                <w:sz w:val="18"/>
                <w:szCs w:val="18"/>
              </w:rPr>
            </w:pPr>
          </w:p>
        </w:tc>
        <w:tc>
          <w:tcPr>
            <w:tcW w:w="102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p>
        </w:tc>
        <w:tc>
          <w:tcPr>
            <w:tcW w:w="2551"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指标2：企业满意度</w:t>
            </w:r>
            <w:r>
              <w:rPr>
                <w:rFonts w:ascii="宋体" w:hAnsi="宋体" w:cs="宋体"/>
                <w:color w:val="000000"/>
                <w:kern w:val="0"/>
                <w:sz w:val="18"/>
                <w:szCs w:val="18"/>
              </w:rPr>
              <w:t xml:space="preserve"> </w:t>
            </w:r>
          </w:p>
        </w:tc>
        <w:tc>
          <w:tcPr>
            <w:tcW w:w="913"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color w:val="000000"/>
                <w:sz w:val="20"/>
              </w:rPr>
            </w:pPr>
            <w:r>
              <w:rPr>
                <w:rFonts w:hint="eastAsia" w:ascii="宋体" w:hAnsi="宋体"/>
                <w:color w:val="000000"/>
                <w:sz w:val="20"/>
              </w:rPr>
              <w:t>≥90%</w:t>
            </w:r>
          </w:p>
        </w:tc>
        <w:tc>
          <w:tcPr>
            <w:tcW w:w="942" w:type="dxa"/>
            <w:tcBorders>
              <w:top w:val="nil"/>
              <w:left w:val="nil"/>
              <w:bottom w:val="single" w:color="auto" w:sz="4" w:space="0"/>
              <w:right w:val="single" w:color="auto" w:sz="4" w:space="0"/>
            </w:tcBorders>
            <w:vAlign w:val="center"/>
          </w:tcPr>
          <w:p>
            <w:pPr>
              <w:widowControl/>
              <w:jc w:val="center"/>
              <w:textAlignment w:val="center"/>
              <w:rPr>
                <w:rFonts w:ascii="宋体" w:hAnsi="宋体" w:cs="宋体"/>
                <w:kern w:val="0"/>
                <w:sz w:val="18"/>
                <w:szCs w:val="18"/>
              </w:rPr>
            </w:pPr>
            <w:r>
              <w:rPr>
                <w:rFonts w:hint="eastAsia" w:ascii="宋体" w:hAnsi="宋体"/>
                <w:color w:val="000000"/>
                <w:sz w:val="20"/>
              </w:rPr>
              <w:t>≥90%</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66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预算执行率</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54" w:hRule="exact"/>
          <w:jc w:val="center"/>
        </w:trPr>
        <w:tc>
          <w:tcPr>
            <w:tcW w:w="66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7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3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131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pPr>
        <w:numPr>
          <w:numId w:val="0"/>
        </w:numPr>
        <w:ind w:left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机关运行经费情况</w:t>
      </w:r>
    </w:p>
    <w:p>
      <w:pPr>
        <w:keepNext/>
        <w:keepLines/>
        <w:snapToGrid w:val="0"/>
        <w:spacing w:line="580" w:lineRule="exact"/>
        <w:ind w:firstLine="640" w:firstLineChars="200"/>
        <w:outlineLvl w:val="2"/>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由于机关运行费仅限于行政、参公机关单位，事业单位无机关运行经费。我单位为财政补助事业单位，无机关运行经费。</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政府采购情况</w:t>
      </w:r>
    </w:p>
    <w:p>
      <w:pPr>
        <w:snapToGrid w:val="0"/>
        <w:spacing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w:t>
      </w:r>
      <w:r>
        <w:rPr>
          <w:rFonts w:ascii="仿宋_GB2312" w:eastAsia="仿宋_GB2312" w:cs="DengXian-Regular"/>
          <w:sz w:val="32"/>
          <w:szCs w:val="32"/>
        </w:rPr>
        <w:t>9</w:t>
      </w:r>
      <w:r>
        <w:rPr>
          <w:rFonts w:hint="eastAsia" w:ascii="仿宋_GB2312" w:eastAsia="仿宋_GB2312" w:cs="DengXian-Regular"/>
          <w:sz w:val="32"/>
          <w:szCs w:val="32"/>
        </w:rPr>
        <w:t>年度政府采购支出总额0万元，从采购类型来看，</w:t>
      </w:r>
      <w:bookmarkStart w:id="0" w:name="_Hlk71066077"/>
      <w:r>
        <w:rPr>
          <w:rFonts w:ascii="仿宋_GB2312" w:hAnsi="仿宋_GB2312" w:eastAsia="仿宋_GB2312" w:cs="仿宋_GB2312"/>
          <w:color w:val="000000"/>
          <w:kern w:val="0"/>
          <w:sz w:val="32"/>
          <w:szCs w:val="32"/>
        </w:rPr>
        <w:t>政府采购货物支出0万元、</w:t>
      </w:r>
      <w:bookmarkEnd w:id="0"/>
      <w:r>
        <w:rPr>
          <w:rFonts w:ascii="仿宋_GB2312" w:hAnsi="仿宋_GB2312" w:eastAsia="仿宋_GB2312" w:cs="仿宋_GB2312"/>
          <w:color w:val="000000"/>
          <w:kern w:val="0"/>
          <w:sz w:val="32"/>
          <w:szCs w:val="32"/>
        </w:rPr>
        <w:t>政府采购</w:t>
      </w:r>
      <w:r>
        <w:rPr>
          <w:rFonts w:hint="eastAsia" w:ascii="仿宋_GB2312" w:hAnsi="仿宋_GB2312" w:eastAsia="仿宋_GB2312" w:cs="仿宋_GB2312"/>
          <w:color w:val="000000"/>
          <w:kern w:val="0"/>
          <w:sz w:val="32"/>
          <w:szCs w:val="32"/>
        </w:rPr>
        <w:t>工程</w:t>
      </w:r>
      <w:r>
        <w:rPr>
          <w:rFonts w:ascii="仿宋_GB2312" w:hAnsi="仿宋_GB2312" w:eastAsia="仿宋_GB2312" w:cs="仿宋_GB2312"/>
          <w:color w:val="000000"/>
          <w:kern w:val="0"/>
          <w:sz w:val="32"/>
          <w:szCs w:val="32"/>
        </w:rPr>
        <w:t>支出0万元、政府采购服务支出0万元。</w:t>
      </w:r>
      <w:r>
        <w:rPr>
          <w:rFonts w:hint="eastAsia" w:ascii="仿宋_GB2312" w:eastAsia="仿宋_GB2312" w:cs="DengXian-Regular"/>
          <w:sz w:val="32"/>
          <w:szCs w:val="32"/>
        </w:rPr>
        <w:t>授予中小企业合同金额0万元，占政府采购支出总额的0</w:t>
      </w:r>
      <w:r>
        <w:rPr>
          <w:rFonts w:ascii="仿宋_GB2312" w:eastAsia="仿宋_GB2312" w:cs="DengXian-Regular"/>
          <w:sz w:val="32"/>
          <w:szCs w:val="32"/>
        </w:rPr>
        <w:t>%,</w:t>
      </w:r>
      <w:r>
        <w:rPr>
          <w:rFonts w:hint="eastAsia" w:ascii="仿宋_GB2312" w:eastAsia="仿宋_GB2312" w:cs="DengXian-Regular"/>
          <w:sz w:val="32"/>
          <w:szCs w:val="32"/>
        </w:rPr>
        <w:t>其中授予小微企业合同金额0万元。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截至2019年12月31日，本部门共有车辆2辆，与上年持平。其中，</w:t>
      </w:r>
      <w:r>
        <w:rPr>
          <w:rFonts w:hint="eastAsia" w:ascii="仿宋_GB2312" w:hAnsi="Times New Roman" w:eastAsia="仿宋_GB2312" w:cs="DengXian-Regular"/>
          <w:sz w:val="32"/>
          <w:szCs w:val="32"/>
        </w:rPr>
        <w:t>应急保障用车</w:t>
      </w:r>
      <w:r>
        <w:rPr>
          <w:rFonts w:hint="eastAsia" w:ascii="仿宋_GB2312" w:hAnsi="Times New Roman" w:eastAsia="仿宋_GB2312" w:cs="DengXian-Regular"/>
          <w:sz w:val="32"/>
          <w:szCs w:val="32"/>
        </w:rPr>
        <w:t>2辆。</w:t>
      </w:r>
    </w:p>
    <w:p>
      <w:pPr>
        <w:keepNext/>
        <w:keepLines/>
        <w:snapToGrid w:val="0"/>
        <w:spacing w:line="580" w:lineRule="exact"/>
        <w:ind w:firstLine="640" w:firstLineChars="200"/>
        <w:outlineLvl w:val="2"/>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万元以上通用设备0台，与上年持平；单位价值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本部门2019年度无国有资本经营预算财政拨款支出情况，故公开09表以空表列示。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720" w:num="1"/>
          <w:docGrid w:type="lines" w:linePitch="312" w:charSpace="0"/>
        </w:sectPr>
      </w:pPr>
    </w:p>
    <w:p>
      <w:pPr>
        <w:jc w:val="center"/>
        <w:rPr>
          <w:rFonts w:ascii="黑体" w:hAnsi="黑体" w:eastAsia="黑体"/>
          <w:sz w:val="56"/>
          <w:szCs w:val="72"/>
        </w:rPr>
        <w:sectPr>
          <w:type w:val="continuous"/>
          <w:pgSz w:w="11906" w:h="16838"/>
          <w:pgMar w:top="2041" w:right="1531" w:bottom="2041" w:left="1531" w:header="851" w:footer="992" w:gutter="0"/>
          <w:pgNumType w:fmt="numberInDash"/>
          <w:cols w:space="720" w:num="1"/>
          <w:titlePg/>
          <w:docGrid w:type="lines" w:linePitch="312" w:charSpace="0"/>
        </w:sectPr>
      </w:pPr>
    </w:p>
    <w:p>
      <w:pP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sz w:val="72"/>
        </w:rPr>
      </w:pPr>
      <w:r>
        <w:rPr>
          <w:sz w:val="72"/>
        </w:rPr>
        <w:pict>
          <v:rect id="文本框 188" o:spid="_x0000_s1097" o:spt="1" style="position:absolute;left:0pt;margin-left:-80.45pt;margin-top:34.8pt;height:263.1pt;width:613.65pt;z-index:1024;mso-width-relative:page;mso-height-relative:page;" fillcolor="#FFD966" filled="t" o:preferrelative="t" stroked="t" coordsize="21600,21600">
            <v:path/>
            <v:fill type="pattern" on="t" focussize="0,0" r:id="rId22"/>
            <v:stroke weight="0.5pt" color="#FFD966" miterlimit="2"/>
            <v:imagedata o:title=""/>
            <o:lock v:ext="edit"/>
            <v:textbox>
              <w:txbxContent>
                <w:p>
                  <w:pPr>
                    <w:widowControl/>
                    <w:jc w:val="center"/>
                  </w:pPr>
                  <w:r>
                    <w:rPr>
                      <w:rFonts w:hint="eastAsia" w:ascii="黑体" w:hAnsi="黑体" w:eastAsia="黑体"/>
                      <w:color w:val="000000"/>
                      <w:sz w:val="90"/>
                      <w:szCs w:val="90"/>
                    </w:rPr>
                    <w:t>第三部分 相关名词解释</w:t>
                  </w:r>
                </w:p>
              </w:txbxContent>
            </v:textbox>
          </v:rect>
        </w:pict>
      </w:r>
    </w:p>
    <w:p/>
    <w:p/>
    <w:p/>
    <w:p/>
    <w:p/>
    <w:p/>
    <w:p/>
    <w:p/>
    <w:p/>
    <w:p/>
    <w:p/>
    <w:p/>
    <w:p/>
    <w:p>
      <w:pPr>
        <w:tabs>
          <w:tab w:val="left" w:pos="886"/>
        </w:tabs>
        <w:jc w:val="left"/>
        <w:sectPr>
          <w:headerReference r:id="rId13" w:type="first"/>
          <w:footerReference r:id="rId15" w:type="first"/>
          <w:headerReference r:id="rId12" w:type="default"/>
          <w:footerReference r:id="rId14" w:type="default"/>
          <w:pgSz w:w="11906" w:h="16838"/>
          <w:pgMar w:top="2041" w:right="1531" w:bottom="2041" w:left="1531" w:header="851" w:footer="992" w:gutter="0"/>
          <w:pgNumType w:fmt="numberInDash"/>
          <w:cols w:space="720" w:num="1"/>
          <w:titlePg/>
          <w:docGrid w:type="lines" w:linePitch="312" w:charSpace="0"/>
        </w:sectPr>
      </w:pPr>
    </w:p>
    <w:p>
      <w:pPr>
        <w:rPr>
          <w:rFonts w:ascii="仿宋_GB2312" w:hAnsi="宋体" w:eastAsia="仿宋_GB2312" w:cs="ArialUnicodeMS"/>
          <w:sz w:val="32"/>
          <w:szCs w:val="32"/>
          <w:highlight w:val="yellow"/>
        </w:rPr>
      </w:pPr>
      <w:r>
        <w:rPr>
          <w:rFonts w:hint="eastAsia" w:ascii="仿宋_GB2312" w:hAnsi="宋体" w:eastAsia="仿宋_GB2312" w:cs="ArialUnicodeMS"/>
          <w:sz w:val="32"/>
          <w:szCs w:val="32"/>
          <w:highlight w:val="yellow"/>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 xml:space="preserve">    （十七）经费形式: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
    <w:p/>
    <w:p/>
    <w:p/>
    <w:p/>
    <w:p/>
    <w:p>
      <w:pPr>
        <w:jc w:val="left"/>
        <w:sectPr>
          <w:headerReference r:id="rId16" w:type="default"/>
          <w:type w:val="continuous"/>
          <w:pgSz w:w="11906" w:h="16838"/>
          <w:pgMar w:top="2098" w:right="1474" w:bottom="1985" w:left="1588" w:header="851" w:footer="992" w:gutter="0"/>
          <w:pgNumType w:fmt="numberInDash"/>
          <w:cols w:space="720" w:num="1"/>
          <w:docGrid w:type="lines" w:linePitch="312" w:charSpace="0"/>
        </w:sectPr>
      </w:pPr>
    </w:p>
    <w:p>
      <w:pPr>
        <w:tabs>
          <w:tab w:val="left" w:pos="235"/>
        </w:tabs>
        <w:jc w:val="left"/>
        <w:sectPr>
          <w:pgSz w:w="11906" w:h="16838"/>
          <w:pgMar w:top="2098" w:right="1474" w:bottom="1985" w:left="1588" w:header="851" w:footer="992" w:gutter="0"/>
          <w:pgNumType w:fmt="numberInDash"/>
          <w:cols w:space="720" w:num="1"/>
          <w:docGrid w:type="lines" w:linePitch="312" w:charSpace="0"/>
        </w:sectPr>
      </w:pPr>
      <w:r>
        <w:rPr>
          <w:sz w:val="72"/>
        </w:rPr>
        <w:pict>
          <v:rect id="文本框 229" o:spid="_x0000_s1098" o:spt="1" style="position:absolute;left:0pt;margin-left:-82.05pt;margin-top:135.85pt;height:263.1pt;width:613.65pt;z-index:1024;mso-width-relative:page;mso-height-relative:page;" fillcolor="#FFD966" filled="t" o:preferrelative="t" stroked="t" coordsize="21600,21600">
            <v:path/>
            <v:fill type="pattern" on="t" focussize="0,0" r:id="rId22"/>
            <v:stroke weight="0.5pt" color="#FFD966" miterlimit="2"/>
            <v:imagedata o:title=""/>
            <o:lock v:ext="edit"/>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2019年度部门决算报表</w:t>
                  </w:r>
                </w:p>
              </w:txbxContent>
            </v:textbox>
          </v:rect>
        </w:pict>
      </w:r>
    </w:p>
    <w:tbl>
      <w:tblPr>
        <w:tblStyle w:val="8"/>
        <w:tblpPr w:leftFromText="180" w:rightFromText="180" w:vertAnchor="text" w:horzAnchor="page" w:tblpX="1223" w:tblpY="54"/>
        <w:tblOverlap w:val="never"/>
        <w:tblW w:w="9493" w:type="dxa"/>
        <w:tblInd w:w="0" w:type="dxa"/>
        <w:tblLayout w:type="fixed"/>
        <w:tblCellMar>
          <w:top w:w="0" w:type="dxa"/>
          <w:left w:w="0" w:type="dxa"/>
          <w:bottom w:w="0" w:type="dxa"/>
          <w:right w:w="0" w:type="dxa"/>
        </w:tblCellMar>
      </w:tblPr>
      <w:tblGrid>
        <w:gridCol w:w="3268"/>
        <w:gridCol w:w="736"/>
        <w:gridCol w:w="720"/>
        <w:gridCol w:w="3012"/>
        <w:gridCol w:w="397"/>
        <w:gridCol w:w="1360"/>
      </w:tblGrid>
      <w:tr>
        <w:tblPrEx>
          <w:tblCellMar>
            <w:top w:w="0" w:type="dxa"/>
            <w:left w:w="0" w:type="dxa"/>
            <w:bottom w:w="0" w:type="dxa"/>
            <w:right w:w="0" w:type="dxa"/>
          </w:tblCellMar>
        </w:tblPrEx>
        <w:trPr>
          <w:trHeight w:val="474" w:hRule="atLeast"/>
        </w:trPr>
        <w:tc>
          <w:tcPr>
            <w:tcW w:w="9493" w:type="dxa"/>
            <w:gridSpan w:val="6"/>
            <w:tcBorders>
              <w:top w:val="nil"/>
              <w:left w:val="nil"/>
              <w:bottom w:val="nil"/>
              <w:right w:val="nil"/>
            </w:tcBorders>
            <w:tcMar>
              <w:top w:w="15" w:type="dxa"/>
              <w:left w:w="15" w:type="dxa"/>
              <w:right w:w="15" w:type="dxa"/>
            </w:tcMar>
            <w:vAlign w:val="bottom"/>
          </w:tcPr>
          <w:p>
            <w:pPr>
              <w:jc w:val="center"/>
              <w:rPr>
                <w:rFonts w:ascii="Arial" w:hAnsi="Arial" w:cs="Arial"/>
                <w:color w:val="000000"/>
                <w:sz w:val="20"/>
                <w:szCs w:val="20"/>
              </w:rPr>
            </w:pPr>
            <w:r>
              <w:rPr>
                <w:rFonts w:hint="eastAsia" w:ascii="宋体" w:hAnsi="宋体" w:eastAsia="宋体" w:cs="宋体"/>
                <w:color w:val="000000"/>
                <w:kern w:val="0"/>
                <w:sz w:val="30"/>
                <w:szCs w:val="30"/>
              </w:rPr>
              <w:t>收入支出决算总表</w:t>
            </w:r>
          </w:p>
        </w:tc>
      </w:tr>
      <w:tr>
        <w:tblPrEx>
          <w:tblCellMar>
            <w:top w:w="0" w:type="dxa"/>
            <w:left w:w="0" w:type="dxa"/>
            <w:bottom w:w="0" w:type="dxa"/>
            <w:right w:w="0" w:type="dxa"/>
          </w:tblCellMar>
        </w:tblPrEx>
        <w:trPr>
          <w:trHeight w:val="255" w:hRule="atLeast"/>
        </w:trPr>
        <w:tc>
          <w:tcPr>
            <w:tcW w:w="32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2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01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60"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14" w:hRule="atLeast"/>
        </w:trPr>
        <w:tc>
          <w:tcPr>
            <w:tcW w:w="4724"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部门：迁安市北方钢铁物流产业聚集区管理委员</w:t>
            </w:r>
          </w:p>
        </w:tc>
        <w:tc>
          <w:tcPr>
            <w:tcW w:w="301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60"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4724"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收入</w:t>
            </w:r>
          </w:p>
        </w:tc>
        <w:tc>
          <w:tcPr>
            <w:tcW w:w="4769"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支出</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7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金额</w:t>
            </w: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13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金额</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13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一、一般公共预算财政拨款收入</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2,710.43</w:t>
            </w: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一、一般公共服务支出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35.83</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二、政府性基金预算财政拨款收入</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二、外交支出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三、上级补助收入</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三、国防支出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31</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四、事业收入</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四、公共安全支出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五、经营收入</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五、教育支出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33</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六、附属单位上缴收入</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六、科学技术支出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七、其他收入</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七、文化旅游体育与传媒支出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八、社会保障和就业支出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36</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35.76</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九、卫生健康支出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37</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十、节能环保支出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38</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8.42</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11</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十一、城乡社区支出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39</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220.78</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12</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十二、农林水支出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40</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十三、交通运输支出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41</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十四、资源勘探信息等支出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42</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十五、商业服务业等支出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43</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2,632.90</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十六、金融支出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44</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17</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十七、援助其他地区支出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45</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18</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十八、自然资源海洋气象等支出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46</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十九、住房保障支出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二十、粮油物资储备支出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48</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474"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二十一、灾害防治及应急管理支出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二十二、其他支出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二十四、债务付息支出</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51</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本年收入合计</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2,910.43</w:t>
            </w: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本年支出合计</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52</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2,966.95</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用事业基金弥补收支差额</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25</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结余分配</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53</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年初结转和结余</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547.97</w:t>
            </w: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年末结转和结余</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54</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491.44</w:t>
            </w: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27</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55</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326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28</w:t>
            </w:r>
          </w:p>
        </w:tc>
        <w:tc>
          <w:tcPr>
            <w:tcW w:w="7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3,458.39</w:t>
            </w:r>
          </w:p>
        </w:tc>
        <w:tc>
          <w:tcPr>
            <w:tcW w:w="3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3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56</w:t>
            </w:r>
          </w:p>
        </w:tc>
        <w:tc>
          <w:tcPr>
            <w:tcW w:w="13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3,458.39</w:t>
            </w:r>
          </w:p>
        </w:tc>
      </w:tr>
      <w:tr>
        <w:tblPrEx>
          <w:tblCellMar>
            <w:top w:w="0" w:type="dxa"/>
            <w:left w:w="0" w:type="dxa"/>
            <w:bottom w:w="0" w:type="dxa"/>
            <w:right w:w="0" w:type="dxa"/>
          </w:tblCellMar>
        </w:tblPrEx>
        <w:trPr>
          <w:trHeight w:val="308" w:hRule="atLeast"/>
        </w:trPr>
        <w:tc>
          <w:tcPr>
            <w:tcW w:w="9493" w:type="dxa"/>
            <w:gridSpan w:val="6"/>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注：本表反映部门本年度的总收支和年末结转结余情况。</w:t>
            </w:r>
          </w:p>
        </w:tc>
      </w:tr>
    </w:tbl>
    <w:p>
      <w:pPr>
        <w:rPr>
          <w:vanish/>
        </w:rPr>
      </w:pPr>
    </w:p>
    <w:tbl>
      <w:tblPr>
        <w:tblStyle w:val="8"/>
        <w:tblW w:w="9102" w:type="dxa"/>
        <w:tblInd w:w="0" w:type="dxa"/>
        <w:tblLayout w:type="fixed"/>
        <w:tblCellMar>
          <w:top w:w="0" w:type="dxa"/>
          <w:left w:w="0" w:type="dxa"/>
          <w:bottom w:w="0" w:type="dxa"/>
          <w:right w:w="0" w:type="dxa"/>
        </w:tblCellMar>
      </w:tblPr>
      <w:tblGrid>
        <w:gridCol w:w="581"/>
        <w:gridCol w:w="50"/>
        <w:gridCol w:w="50"/>
        <w:gridCol w:w="4519"/>
        <w:gridCol w:w="754"/>
        <w:gridCol w:w="754"/>
        <w:gridCol w:w="392"/>
        <w:gridCol w:w="392"/>
        <w:gridCol w:w="392"/>
        <w:gridCol w:w="392"/>
        <w:gridCol w:w="826"/>
      </w:tblGrid>
      <w:tr>
        <w:tblPrEx>
          <w:tblCellMar>
            <w:top w:w="0" w:type="dxa"/>
            <w:left w:w="0" w:type="dxa"/>
            <w:bottom w:w="0" w:type="dxa"/>
            <w:right w:w="0" w:type="dxa"/>
          </w:tblCellMar>
        </w:tblPrEx>
        <w:trPr>
          <w:trHeight w:val="390" w:hRule="atLeast"/>
        </w:trPr>
        <w:tc>
          <w:tcPr>
            <w:tcW w:w="9102" w:type="dxa"/>
            <w:gridSpan w:val="11"/>
            <w:tcBorders>
              <w:top w:val="nil"/>
              <w:left w:val="nil"/>
              <w:bottom w:val="nil"/>
              <w:right w:val="nil"/>
            </w:tcBorders>
            <w:tcMar>
              <w:top w:w="15" w:type="dxa"/>
              <w:left w:w="15" w:type="dxa"/>
              <w:right w:w="15" w:type="dxa"/>
            </w:tcMar>
            <w:vAlign w:val="bottom"/>
          </w:tcPr>
          <w:p>
            <w:pPr>
              <w:jc w:val="center"/>
              <w:rPr>
                <w:rFonts w:ascii="宋体" w:hAnsi="宋体" w:eastAsia="宋体" w:cs="宋体"/>
                <w:color w:val="000000"/>
                <w:kern w:val="0"/>
                <w:sz w:val="30"/>
                <w:szCs w:val="30"/>
              </w:rPr>
            </w:pPr>
          </w:p>
          <w:p>
            <w:pPr>
              <w:jc w:val="center"/>
              <w:rPr>
                <w:rFonts w:ascii="Arial" w:hAnsi="Arial" w:cs="Arial"/>
                <w:color w:val="000000"/>
                <w:sz w:val="20"/>
                <w:szCs w:val="20"/>
              </w:rPr>
            </w:pPr>
            <w:r>
              <w:rPr>
                <w:rFonts w:hint="eastAsia" w:ascii="宋体" w:hAnsi="宋体" w:eastAsia="宋体" w:cs="宋体"/>
                <w:color w:val="000000"/>
                <w:kern w:val="0"/>
                <w:sz w:val="30"/>
                <w:szCs w:val="30"/>
              </w:rPr>
              <w:t>收入决算表</w:t>
            </w:r>
          </w:p>
        </w:tc>
      </w:tr>
      <w:tr>
        <w:tblPrEx>
          <w:tblCellMar>
            <w:top w:w="0" w:type="dxa"/>
            <w:left w:w="0" w:type="dxa"/>
            <w:bottom w:w="0" w:type="dxa"/>
            <w:right w:w="0" w:type="dxa"/>
          </w:tblCellMar>
        </w:tblPrEx>
        <w:trPr>
          <w:trHeight w:val="255" w:hRule="atLeast"/>
        </w:trPr>
        <w:tc>
          <w:tcPr>
            <w:tcW w:w="58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5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5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5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221"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255" w:hRule="atLeast"/>
        </w:trPr>
        <w:tc>
          <w:tcPr>
            <w:tcW w:w="5190"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部门：迁安市北方钢铁物流产业聚集区管理委员</w:t>
            </w:r>
          </w:p>
        </w:tc>
        <w:tc>
          <w:tcPr>
            <w:tcW w:w="75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5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14"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5190"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5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75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39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39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39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39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82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12" w:hRule="atLeast"/>
        </w:trPr>
        <w:tc>
          <w:tcPr>
            <w:tcW w:w="66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功能分类科目编码</w:t>
            </w:r>
          </w:p>
        </w:tc>
        <w:tc>
          <w:tcPr>
            <w:tcW w:w="453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科目名称</w:t>
            </w: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82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12" w:hRule="atLeast"/>
        </w:trPr>
        <w:tc>
          <w:tcPr>
            <w:tcW w:w="66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53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82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12" w:hRule="atLeast"/>
        </w:trPr>
        <w:tc>
          <w:tcPr>
            <w:tcW w:w="66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53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3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82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5190"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75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75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3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3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3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3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82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w:t>
            </w:r>
          </w:p>
        </w:tc>
      </w:tr>
      <w:tr>
        <w:tblPrEx>
          <w:tblCellMar>
            <w:top w:w="0" w:type="dxa"/>
            <w:left w:w="0" w:type="dxa"/>
            <w:bottom w:w="0" w:type="dxa"/>
            <w:right w:w="0" w:type="dxa"/>
          </w:tblCellMar>
        </w:tblPrEx>
        <w:trPr>
          <w:trHeight w:val="308" w:hRule="atLeast"/>
        </w:trPr>
        <w:tc>
          <w:tcPr>
            <w:tcW w:w="5190"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合计</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2,910.43</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2,910.43</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社会保障和就业支出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35.76</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35.76</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20805</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行政事业单位离退休</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35.22</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35.22</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2080505</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机关事业单位基本养老保险缴费支出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32.75</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32.75</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2080506</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机关事业单位职业年金缴费支出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2.47</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2.47</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20899</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其他社会保障和就业支出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0.53</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0.53</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2089901</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其他社会保障和就业支出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0.53</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0.53</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210</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卫生健康支出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21011</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行政事业单位医疗</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2101102</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事业单位医疗</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城乡社区支出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230.00</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230.00</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21201</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城乡社区管理事务</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30.00</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30.00</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2120199</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其他城乡社区管理事务支出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30.00</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30.00</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21208</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国有土地使用权出让收入及对应专项债务收入安排的支出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2120802</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土地开发支出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216</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商业服务业等支出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2,611.41</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2,611.41</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21699</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其他商业服务业等支出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2,611.41</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2,611.41</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2169999</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其他商业服务业等支出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2,611.41</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2,611.41</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221</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住房保障支出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22102</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住房改革支出</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60"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2210201</w:t>
            </w:r>
          </w:p>
        </w:tc>
        <w:tc>
          <w:tcPr>
            <w:tcW w:w="453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住房公积金</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75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39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9102" w:type="dxa"/>
            <w:gridSpan w:val="11"/>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注：本表反映部门本年度取得的各项收入情况。</w:t>
            </w:r>
          </w:p>
        </w:tc>
      </w:tr>
    </w:tbl>
    <w:p>
      <w:pPr>
        <w:tabs>
          <w:tab w:val="left" w:pos="886"/>
        </w:tabs>
        <w:jc w:val="left"/>
      </w:pPr>
    </w:p>
    <w:p>
      <w:pPr>
        <w:jc w:val="left"/>
      </w:pPr>
    </w:p>
    <w:p>
      <w:pPr>
        <w:jc w:val="left"/>
      </w:pPr>
    </w:p>
    <w:tbl>
      <w:tblPr>
        <w:tblStyle w:val="8"/>
        <w:tblW w:w="9102" w:type="dxa"/>
        <w:tblInd w:w="0" w:type="dxa"/>
        <w:tblLayout w:type="fixed"/>
        <w:tblCellMar>
          <w:top w:w="0" w:type="dxa"/>
          <w:left w:w="0" w:type="dxa"/>
          <w:bottom w:w="0" w:type="dxa"/>
          <w:right w:w="0" w:type="dxa"/>
        </w:tblCellMar>
      </w:tblPr>
      <w:tblGrid>
        <w:gridCol w:w="609"/>
        <w:gridCol w:w="50"/>
        <w:gridCol w:w="50"/>
        <w:gridCol w:w="4656"/>
        <w:gridCol w:w="775"/>
        <w:gridCol w:w="591"/>
        <w:gridCol w:w="775"/>
        <w:gridCol w:w="401"/>
        <w:gridCol w:w="401"/>
        <w:gridCol w:w="794"/>
      </w:tblGrid>
      <w:tr>
        <w:tblPrEx>
          <w:tblCellMar>
            <w:top w:w="0" w:type="dxa"/>
            <w:left w:w="0" w:type="dxa"/>
            <w:bottom w:w="0" w:type="dxa"/>
            <w:right w:w="0" w:type="dxa"/>
          </w:tblCellMar>
        </w:tblPrEx>
        <w:trPr>
          <w:trHeight w:val="390" w:hRule="atLeast"/>
        </w:trPr>
        <w:tc>
          <w:tcPr>
            <w:tcW w:w="9102" w:type="dxa"/>
            <w:gridSpan w:val="10"/>
            <w:tcBorders>
              <w:top w:val="nil"/>
              <w:left w:val="nil"/>
              <w:bottom w:val="nil"/>
              <w:right w:val="nil"/>
            </w:tcBorders>
            <w:tcMar>
              <w:top w:w="15" w:type="dxa"/>
              <w:left w:w="15" w:type="dxa"/>
              <w:right w:w="15" w:type="dxa"/>
            </w:tcMar>
            <w:vAlign w:val="bottom"/>
          </w:tcPr>
          <w:p>
            <w:pPr>
              <w:jc w:val="center"/>
              <w:rPr>
                <w:rFonts w:ascii="宋体" w:hAnsi="宋体" w:eastAsia="宋体" w:cs="宋体"/>
                <w:color w:val="000000"/>
                <w:kern w:val="0"/>
                <w:sz w:val="30"/>
                <w:szCs w:val="30"/>
              </w:rPr>
            </w:pPr>
          </w:p>
          <w:p>
            <w:pPr>
              <w:jc w:val="center"/>
              <w:rPr>
                <w:rFonts w:ascii="Arial" w:hAnsi="Arial" w:cs="Arial"/>
                <w:color w:val="000000"/>
                <w:sz w:val="20"/>
                <w:szCs w:val="20"/>
              </w:rPr>
            </w:pPr>
            <w:r>
              <w:rPr>
                <w:rFonts w:hint="eastAsia" w:ascii="宋体" w:hAnsi="宋体" w:eastAsia="宋体" w:cs="宋体"/>
                <w:color w:val="000000"/>
                <w:kern w:val="0"/>
                <w:sz w:val="30"/>
                <w:szCs w:val="30"/>
              </w:rPr>
              <w:t>支出决算表</w:t>
            </w:r>
          </w:p>
        </w:tc>
      </w:tr>
      <w:tr>
        <w:tblPrEx>
          <w:tblCellMar>
            <w:top w:w="0" w:type="dxa"/>
            <w:left w:w="0" w:type="dxa"/>
            <w:bottom w:w="0" w:type="dxa"/>
            <w:right w:w="0" w:type="dxa"/>
          </w:tblCellMar>
        </w:tblPrEx>
        <w:trPr>
          <w:trHeight w:val="255" w:hRule="atLeast"/>
        </w:trPr>
        <w:tc>
          <w:tcPr>
            <w:tcW w:w="61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6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7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9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7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0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98"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255" w:hRule="atLeast"/>
        </w:trPr>
        <w:tc>
          <w:tcPr>
            <w:tcW w:w="5356"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部门：迁安市北方钢铁物流产业聚集区管理委员</w:t>
            </w:r>
          </w:p>
        </w:tc>
        <w:tc>
          <w:tcPr>
            <w:tcW w:w="77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9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7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00"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5356"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77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本年支出合计</w:t>
            </w:r>
          </w:p>
        </w:tc>
        <w:tc>
          <w:tcPr>
            <w:tcW w:w="59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基本支出</w:t>
            </w:r>
          </w:p>
        </w:tc>
        <w:tc>
          <w:tcPr>
            <w:tcW w:w="77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项目支出</w:t>
            </w:r>
          </w:p>
        </w:tc>
        <w:tc>
          <w:tcPr>
            <w:tcW w:w="40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上缴上级支出</w:t>
            </w:r>
          </w:p>
        </w:tc>
        <w:tc>
          <w:tcPr>
            <w:tcW w:w="40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经营支出</w:t>
            </w:r>
          </w:p>
        </w:tc>
        <w:tc>
          <w:tcPr>
            <w:tcW w:w="79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对附属单位补助支出</w:t>
            </w:r>
          </w:p>
        </w:tc>
      </w:tr>
      <w:tr>
        <w:tblPrEx>
          <w:tblCellMar>
            <w:top w:w="0" w:type="dxa"/>
            <w:left w:w="0" w:type="dxa"/>
            <w:bottom w:w="0" w:type="dxa"/>
            <w:right w:w="0" w:type="dxa"/>
          </w:tblCellMar>
        </w:tblPrEx>
        <w:trPr>
          <w:trHeight w:val="312" w:hRule="atLeast"/>
        </w:trPr>
        <w:tc>
          <w:tcPr>
            <w:tcW w:w="688"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功能分类科目编码</w:t>
            </w:r>
          </w:p>
        </w:tc>
        <w:tc>
          <w:tcPr>
            <w:tcW w:w="466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科目名称</w:t>
            </w:r>
          </w:p>
        </w:tc>
        <w:tc>
          <w:tcPr>
            <w:tcW w:w="77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59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7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0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0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9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12" w:hRule="atLeast"/>
        </w:trPr>
        <w:tc>
          <w:tcPr>
            <w:tcW w:w="688"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66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7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59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7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0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0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9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12" w:hRule="atLeast"/>
        </w:trPr>
        <w:tc>
          <w:tcPr>
            <w:tcW w:w="688"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66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7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59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7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0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40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9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5356"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77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5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77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4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4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7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r>
      <w:tr>
        <w:tblPrEx>
          <w:tblCellMar>
            <w:top w:w="0" w:type="dxa"/>
            <w:left w:w="0" w:type="dxa"/>
            <w:bottom w:w="0" w:type="dxa"/>
            <w:right w:w="0" w:type="dxa"/>
          </w:tblCellMar>
        </w:tblPrEx>
        <w:trPr>
          <w:trHeight w:val="308" w:hRule="atLeast"/>
        </w:trPr>
        <w:tc>
          <w:tcPr>
            <w:tcW w:w="5356"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合计</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2,966.95</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356.64</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2,610.31</w:t>
            </w: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201</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一般公共服务支出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35.83</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35.83</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20104</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发展与改革事务</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10.00</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10.00</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2010401</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行政运行</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10.00</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10.00</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20113</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商贸事务</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4.72</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4.72</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2011308</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招商引资</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4.72</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4.72</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20199</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其他一般公共服务支出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21.11</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21.11</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2019999</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其他一般公共服务支出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21.11</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21.11</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社会保障和就业支出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35.76</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35.76</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20805</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行政事业单位离退休</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35.22</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35.22</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2080505</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机关事业单位基本养老保险缴费支出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32.75</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32.75</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2080506</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机关事业单位职业年金缴费支出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2.47</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2.47</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20899</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其他社会保障和就业支出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0.53</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0.53</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2089901</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其他社会保障和就业支出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0.53</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0.53</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210</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卫生健康支出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21011</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行政事业单位医疗</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2101102</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事业单位医疗</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211</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节能环保支出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8.42</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8.42</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21103</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污染防治</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8.42</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8.42</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2110301</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大气</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8.42</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8.42</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城乡社区支出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220.78</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220.78</w:t>
            </w: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21201</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城乡社区管理事务</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20.78</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20.78</w:t>
            </w: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2120199</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其他城乡社区管理事务支出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20.78</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20.78</w:t>
            </w: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21208</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国有土地使用权出让收入及对应专项债务收入安排的支出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2120802</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土地开发支出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216</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商业服务业等支出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2,632.90</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243.37</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2,389.52</w:t>
            </w: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21699</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其他商业服务业等支出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2,632.90</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243.37</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2,389.52</w:t>
            </w: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2169999</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其他商业服务业等支出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2,632.90</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243.37</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2,389.52</w:t>
            </w: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221</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住房保障支出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22102</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住房改革支出</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68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2210201</w:t>
            </w:r>
          </w:p>
        </w:tc>
        <w:tc>
          <w:tcPr>
            <w:tcW w:w="4668"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住房公积金</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5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7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40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9102"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注：本表反映部门本年度各项支出情况。</w:t>
            </w:r>
          </w:p>
        </w:tc>
      </w:tr>
    </w:tbl>
    <w:p>
      <w:pPr>
        <w:rPr>
          <w:vanish/>
        </w:rPr>
      </w:pPr>
    </w:p>
    <w:tbl>
      <w:tblPr>
        <w:tblStyle w:val="8"/>
        <w:tblpPr w:leftFromText="180" w:rightFromText="180" w:vertAnchor="text" w:horzAnchor="page" w:tblpX="1388" w:tblpY="27"/>
        <w:tblOverlap w:val="never"/>
        <w:tblW w:w="9102" w:type="dxa"/>
        <w:tblInd w:w="0" w:type="dxa"/>
        <w:tblLayout w:type="fixed"/>
        <w:tblCellMar>
          <w:top w:w="0" w:type="dxa"/>
          <w:left w:w="0" w:type="dxa"/>
          <w:bottom w:w="0" w:type="dxa"/>
          <w:right w:w="0" w:type="dxa"/>
        </w:tblCellMar>
      </w:tblPr>
      <w:tblGrid>
        <w:gridCol w:w="2529"/>
        <w:gridCol w:w="220"/>
        <w:gridCol w:w="801"/>
        <w:gridCol w:w="2914"/>
        <w:gridCol w:w="220"/>
        <w:gridCol w:w="797"/>
        <w:gridCol w:w="797"/>
        <w:gridCol w:w="824"/>
      </w:tblGrid>
      <w:tr>
        <w:tblPrEx>
          <w:tblCellMar>
            <w:top w:w="0" w:type="dxa"/>
            <w:left w:w="0" w:type="dxa"/>
            <w:bottom w:w="0" w:type="dxa"/>
            <w:right w:w="0" w:type="dxa"/>
          </w:tblCellMar>
        </w:tblPrEx>
        <w:trPr>
          <w:trHeight w:val="390" w:hRule="atLeast"/>
        </w:trPr>
        <w:tc>
          <w:tcPr>
            <w:tcW w:w="9102" w:type="dxa"/>
            <w:gridSpan w:val="8"/>
            <w:tcBorders>
              <w:top w:val="nil"/>
              <w:left w:val="nil"/>
              <w:bottom w:val="nil"/>
              <w:right w:val="nil"/>
            </w:tcBorders>
            <w:tcMar>
              <w:top w:w="15" w:type="dxa"/>
              <w:left w:w="15" w:type="dxa"/>
              <w:right w:w="15" w:type="dxa"/>
            </w:tcMar>
            <w:vAlign w:val="bottom"/>
          </w:tcPr>
          <w:p>
            <w:pPr>
              <w:jc w:val="center"/>
              <w:rPr>
                <w:rFonts w:ascii="Arial" w:hAnsi="Arial" w:cs="Arial"/>
                <w:color w:val="000000"/>
                <w:sz w:val="20"/>
                <w:szCs w:val="20"/>
              </w:rPr>
            </w:pPr>
            <w:r>
              <w:rPr>
                <w:rFonts w:hint="eastAsia" w:ascii="宋体" w:hAnsi="宋体" w:eastAsia="宋体" w:cs="宋体"/>
                <w:color w:val="000000"/>
                <w:kern w:val="0"/>
                <w:sz w:val="30"/>
                <w:szCs w:val="30"/>
              </w:rPr>
              <w:t>财政拨款收入支出决算总表</w:t>
            </w:r>
          </w:p>
        </w:tc>
      </w:tr>
      <w:tr>
        <w:tblPrEx>
          <w:tblCellMar>
            <w:top w:w="0" w:type="dxa"/>
            <w:left w:w="0" w:type="dxa"/>
            <w:bottom w:w="0" w:type="dxa"/>
            <w:right w:w="0" w:type="dxa"/>
          </w:tblCellMar>
        </w:tblPrEx>
        <w:trPr>
          <w:trHeight w:val="255" w:hRule="atLeast"/>
        </w:trPr>
        <w:tc>
          <w:tcPr>
            <w:tcW w:w="252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0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1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9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21"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255" w:hRule="atLeast"/>
        </w:trPr>
        <w:tc>
          <w:tcPr>
            <w:tcW w:w="6464"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部门：迁安市北方钢铁物流产业聚集区管理委员</w:t>
            </w:r>
          </w:p>
        </w:tc>
        <w:tc>
          <w:tcPr>
            <w:tcW w:w="22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9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21"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3550"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收     入</w:t>
            </w:r>
          </w:p>
        </w:tc>
        <w:tc>
          <w:tcPr>
            <w:tcW w:w="5552" w:type="dxa"/>
            <w:gridSpan w:val="5"/>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支     出</w:t>
            </w:r>
          </w:p>
        </w:tc>
      </w:tr>
      <w:tr>
        <w:tblPrEx>
          <w:tblCellMar>
            <w:top w:w="0" w:type="dxa"/>
            <w:left w:w="0" w:type="dxa"/>
            <w:bottom w:w="0" w:type="dxa"/>
            <w:right w:w="0" w:type="dxa"/>
          </w:tblCellMar>
        </w:tblPrEx>
        <w:trPr>
          <w:trHeight w:val="312" w:hRule="atLeast"/>
        </w:trPr>
        <w:tc>
          <w:tcPr>
            <w:tcW w:w="2529"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22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80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金额</w:t>
            </w:r>
          </w:p>
        </w:tc>
        <w:tc>
          <w:tcPr>
            <w:tcW w:w="291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22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79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合计</w:t>
            </w:r>
          </w:p>
        </w:tc>
        <w:tc>
          <w:tcPr>
            <w:tcW w:w="79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82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615" w:hRule="atLeast"/>
        </w:trPr>
        <w:tc>
          <w:tcPr>
            <w:tcW w:w="2529"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22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80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291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22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9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9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82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8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7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8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2,710.43</w:t>
            </w: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一、一般公共服务支出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35.83</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35.83</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二、外交支出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31</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三、国防支出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四、公共安全支出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33</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五、教育支出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六、科学技术支出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七、文化旅游体育与传媒支出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36</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八、社会保障和就业支出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37</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35.76</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35.76</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九、卫生健康支出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38</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19.08</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十、节能环保支出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39</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8.42</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8.42</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11</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十一、城乡社区支出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40</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220.78</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20.78</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12</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十二、农林水支出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41</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十三、交通运输支出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42</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十四、资源勘探信息等支出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43</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十五、商业服务业等支出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44</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2,632.90</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2,632.90</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十六、金融支出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45</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17</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十七、援助其他地区支出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46</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18</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十八、自然资源海洋气象等支出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十九、住房保障支出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48</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14.19</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二十、粮油物资储备支出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二十一、灾害防治及应急管理支出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二十二、其他支出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51</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二十四、债务付息支出</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52</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本年收入合计</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2,910.43</w:t>
            </w: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本年支出合计</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53</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2,966.95</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2,766.95</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年初财政拨款结转和结余</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25</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547.97</w:t>
            </w: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年末财政拨款结转和结余</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54</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491.44</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491.44</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547.97</w:t>
            </w: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55</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27</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0.00</w:t>
            </w: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56</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28</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8"/>
                <w:szCs w:val="18"/>
              </w:rPr>
            </w:pP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57</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8"/>
                <w:szCs w:val="18"/>
              </w:rPr>
            </w:pP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8"/>
                <w:szCs w:val="18"/>
              </w:rPr>
            </w:pP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trPr>
        <w:tc>
          <w:tcPr>
            <w:tcW w:w="252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3,458.39</w:t>
            </w:r>
          </w:p>
        </w:tc>
        <w:tc>
          <w:tcPr>
            <w:tcW w:w="29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2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58</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3,458.39</w:t>
            </w:r>
          </w:p>
        </w:tc>
        <w:tc>
          <w:tcPr>
            <w:tcW w:w="79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3,258.39</w:t>
            </w:r>
          </w:p>
        </w:tc>
        <w:tc>
          <w:tcPr>
            <w:tcW w:w="82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200.00</w:t>
            </w:r>
          </w:p>
        </w:tc>
      </w:tr>
      <w:tr>
        <w:tblPrEx>
          <w:tblCellMar>
            <w:top w:w="0" w:type="dxa"/>
            <w:left w:w="0" w:type="dxa"/>
            <w:bottom w:w="0" w:type="dxa"/>
            <w:right w:w="0" w:type="dxa"/>
          </w:tblCellMar>
        </w:tblPrEx>
        <w:trPr>
          <w:trHeight w:val="308" w:hRule="atLeast"/>
        </w:trPr>
        <w:tc>
          <w:tcPr>
            <w:tcW w:w="9102" w:type="dxa"/>
            <w:gridSpan w:val="8"/>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注：本表反映部门本年度一般公共预算财政拨款和政府性基金预算财政拨款的总收支和年末结转结余情况。</w:t>
            </w:r>
          </w:p>
        </w:tc>
      </w:tr>
    </w:tbl>
    <w:p>
      <w:pPr>
        <w:jc w:val="left"/>
      </w:pPr>
    </w:p>
    <w:p>
      <w:r>
        <w:br w:type="page"/>
      </w:r>
    </w:p>
    <w:tbl>
      <w:tblPr>
        <w:tblStyle w:val="8"/>
        <w:tblW w:w="9102" w:type="dxa"/>
        <w:tblInd w:w="0" w:type="dxa"/>
        <w:tblLayout w:type="fixed"/>
        <w:tblCellMar>
          <w:top w:w="0" w:type="dxa"/>
          <w:left w:w="0" w:type="dxa"/>
          <w:bottom w:w="0" w:type="dxa"/>
          <w:right w:w="0" w:type="dxa"/>
        </w:tblCellMar>
      </w:tblPr>
      <w:tblGrid>
        <w:gridCol w:w="2210"/>
        <w:gridCol w:w="50"/>
        <w:gridCol w:w="50"/>
        <w:gridCol w:w="3758"/>
        <w:gridCol w:w="914"/>
        <w:gridCol w:w="694"/>
        <w:gridCol w:w="1426"/>
      </w:tblGrid>
      <w:tr>
        <w:tblPrEx>
          <w:tblCellMar>
            <w:top w:w="0" w:type="dxa"/>
            <w:left w:w="0" w:type="dxa"/>
            <w:bottom w:w="0" w:type="dxa"/>
            <w:right w:w="0" w:type="dxa"/>
          </w:tblCellMar>
        </w:tblPrEx>
        <w:trPr>
          <w:trHeight w:val="390" w:hRule="atLeast"/>
        </w:trPr>
        <w:tc>
          <w:tcPr>
            <w:tcW w:w="9102" w:type="dxa"/>
            <w:gridSpan w:val="7"/>
            <w:tcBorders>
              <w:top w:val="nil"/>
              <w:left w:val="nil"/>
              <w:bottom w:val="nil"/>
              <w:right w:val="nil"/>
            </w:tcBorders>
            <w:tcMar>
              <w:top w:w="15" w:type="dxa"/>
              <w:left w:w="15" w:type="dxa"/>
              <w:right w:w="15" w:type="dxa"/>
            </w:tcMar>
            <w:vAlign w:val="bottom"/>
          </w:tcPr>
          <w:p>
            <w:pPr>
              <w:jc w:val="center"/>
              <w:rPr>
                <w:rFonts w:ascii="Arial" w:hAnsi="Arial" w:cs="Arial"/>
                <w:color w:val="000000"/>
                <w:sz w:val="20"/>
                <w:szCs w:val="20"/>
              </w:rPr>
            </w:pPr>
            <w:r>
              <w:rPr>
                <w:rFonts w:hint="eastAsia" w:ascii="宋体" w:hAnsi="宋体" w:eastAsia="宋体" w:cs="宋体"/>
                <w:color w:val="000000"/>
                <w:kern w:val="0"/>
                <w:sz w:val="30"/>
                <w:szCs w:val="30"/>
              </w:rPr>
              <w:t>一般公共预算财政拨款支出决算表</w:t>
            </w:r>
          </w:p>
        </w:tc>
      </w:tr>
      <w:tr>
        <w:tblPrEx>
          <w:tblCellMar>
            <w:top w:w="0" w:type="dxa"/>
            <w:left w:w="0" w:type="dxa"/>
            <w:bottom w:w="0" w:type="dxa"/>
            <w:right w:w="0" w:type="dxa"/>
          </w:tblCellMar>
        </w:tblPrEx>
        <w:trPr>
          <w:trHeight w:val="255" w:hRule="atLeast"/>
        </w:trPr>
        <w:tc>
          <w:tcPr>
            <w:tcW w:w="22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7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9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trPr>
        <w:tc>
          <w:tcPr>
            <w:tcW w:w="6059"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部门：迁安市北方钢铁物流产业聚集区管理委员</w:t>
            </w:r>
          </w:p>
        </w:tc>
        <w:tc>
          <w:tcPr>
            <w:tcW w:w="9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9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6059"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043"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trPr>
        <w:tc>
          <w:tcPr>
            <w:tcW w:w="228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1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69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3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trPr>
        <w:tc>
          <w:tcPr>
            <w:tcW w:w="228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37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1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69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43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228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37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1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69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43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6059"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trPr>
        <w:tc>
          <w:tcPr>
            <w:tcW w:w="6059"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2,766.95</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356.64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2,410.31</w:t>
            </w: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35.83</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35.83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20104</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发展与改革事务</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2010401</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20113</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商贸事务</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4.72</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2011308</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招商引资</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4.72</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20199</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其他一般公共服务支出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21.11</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21.11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2019999</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其他一般公共服务支出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21.11</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21.11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35.76</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35.76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35.22</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35.22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32.75</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32.75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2.47</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其他社会保障和就业支出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0.53</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2089901</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其他社会保障和就业支出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0.53</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19.08</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19.08</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事业单位医疗</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19.08</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节能环保支出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8.42</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污染防治</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8.42</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2110301</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大气</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8.42</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20.78</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20.78</w:t>
            </w: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城乡社区管理事务</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20.78</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20.78</w:t>
            </w: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2120199</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其他城乡社区管理事务支出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20.78</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20.78</w:t>
            </w: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216</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商业服务业等支出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2,632.90</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2,389.52</w:t>
            </w: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21699</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其他商业服务业等支出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2,632.90</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2,389.52</w:t>
            </w: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2169999</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其他商业服务业等支出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2,632.90</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2,389.52</w:t>
            </w: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住房保障支出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14.19</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住房改革支出</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14.19</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28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2210201</w:t>
            </w:r>
          </w:p>
        </w:tc>
        <w:tc>
          <w:tcPr>
            <w:tcW w:w="377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住房公积金</w:t>
            </w:r>
          </w:p>
        </w:tc>
        <w:tc>
          <w:tcPr>
            <w:tcW w:w="9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14.19</w:t>
            </w:r>
          </w:p>
        </w:tc>
        <w:tc>
          <w:tcPr>
            <w:tcW w:w="69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9102" w:type="dxa"/>
            <w:gridSpan w:val="7"/>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注：本表反映部门本年度一般公共预算财政拨款支出情况。</w:t>
            </w:r>
          </w:p>
        </w:tc>
      </w:tr>
    </w:tbl>
    <w:p>
      <w:r>
        <w:br w:type="page"/>
      </w:r>
    </w:p>
    <w:tbl>
      <w:tblPr>
        <w:tblStyle w:val="8"/>
        <w:tblW w:w="9102" w:type="dxa"/>
        <w:tblInd w:w="0" w:type="dxa"/>
        <w:tblLayout w:type="fixed"/>
        <w:tblCellMar>
          <w:top w:w="0" w:type="dxa"/>
          <w:left w:w="0" w:type="dxa"/>
          <w:bottom w:w="0" w:type="dxa"/>
          <w:right w:w="0" w:type="dxa"/>
        </w:tblCellMar>
      </w:tblPr>
      <w:tblGrid>
        <w:gridCol w:w="400"/>
        <w:gridCol w:w="1595"/>
        <w:gridCol w:w="795"/>
        <w:gridCol w:w="555"/>
        <w:gridCol w:w="1395"/>
        <w:gridCol w:w="706"/>
        <w:gridCol w:w="401"/>
        <w:gridCol w:w="2373"/>
        <w:gridCol w:w="882"/>
      </w:tblGrid>
      <w:tr>
        <w:tblPrEx>
          <w:tblCellMar>
            <w:top w:w="0" w:type="dxa"/>
            <w:left w:w="0" w:type="dxa"/>
            <w:bottom w:w="0" w:type="dxa"/>
            <w:right w:w="0" w:type="dxa"/>
          </w:tblCellMar>
        </w:tblPrEx>
        <w:trPr>
          <w:trHeight w:val="390" w:hRule="atLeast"/>
        </w:trPr>
        <w:tc>
          <w:tcPr>
            <w:tcW w:w="9102" w:type="dxa"/>
            <w:gridSpan w:val="9"/>
            <w:tcBorders>
              <w:top w:val="nil"/>
              <w:left w:val="nil"/>
              <w:bottom w:val="nil"/>
              <w:right w:val="nil"/>
            </w:tcBorders>
            <w:tcMar>
              <w:top w:w="15" w:type="dxa"/>
              <w:left w:w="15" w:type="dxa"/>
              <w:right w:w="15" w:type="dxa"/>
            </w:tcMar>
            <w:vAlign w:val="bottom"/>
          </w:tcPr>
          <w:p>
            <w:pPr>
              <w:jc w:val="center"/>
              <w:rPr>
                <w:rFonts w:ascii="Arial" w:hAnsi="Arial" w:cs="Arial"/>
                <w:color w:val="000000"/>
                <w:sz w:val="20"/>
                <w:szCs w:val="20"/>
              </w:rPr>
            </w:pPr>
            <w:r>
              <w:rPr>
                <w:rFonts w:hint="eastAsia" w:ascii="宋体" w:hAnsi="宋体" w:eastAsia="宋体" w:cs="宋体"/>
                <w:color w:val="000000"/>
                <w:kern w:val="0"/>
                <w:sz w:val="30"/>
                <w:szCs w:val="30"/>
              </w:rPr>
              <w:t>一般公共预算财政拨款基本支出决算表</w:t>
            </w:r>
          </w:p>
        </w:tc>
      </w:tr>
      <w:tr>
        <w:tblPrEx>
          <w:tblCellMar>
            <w:top w:w="0" w:type="dxa"/>
            <w:left w:w="0" w:type="dxa"/>
            <w:bottom w:w="0" w:type="dxa"/>
            <w:right w:w="0" w:type="dxa"/>
          </w:tblCellMar>
        </w:tblPrEx>
        <w:trPr>
          <w:trHeight w:val="255" w:hRule="atLeast"/>
        </w:trPr>
        <w:tc>
          <w:tcPr>
            <w:tcW w:w="40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9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9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0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0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255"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255" w:hRule="atLeast"/>
        </w:trPr>
        <w:tc>
          <w:tcPr>
            <w:tcW w:w="4740"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部门：迁安市北方钢铁物流产业聚集区管理委员</w:t>
            </w:r>
          </w:p>
        </w:tc>
        <w:tc>
          <w:tcPr>
            <w:tcW w:w="70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0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255"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08" w:hRule="atLeast"/>
        </w:trPr>
        <w:tc>
          <w:tcPr>
            <w:tcW w:w="2790"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人员经费</w:t>
            </w:r>
          </w:p>
        </w:tc>
        <w:tc>
          <w:tcPr>
            <w:tcW w:w="6312"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公用经费</w:t>
            </w:r>
          </w:p>
        </w:tc>
      </w:tr>
      <w:tr>
        <w:tblPrEx>
          <w:tblCellMar>
            <w:top w:w="0" w:type="dxa"/>
            <w:left w:w="0" w:type="dxa"/>
            <w:bottom w:w="0" w:type="dxa"/>
            <w:right w:w="0" w:type="dxa"/>
          </w:tblCellMar>
        </w:tblPrEx>
        <w:trPr>
          <w:trHeight w:val="312" w:hRule="atLeast"/>
        </w:trPr>
        <w:tc>
          <w:tcPr>
            <w:tcW w:w="400"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科目编码</w:t>
            </w:r>
          </w:p>
        </w:tc>
        <w:tc>
          <w:tcPr>
            <w:tcW w:w="159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科目名称</w:t>
            </w:r>
          </w:p>
        </w:tc>
        <w:tc>
          <w:tcPr>
            <w:tcW w:w="79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决算数</w:t>
            </w:r>
          </w:p>
        </w:tc>
        <w:tc>
          <w:tcPr>
            <w:tcW w:w="55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科目编码</w:t>
            </w:r>
          </w:p>
        </w:tc>
        <w:tc>
          <w:tcPr>
            <w:tcW w:w="139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科目名称</w:t>
            </w:r>
          </w:p>
        </w:tc>
        <w:tc>
          <w:tcPr>
            <w:tcW w:w="70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决算数</w:t>
            </w:r>
          </w:p>
        </w:tc>
        <w:tc>
          <w:tcPr>
            <w:tcW w:w="40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科目编码</w:t>
            </w:r>
          </w:p>
        </w:tc>
        <w:tc>
          <w:tcPr>
            <w:tcW w:w="237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科目名称</w:t>
            </w:r>
          </w:p>
        </w:tc>
        <w:tc>
          <w:tcPr>
            <w:tcW w:w="88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决算数</w:t>
            </w:r>
          </w:p>
        </w:tc>
      </w:tr>
      <w:tr>
        <w:tblPrEx>
          <w:tblCellMar>
            <w:top w:w="0" w:type="dxa"/>
            <w:left w:w="0" w:type="dxa"/>
            <w:bottom w:w="0" w:type="dxa"/>
            <w:right w:w="0" w:type="dxa"/>
          </w:tblCellMar>
        </w:tblPrEx>
        <w:trPr>
          <w:trHeight w:val="312" w:hRule="atLeast"/>
        </w:trPr>
        <w:tc>
          <w:tcPr>
            <w:tcW w:w="40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3"/>
                <w:szCs w:val="13"/>
              </w:rPr>
            </w:pPr>
          </w:p>
        </w:tc>
        <w:tc>
          <w:tcPr>
            <w:tcW w:w="15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3"/>
                <w:szCs w:val="13"/>
              </w:rPr>
            </w:pPr>
          </w:p>
        </w:tc>
        <w:tc>
          <w:tcPr>
            <w:tcW w:w="7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3"/>
                <w:szCs w:val="13"/>
              </w:rPr>
            </w:pPr>
          </w:p>
        </w:tc>
        <w:tc>
          <w:tcPr>
            <w:tcW w:w="55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3"/>
                <w:szCs w:val="13"/>
              </w:rPr>
            </w:pPr>
          </w:p>
        </w:tc>
        <w:tc>
          <w:tcPr>
            <w:tcW w:w="13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3"/>
                <w:szCs w:val="13"/>
              </w:rPr>
            </w:pPr>
          </w:p>
        </w:tc>
        <w:tc>
          <w:tcPr>
            <w:tcW w:w="70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3"/>
                <w:szCs w:val="13"/>
              </w:rPr>
            </w:pPr>
          </w:p>
        </w:tc>
        <w:tc>
          <w:tcPr>
            <w:tcW w:w="40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3"/>
                <w:szCs w:val="13"/>
              </w:rPr>
            </w:pPr>
          </w:p>
        </w:tc>
        <w:tc>
          <w:tcPr>
            <w:tcW w:w="237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3"/>
                <w:szCs w:val="13"/>
              </w:rPr>
            </w:pPr>
          </w:p>
        </w:tc>
        <w:tc>
          <w:tcPr>
            <w:tcW w:w="8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84"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工资福利支出</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280.87</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商品和服务支出</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70.34</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307</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债务利息及费用支出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30101</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基本工资</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91.28</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30201</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办公费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8.40</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30701</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国内债务付息</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30102</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津贴补贴</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47.21</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30202</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印刷费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30702</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国外债务付息</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30103</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奖金</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45.36</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30203</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咨询费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资本性支出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30106</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伙食补助费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30204</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手续费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31001</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房屋建筑物购建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30107</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绩效工资</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22.25</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30205</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水费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31002</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办公设备购置</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30108</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机关事业单位基本养老保险缴费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32.75</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30206</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电费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31003</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专用设备购置</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30109</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职业年金缴费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2.47</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30207</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邮电费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12.40</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31005</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基础设施建设</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30110</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职工基本医疗保险缴费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9.34</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30208</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取暖费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31006</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大型修缮</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30111</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公务员医疗补助缴费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9.40</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30209</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物业管理费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31007</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信息网络及软件购置更新</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30112</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其他社会保障缴费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0.87</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30211</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差旅费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7.38</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31008</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物资储备</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30113</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住房公积金</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14.19</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30212</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因公出国（境）费用</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31009</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土地补偿</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30114</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医疗费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30213</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维修（护）费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31010</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安置补助</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30199</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其他工资福利支出</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5.74</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30214</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租赁费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31011</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地上附着物和青苗补偿</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对个人和家庭的补助</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5.43</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30215</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会议费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31012</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拆迁补偿</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30301</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离休费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30216</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培训费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31013</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公务用车购置</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30302</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退休费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公务接待费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31019</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其他交通工具购置</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30303</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退职（役）费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30218</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专用材料费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31021</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文物和陈列品购置</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30304</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抚恤金</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30224</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被装购置费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31022</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无形资产购置</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30305</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生活补助</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5.32</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30225</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专用燃料费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31099</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其他资本性支出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30306</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救济费</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30226</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劳务费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399</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其他支出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30307</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医疗费补助</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30227</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委托业务费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29.14</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39906</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赠与</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30308</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助学金</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30228</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工会经费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2.52</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39907</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国家赔偿费用支出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30309</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奖励金</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0.12</w:t>
            </w: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30229</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福利费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1.64</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39908</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对民间非营利组织和群众性自治组织补贴</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30310</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个人农业生产补贴</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30231</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公务用车运行维护费</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1.03</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39999</w:t>
            </w: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其他支出</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30399</w:t>
            </w: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其他对个人和家庭的补助</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30239</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其他交通费用</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5.14</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30240</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税金及附加费用</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4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15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3"/>
                <w:szCs w:val="13"/>
              </w:rPr>
            </w:pPr>
          </w:p>
        </w:tc>
        <w:tc>
          <w:tcPr>
            <w:tcW w:w="5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30299</w:t>
            </w:r>
          </w:p>
        </w:tc>
        <w:tc>
          <w:tcPr>
            <w:tcW w:w="13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 xml:space="preserve">  其他商品和服务支出</w:t>
            </w:r>
          </w:p>
        </w:tc>
        <w:tc>
          <w:tcPr>
            <w:tcW w:w="7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2.70</w:t>
            </w:r>
          </w:p>
        </w:tc>
        <w:tc>
          <w:tcPr>
            <w:tcW w:w="40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23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eastAsia="宋体" w:cs="宋体"/>
                <w:color w:val="000000"/>
                <w:sz w:val="13"/>
                <w:szCs w:val="13"/>
              </w:rPr>
            </w:pP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13"/>
                <w:szCs w:val="13"/>
              </w:rPr>
            </w:pPr>
          </w:p>
        </w:tc>
      </w:tr>
      <w:tr>
        <w:tblPrEx>
          <w:tblCellMar>
            <w:top w:w="0" w:type="dxa"/>
            <w:left w:w="0" w:type="dxa"/>
            <w:bottom w:w="0" w:type="dxa"/>
            <w:right w:w="0" w:type="dxa"/>
          </w:tblCellMar>
        </w:tblPrEx>
        <w:trPr>
          <w:trHeight w:val="308" w:hRule="atLeast"/>
        </w:trPr>
        <w:tc>
          <w:tcPr>
            <w:tcW w:w="1995"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人员经费合计</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286.30</w:t>
            </w:r>
          </w:p>
        </w:tc>
        <w:tc>
          <w:tcPr>
            <w:tcW w:w="5430"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公用经费合计</w:t>
            </w:r>
          </w:p>
        </w:tc>
        <w:tc>
          <w:tcPr>
            <w:tcW w:w="88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70.34</w:t>
            </w:r>
          </w:p>
        </w:tc>
      </w:tr>
      <w:tr>
        <w:tblPrEx>
          <w:tblCellMar>
            <w:top w:w="0" w:type="dxa"/>
            <w:left w:w="0" w:type="dxa"/>
            <w:bottom w:w="0" w:type="dxa"/>
            <w:right w:w="0" w:type="dxa"/>
          </w:tblCellMar>
        </w:tblPrEx>
        <w:trPr>
          <w:trHeight w:val="308" w:hRule="atLeast"/>
        </w:trPr>
        <w:tc>
          <w:tcPr>
            <w:tcW w:w="9102" w:type="dxa"/>
            <w:gridSpan w:val="9"/>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13"/>
                <w:szCs w:val="13"/>
              </w:rPr>
            </w:pPr>
            <w:r>
              <w:rPr>
                <w:rFonts w:hint="eastAsia" w:ascii="宋体" w:hAnsi="宋体" w:eastAsia="宋体" w:cs="宋体"/>
                <w:color w:val="000000"/>
                <w:kern w:val="0"/>
                <w:sz w:val="13"/>
                <w:szCs w:val="13"/>
              </w:rPr>
              <w:t>注：本表反映部门本年度一般公共预算财政拨款基本支出明细情况。</w:t>
            </w:r>
          </w:p>
        </w:tc>
      </w:tr>
    </w:tbl>
    <w:p>
      <w:r>
        <w:br w:type="page"/>
      </w:r>
    </w:p>
    <w:tbl>
      <w:tblPr>
        <w:tblStyle w:val="8"/>
        <w:tblW w:w="9102" w:type="dxa"/>
        <w:tblInd w:w="0" w:type="dxa"/>
        <w:tblLayout w:type="fixed"/>
        <w:tblCellMar>
          <w:top w:w="0" w:type="dxa"/>
          <w:left w:w="0" w:type="dxa"/>
          <w:bottom w:w="0" w:type="dxa"/>
          <w:right w:w="0" w:type="dxa"/>
        </w:tblCellMar>
      </w:tblPr>
      <w:tblGrid>
        <w:gridCol w:w="735"/>
        <w:gridCol w:w="960"/>
        <w:gridCol w:w="930"/>
        <w:gridCol w:w="900"/>
        <w:gridCol w:w="780"/>
        <w:gridCol w:w="660"/>
        <w:gridCol w:w="735"/>
        <w:gridCol w:w="765"/>
        <w:gridCol w:w="528"/>
        <w:gridCol w:w="717"/>
        <w:gridCol w:w="735"/>
        <w:gridCol w:w="657"/>
      </w:tblGrid>
      <w:tr>
        <w:tblPrEx>
          <w:tblCellMar>
            <w:top w:w="0" w:type="dxa"/>
            <w:left w:w="0" w:type="dxa"/>
            <w:bottom w:w="0" w:type="dxa"/>
            <w:right w:w="0" w:type="dxa"/>
          </w:tblCellMar>
        </w:tblPrEx>
        <w:trPr>
          <w:trHeight w:val="540" w:hRule="atLeast"/>
        </w:trPr>
        <w:tc>
          <w:tcPr>
            <w:tcW w:w="9102" w:type="dxa"/>
            <w:gridSpan w:val="1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44"/>
                <w:szCs w:val="44"/>
              </w:rPr>
              <w:t>一般公共预算财政拨款“三公”经费支出决算表</w:t>
            </w:r>
          </w:p>
        </w:tc>
      </w:tr>
      <w:tr>
        <w:tblPrEx>
          <w:tblCellMar>
            <w:top w:w="0" w:type="dxa"/>
            <w:left w:w="0" w:type="dxa"/>
            <w:bottom w:w="0" w:type="dxa"/>
            <w:right w:w="0" w:type="dxa"/>
          </w:tblCellMar>
        </w:tblPrEx>
        <w:trPr>
          <w:trHeight w:val="255" w:hRule="atLeast"/>
        </w:trPr>
        <w:tc>
          <w:tcPr>
            <w:tcW w:w="73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2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1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9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255" w:hRule="atLeast"/>
        </w:trPr>
        <w:tc>
          <w:tcPr>
            <w:tcW w:w="4305"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部门：迁安市北方钢铁物流产业聚集区管理委员</w:t>
            </w:r>
          </w:p>
        </w:tc>
        <w:tc>
          <w:tcPr>
            <w:tcW w:w="6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2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109"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4965"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4137"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08" w:hRule="atLeast"/>
        </w:trPr>
        <w:tc>
          <w:tcPr>
            <w:tcW w:w="73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61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6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c>
          <w:tcPr>
            <w:tcW w:w="7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6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198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65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615" w:hRule="atLeast"/>
        </w:trPr>
        <w:tc>
          <w:tcPr>
            <w:tcW w:w="73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9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6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7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7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7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65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3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76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52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7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7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5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308" w:hRule="atLeast"/>
        </w:trPr>
        <w:tc>
          <w:tcPr>
            <w:tcW w:w="73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1.03</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1.03</w:t>
            </w: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0.38</w:t>
            </w: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w:t>
            </w:r>
          </w:p>
        </w:tc>
        <w:tc>
          <w:tcPr>
            <w:tcW w:w="7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1.03</w:t>
            </w:r>
          </w:p>
        </w:tc>
        <w:tc>
          <w:tcPr>
            <w:tcW w:w="7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1.03</w:t>
            </w:r>
          </w:p>
        </w:tc>
        <w:tc>
          <w:tcPr>
            <w:tcW w:w="65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0.38</w:t>
            </w:r>
          </w:p>
        </w:tc>
      </w:tr>
      <w:tr>
        <w:tblPrEx>
          <w:tblCellMar>
            <w:top w:w="0" w:type="dxa"/>
            <w:left w:w="0" w:type="dxa"/>
            <w:bottom w:w="0" w:type="dxa"/>
            <w:right w:w="0" w:type="dxa"/>
          </w:tblCellMar>
        </w:tblPrEx>
        <w:trPr>
          <w:trHeight w:val="615" w:hRule="atLeast"/>
        </w:trPr>
        <w:tc>
          <w:tcPr>
            <w:tcW w:w="9102" w:type="dxa"/>
            <w:gridSpan w:val="12"/>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三公”经费支出预决算情况。其中：预算数为“三公”经费全年预算数，反映按规定程序调整后的预算数；决算数是包括当年一般公共预算财政拨款和以前年度结转资金安排的实际支出。</w:t>
            </w:r>
          </w:p>
        </w:tc>
      </w:tr>
    </w:tbl>
    <w:p>
      <w:r>
        <w:br w:type="page"/>
      </w:r>
    </w:p>
    <w:tbl>
      <w:tblPr>
        <w:tblStyle w:val="8"/>
        <w:tblW w:w="9102" w:type="dxa"/>
        <w:tblInd w:w="0" w:type="dxa"/>
        <w:tblLayout w:type="fixed"/>
        <w:tblCellMar>
          <w:top w:w="0" w:type="dxa"/>
          <w:left w:w="0" w:type="dxa"/>
          <w:bottom w:w="0" w:type="dxa"/>
          <w:right w:w="0" w:type="dxa"/>
        </w:tblCellMar>
      </w:tblPr>
      <w:tblGrid>
        <w:gridCol w:w="639"/>
        <w:gridCol w:w="50"/>
        <w:gridCol w:w="50"/>
        <w:gridCol w:w="2664"/>
        <w:gridCol w:w="1347"/>
        <w:gridCol w:w="1078"/>
        <w:gridCol w:w="898"/>
        <w:gridCol w:w="883"/>
        <w:gridCol w:w="758"/>
        <w:gridCol w:w="735"/>
      </w:tblGrid>
      <w:tr>
        <w:tblPrEx>
          <w:tblCellMar>
            <w:top w:w="0" w:type="dxa"/>
            <w:left w:w="0" w:type="dxa"/>
            <w:bottom w:w="0" w:type="dxa"/>
            <w:right w:w="0" w:type="dxa"/>
          </w:tblCellMar>
        </w:tblPrEx>
        <w:trPr>
          <w:trHeight w:val="390" w:hRule="atLeast"/>
        </w:trPr>
        <w:tc>
          <w:tcPr>
            <w:tcW w:w="9102" w:type="dxa"/>
            <w:gridSpan w:val="10"/>
            <w:tcBorders>
              <w:top w:val="nil"/>
              <w:left w:val="nil"/>
              <w:bottom w:val="nil"/>
              <w:right w:val="nil"/>
            </w:tcBorders>
            <w:tcMar>
              <w:top w:w="15" w:type="dxa"/>
              <w:left w:w="15" w:type="dxa"/>
              <w:right w:w="15" w:type="dxa"/>
            </w:tcMar>
            <w:vAlign w:val="bottom"/>
          </w:tcPr>
          <w:p>
            <w:pPr>
              <w:jc w:val="center"/>
              <w:rPr>
                <w:rFonts w:ascii="Arial" w:hAnsi="Arial" w:cs="Arial"/>
                <w:color w:val="000000"/>
                <w:sz w:val="20"/>
                <w:szCs w:val="20"/>
              </w:rPr>
            </w:pPr>
            <w:r>
              <w:rPr>
                <w:rFonts w:hint="eastAsia" w:ascii="宋体" w:hAnsi="宋体" w:eastAsia="宋体" w:cs="宋体"/>
                <w:color w:val="000000"/>
                <w:kern w:val="0"/>
                <w:sz w:val="30"/>
                <w:szCs w:val="30"/>
              </w:rPr>
              <w:t>政府性基金预算财政拨款收入支出决算表</w:t>
            </w:r>
          </w:p>
        </w:tc>
      </w:tr>
      <w:tr>
        <w:tblPrEx>
          <w:tblCellMar>
            <w:top w:w="0" w:type="dxa"/>
            <w:left w:w="0" w:type="dxa"/>
            <w:bottom w:w="0" w:type="dxa"/>
            <w:right w:w="0" w:type="dxa"/>
          </w:tblCellMar>
        </w:tblPrEx>
        <w:trPr>
          <w:trHeight w:val="255" w:hRule="atLeast"/>
        </w:trPr>
        <w:tc>
          <w:tcPr>
            <w:tcW w:w="63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6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4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7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9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376"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trPr>
        <w:tc>
          <w:tcPr>
            <w:tcW w:w="4750"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部门：迁安市北方钢铁物流产业聚集区管理委员</w:t>
            </w:r>
          </w:p>
        </w:tc>
        <w:tc>
          <w:tcPr>
            <w:tcW w:w="107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9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9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3403"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34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07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2539"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73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trPr>
        <w:tc>
          <w:tcPr>
            <w:tcW w:w="73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66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34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7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89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8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75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7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73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266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34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7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89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75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7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73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266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34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7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89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75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7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3403"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3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7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9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8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654" w:hRule="atLeast"/>
        </w:trPr>
        <w:tc>
          <w:tcPr>
            <w:tcW w:w="3403"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34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p>
        </w:tc>
        <w:tc>
          <w:tcPr>
            <w:tcW w:w="107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200.00</w:t>
            </w:r>
          </w:p>
        </w:tc>
        <w:tc>
          <w:tcPr>
            <w:tcW w:w="89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200.00</w:t>
            </w:r>
          </w:p>
        </w:tc>
        <w:tc>
          <w:tcPr>
            <w:tcW w:w="88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p>
        </w:tc>
        <w:tc>
          <w:tcPr>
            <w:tcW w:w="75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200.00</w:t>
            </w: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trPr>
        <w:tc>
          <w:tcPr>
            <w:tcW w:w="73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266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134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7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w:t>
            </w:r>
          </w:p>
        </w:tc>
        <w:tc>
          <w:tcPr>
            <w:tcW w:w="89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w:t>
            </w:r>
          </w:p>
        </w:tc>
        <w:tc>
          <w:tcPr>
            <w:tcW w:w="88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75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w:t>
            </w: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3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266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134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7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w:t>
            </w:r>
          </w:p>
        </w:tc>
        <w:tc>
          <w:tcPr>
            <w:tcW w:w="89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w:t>
            </w:r>
          </w:p>
        </w:tc>
        <w:tc>
          <w:tcPr>
            <w:tcW w:w="88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75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w:t>
            </w: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3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2120802</w:t>
            </w:r>
          </w:p>
        </w:tc>
        <w:tc>
          <w:tcPr>
            <w:tcW w:w="266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土地开发支出</w:t>
            </w:r>
          </w:p>
        </w:tc>
        <w:tc>
          <w:tcPr>
            <w:tcW w:w="134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7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w:t>
            </w:r>
          </w:p>
        </w:tc>
        <w:tc>
          <w:tcPr>
            <w:tcW w:w="89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w:t>
            </w:r>
          </w:p>
        </w:tc>
        <w:tc>
          <w:tcPr>
            <w:tcW w:w="883"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75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200.00</w:t>
            </w: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3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66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07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9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5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3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66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07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9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5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3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66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07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9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5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3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66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07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9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5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73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66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07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9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5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9102"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注：本表反映部门本年度政府性基金预算财政拨款收入、支出及结转和结余情况。</w:t>
            </w:r>
          </w:p>
        </w:tc>
      </w:tr>
    </w:tbl>
    <w:p>
      <w:r>
        <w:br w:type="page"/>
      </w:r>
    </w:p>
    <w:tbl>
      <w:tblPr>
        <w:tblStyle w:val="8"/>
        <w:tblW w:w="9102" w:type="dxa"/>
        <w:tblInd w:w="0" w:type="dxa"/>
        <w:tblLayout w:type="fixed"/>
        <w:tblCellMar>
          <w:top w:w="0" w:type="dxa"/>
          <w:left w:w="0" w:type="dxa"/>
          <w:bottom w:w="0" w:type="dxa"/>
          <w:right w:w="0" w:type="dxa"/>
        </w:tblCellMar>
      </w:tblPr>
      <w:tblGrid>
        <w:gridCol w:w="4210"/>
        <w:gridCol w:w="50"/>
        <w:gridCol w:w="50"/>
        <w:gridCol w:w="1486"/>
        <w:gridCol w:w="961"/>
        <w:gridCol w:w="909"/>
        <w:gridCol w:w="1436"/>
      </w:tblGrid>
      <w:tr>
        <w:tblPrEx>
          <w:tblCellMar>
            <w:top w:w="0" w:type="dxa"/>
            <w:left w:w="0" w:type="dxa"/>
            <w:bottom w:w="0" w:type="dxa"/>
            <w:right w:w="0" w:type="dxa"/>
          </w:tblCellMar>
        </w:tblPrEx>
        <w:trPr>
          <w:trHeight w:val="540" w:hRule="atLeast"/>
        </w:trPr>
        <w:tc>
          <w:tcPr>
            <w:tcW w:w="9102" w:type="dxa"/>
            <w:gridSpan w:val="7"/>
            <w:tcBorders>
              <w:top w:val="nil"/>
              <w:left w:val="nil"/>
              <w:bottom w:val="nil"/>
              <w:right w:val="nil"/>
            </w:tcBorders>
            <w:tcMar>
              <w:top w:w="15" w:type="dxa"/>
              <w:left w:w="15" w:type="dxa"/>
              <w:right w:w="15" w:type="dxa"/>
            </w:tcMar>
            <w:vAlign w:val="bottom"/>
          </w:tcPr>
          <w:p>
            <w:pPr>
              <w:jc w:val="center"/>
              <w:rPr>
                <w:rFonts w:ascii="Arial" w:hAnsi="Arial" w:cs="Arial"/>
                <w:color w:val="000000"/>
                <w:sz w:val="20"/>
                <w:szCs w:val="20"/>
              </w:rPr>
            </w:pPr>
            <w:r>
              <w:rPr>
                <w:rFonts w:hint="eastAsia" w:ascii="宋体" w:hAnsi="宋体" w:eastAsia="宋体" w:cs="宋体"/>
                <w:color w:val="000000"/>
                <w:kern w:val="0"/>
                <w:sz w:val="44"/>
                <w:szCs w:val="44"/>
              </w:rPr>
              <w:t>国有资本经营预算财政拨款支出决算表</w:t>
            </w:r>
          </w:p>
        </w:tc>
      </w:tr>
      <w:tr>
        <w:tblPrEx>
          <w:tblCellMar>
            <w:top w:w="0" w:type="dxa"/>
            <w:left w:w="0" w:type="dxa"/>
            <w:bottom w:w="0" w:type="dxa"/>
            <w:right w:w="0" w:type="dxa"/>
          </w:tblCellMar>
        </w:tblPrEx>
        <w:trPr>
          <w:trHeight w:val="255" w:hRule="atLeast"/>
        </w:trPr>
        <w:tc>
          <w:tcPr>
            <w:tcW w:w="422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9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40"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trPr>
        <w:tc>
          <w:tcPr>
            <w:tcW w:w="5787"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部门：迁安市北方钢铁物流产业聚集区管理委员</w:t>
            </w:r>
          </w:p>
        </w:tc>
        <w:tc>
          <w:tcPr>
            <w:tcW w:w="96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40"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77" w:hRule="atLeast"/>
        </w:trPr>
        <w:tc>
          <w:tcPr>
            <w:tcW w:w="5787"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3315"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trPr>
        <w:tc>
          <w:tcPr>
            <w:tcW w:w="4297"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9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4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trPr>
        <w:tc>
          <w:tcPr>
            <w:tcW w:w="5787"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4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trPr>
        <w:tc>
          <w:tcPr>
            <w:tcW w:w="5787"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p>
        </w:tc>
        <w:tc>
          <w:tcPr>
            <w:tcW w:w="91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p>
        </w:tc>
        <w:tc>
          <w:tcPr>
            <w:tcW w:w="14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trPr>
        <w:tc>
          <w:tcPr>
            <w:tcW w:w="429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9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429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9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429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9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429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9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429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9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429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9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9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9102" w:type="dxa"/>
            <w:gridSpan w:val="7"/>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注：本表反映部门本年度国有资本经营预算财政拨款支出情况。</w:t>
            </w:r>
          </w:p>
          <w:p>
            <w:pPr>
              <w:widowControl/>
              <w:ind w:firstLine="440" w:firstLineChars="200"/>
              <w:jc w:val="left"/>
              <w:textAlignment w:val="center"/>
              <w:rPr>
                <w:rFonts w:ascii="宋体" w:hAnsi="宋体" w:eastAsia="宋体" w:cs="宋体"/>
                <w:color w:val="000000"/>
                <w:sz w:val="22"/>
              </w:rPr>
            </w:pPr>
            <w:r>
              <w:rPr>
                <w:rFonts w:hint="eastAsia" w:ascii="宋体" w:hAnsi="宋体" w:eastAsia="宋体" w:cs="宋体"/>
                <w:color w:val="000000"/>
                <w:kern w:val="0"/>
                <w:sz w:val="22"/>
              </w:rPr>
              <w:t>本部门本年度无相关支出情况，按要求以空表列示。</w:t>
            </w:r>
          </w:p>
        </w:tc>
      </w:tr>
    </w:tbl>
    <w:p>
      <w:r>
        <w:br w:type="page"/>
      </w:r>
    </w:p>
    <w:p>
      <w:r>
        <w:pict>
          <v:rect id="矩形 40" o:spid="_x0000_s1099" o:spt="1" style="position:absolute;left:0pt;margin-left:-70.5pt;margin-top:-85.25pt;height:841.15pt;width:595.1pt;z-index:1024;mso-width-relative:page;mso-height-relative:page;" fillcolor="#FFC000" filled="t" o:preferrelative="t" stroked="f" coordsize="21600,21600">
            <v:path/>
            <v:fill on="t" focussize="0,0"/>
            <v:stroke on="f"/>
            <v:imagedata o:title=""/>
            <o:lock v:ext="edit"/>
          </v:rect>
        </w:pict>
      </w:r>
    </w:p>
    <w:sectPr>
      <w:headerReference r:id="rId18" w:type="first"/>
      <w:headerReference r:id="rId17" w:type="default"/>
      <w:footerReference r:id="rId19" w:type="default"/>
      <w:pgSz w:w="11906" w:h="16838"/>
      <w:pgMar w:top="1701" w:right="1417" w:bottom="1281"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auto"/>
    <w:pitch w:val="default"/>
    <w:sig w:usb0="00000000" w:usb1="0000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宋体"/>
    <w:panose1 w:val="00000000000000000000"/>
    <w:charset w:val="86"/>
    <w:family w:val="auto"/>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00"/>
    <w:family w:val="auto"/>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rect id="文本框 2" o:spid="_x0000_s2087" o:spt="1" style="position:absolute;left:0pt;margin-left:209.65pt;margin-top:-12.95pt;height:14.3pt;width:30.6pt;mso-position-horizontal-relative:margin;z-index:1024;mso-width-relative:page;mso-height-relative:page;" filled="f" o:preferrelative="t" stroked="f" coordsize="21600,21600">
          <v:path/>
          <v:fill on="f" focussize="0,0"/>
          <v:stroke on="f"/>
          <v:imagedata o:title=""/>
          <o:lock v:ext="edit"/>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p>
            </w:txbxContent>
          </v:textbox>
        </v:rect>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rect id="文本框 3" o:spid="_x0000_s2095" o:spt="1" style="position:absolute;left:0pt;margin-left:206.55pt;margin-top:-22.45pt;height:35.15pt;width:34pt;mso-position-horizontal-relative:margin;z-index:1024;mso-width-relative:page;mso-height-relative:page;" filled="f" o:preferrelative="t" stroked="f" coordsize="21600,21600">
          <v:path/>
          <v:fill on="f" focussize="0,0"/>
          <v:stroke on="f"/>
          <v:imagedata o:title=""/>
          <o:lock v:ext="edit"/>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p>
            </w:txbxContent>
          </v:textbox>
        </v:rect>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rect id="文本框 5" o:spid="_x0000_s2064" o:spt="1" style="position:absolute;left:0pt;margin-left:209.15pt;margin-top:-6pt;height:18.7pt;width:144pt;mso-position-horizontal-relative:margin;mso-wrap-style:none;z-index:1024;mso-width-relative:page;mso-height-relative:page;" filled="f" o:preferrelative="t" stroked="f" coordsize="21600,21600">
          <v:path/>
          <v:fill on="f" focussize="0,0"/>
          <v:stroke on="f"/>
          <v:imagedata o:title=""/>
          <o:lock v:ext="edit"/>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p>
            </w:txbxContent>
          </v:textbox>
        </v:rect>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rect id="文本框 14" o:spid="_x0000_s2072" o:spt="1" style="position:absolute;left:0pt;margin-left:205.45pt;margin-top:-18.75pt;height:31.45pt;width:30.15pt;mso-position-horizontal-relative:margin;z-index:1024;mso-width-relative:page;mso-height-relative:page;" filled="f" o:preferrelative="t" stroked="f" coordsize="21600,21600">
          <v:path/>
          <v:fill on="f" focussize="0,0"/>
          <v:stroke on="f"/>
          <v:imagedata o:title=""/>
          <o:lock v:ext="edit"/>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p>
            </w:txbxContent>
          </v:textbox>
        </v:rect>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rect id="文本框 45" o:spid="_x0000_s2049" o:spt="1" style="position:absolute;left:0pt;margin-left:209.15pt;margin-top:-6pt;height:18.7pt;width:144pt;mso-position-horizontal-relative:margin;mso-wrap-style:none;z-index:1024;mso-width-relative:page;mso-height-relative:page;" filled="f" o:preferrelative="t" stroked="f" coordsize="21600,21600">
          <v:path/>
          <v:fill on="f" focussize="0,0"/>
          <v:stroke on="f"/>
          <v:imagedata o:title=""/>
          <o:lock v:ext="edit"/>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组合 1025" o:spid="_x0000_s2100" o:spt="203" style="position:absolute;left:0pt;margin-top:29.75pt;height:32pt;width:157.5pt;mso-position-horizontal:left;mso-position-horizontal-relative:page;mso-position-vertical-relative:page;z-index:1024;mso-width-relative:page;mso-height-relative:page;" coordorigin="1337,880" coordsize="3151,641">
          <o:lock v:ext="edit"/>
          <v:rect id="矩形 1026" o:spid="_x0000_s2102" o:spt="1" style="position:absolute;left:1401;top:880;height:641;width:3087;" filled="f" o:preferrelative="t" stroked="f" coordsize="21600,21600">
            <v:path/>
            <v:fill on="f" focussize="0,0"/>
            <v:stroke on="f"/>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1027" o:spid="_x0000_s2101" o:spt="1" style="position:absolute;left:1337;top:1044;height:330;width:119;" fillcolor="#000000" filled="t" o:preferrelative="t" stroked="f" coordsize="21600,21600">
            <v:path/>
            <v:fill on="t" focussize="0,0"/>
            <v:stroke on="f"/>
            <v:imagedata o:title=""/>
            <o:lock v:ext="edit"/>
          </v:rect>
        </v:group>
      </w:pict>
    </w:r>
    <w:r>
      <w:pict>
        <v:group id="组合 1028" o:spid="_x0000_s2096" o:spt="203" style="position:absolute;left:0pt;margin-top:-58.95pt;height:58.95pt;width:595.3pt;mso-position-horizontal:center;mso-position-horizontal-relative:page;mso-position-vertical-relative:page;z-index:1024;mso-width-relative:page;mso-height-relative:page;" coordorigin="881,505" coordsize="11931,1179">
          <o:lock v:ext="edit"/>
          <v:rect id="矩形 1029" o:spid="_x0000_s2099" o:spt="1" style="position:absolute;left:881;top:1538;height:146;width:11925;" fillcolor="#FFD966" filled="t" o:preferrelative="t" stroked="f" coordsize="21600,21600">
            <v:path/>
            <v:fill on="t" focussize="0,0"/>
            <v:stroke on="f"/>
            <v:imagedata o:title=""/>
            <o:lock v:ext="edit"/>
          </v:rect>
          <v:shape id="未知" o:spid="_x0000_s2098" o:spt="100" style="position:absolute;left:10177;top:686;height:862;width:2619;" fillcolor="#000000" filled="t" o:preferrelative="t" stroked="f" coordsize="2619,862" adj=",," path="m595,1l2619,0,2619,862,0,862,595,1xe">
            <v:path textboxrect="0,0,2619,862" o:connecttype="segments"/>
            <v:fill on="t" focussize="0,0"/>
            <v:stroke on="f" joinstyle="round"/>
            <v:imagedata o:title=""/>
            <o:lock v:ext="edit"/>
          </v:shape>
          <v:shape id="未知" o:spid="_x0000_s2097" o:spt="100" style="position:absolute;left:10467;top:505;height:1108;width:2345;" fillcolor="#FFD966" filled="t" o:preferrelative="t" stroked="f" coordsize="2619,1265" adj=",," path="m668,0l2619,10,2619,1265,0,1265,668,0xe">
            <v:path textboxrect="0,0,2345,1108" o:connecttype="segments"/>
            <v:fill on="t" focussize="0,0"/>
            <v:stroke on="f" joinstyle="round"/>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组合 1091" o:spid="_x0000_s2060" o:spt="203" style="position:absolute;left:0pt;margin-left:0.75pt;margin-top:24.2pt;height:38.05pt;width:595.3pt;mso-position-horizontal-relative:page;mso-position-vertical-relative:page;z-index:1024;mso-width-relative:page;mso-height-relative:page;" coordorigin="881,326" coordsize="11931,761">
          <o:lock v:ext="edit"/>
          <v:rect id="矩形 1092" o:spid="_x0000_s2063" o:spt="1" style="position:absolute;left:881;top:993;height:94;width:11925;" fillcolor="#FFD966" filled="t" o:preferrelative="t" stroked="f" coordsize="21600,21600">
            <v:path/>
            <v:fill on="t" focussize="0,0"/>
            <v:stroke on="f"/>
            <v:imagedata o:title=""/>
            <o:lock v:ext="edit"/>
          </v:rect>
          <v:shape id="未知" o:spid="_x0000_s2062" o:spt="100" style="position:absolute;left:10177;top:443;height:556;width:2619;" fillcolor="#000000" filled="t" o:preferrelative="t" stroked="f" coordsize="2619,862" adj=",," path="m595,1l2619,0,2619,862,0,862,595,1xe">
            <v:path textboxrect="0,0,2619,862" o:connecttype="segments"/>
            <v:fill on="t" focussize="0,0"/>
            <v:stroke on="f" joinstyle="round"/>
            <v:imagedata o:title=""/>
            <o:lock v:ext="edit"/>
          </v:shape>
          <v:shape id="未知" o:spid="_x0000_s2061" o:spt="100" style="position:absolute;left:10467;top:326;height:715;width:2345;" fillcolor="#FFD966" filled="t" o:preferrelative="t" stroked="f" coordsize="2619,1265" adj=",," path="m668,0l2619,10,2619,1265,0,1265,668,0xe">
            <v:path textboxrect="0,0,2345,1108" o:connecttype="segments"/>
            <v:fill on="t" focussize="0,0"/>
            <v:stroke on="f" joinstyle="round"/>
            <v:imagedata o:title=""/>
            <o:lock v:ext="edit"/>
          </v:shape>
        </v:group>
      </w:pict>
    </w:r>
    <w:r>
      <w:pict>
        <v:group id="组合 1095" o:spid="_x0000_s2057" o:spt="203" style="position:absolute;left:0pt;margin-top:29.75pt;height:32pt;width:254.25pt;mso-position-horizontal:left;mso-position-horizontal-relative:page;mso-position-vertical-relative:page;z-index:1024;mso-width-relative:page;mso-height-relative:page;" coordorigin="2158,880" coordsize="5087,641">
          <o:lock v:ext="edit"/>
          <v:rect id="矩形 1096" o:spid="_x0000_s2059" o:spt="1" style="position:absolute;left:2262;top:880;height:641;width:4983;" filled="f" o:preferrelative="t" stroked="f" coordsize="21600,21600">
            <v:path/>
            <v:fill on="f" focussize="0,0"/>
            <v:stroke on="f"/>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rect>
          <v:rect id="矩形 1097" o:spid="_x0000_s2058" o:spt="1" style="position:absolute;left:2158;top:1044;height:330;width:192;" fillcolor="#000000" filled="t" o:preferrelative="t" stroked="f" coordsize="21600,21600">
            <v:path/>
            <v:fill on="t" focussize="0,0"/>
            <v:stroke on="f"/>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组合 1044" o:spid="_x0000_s2091" o:spt="203" style="position:absolute;left:0pt;margin-left:0pt;margin-top:53.75pt;height:31.5pt;width:594.8pt;mso-position-horizontal-relative:page;mso-position-vertical-relative:page;z-index:1024;mso-width-relative:page;mso-height-relative:page;" coordorigin="878,270" coordsize="11897,630">
          <o:lock v:ext="edit"/>
          <v:rect id="矩形 1045" o:spid="_x0000_s2094" o:spt="1" style="position:absolute;left:878;top:822;height:78;width:11892;" fillcolor="#FFD966" filled="t" o:preferrelative="t" stroked="f" coordsize="21600,21600">
            <v:path/>
            <v:fill on="t" focussize="0,0"/>
            <v:stroke on="f"/>
            <v:imagedata o:title=""/>
            <o:lock v:ext="edit"/>
          </v:rect>
          <v:shape id="未知" o:spid="_x0000_s2093" o:spt="100" style="position:absolute;left:10148;top:367;height:460;width:2612;" fillcolor="#000000" filled="t" o:preferrelative="t" stroked="f" coordsize="2619,862" adj=",," path="m595,1l2619,0,2619,862,0,862,595,1xe">
            <v:path textboxrect="0,0,2619,862" o:connecttype="segments"/>
            <v:fill on="t" focussize="0,0"/>
            <v:stroke on="f" joinstyle="round"/>
            <v:imagedata o:title=""/>
            <o:lock v:ext="edit"/>
          </v:shape>
          <v:shape id="未知" o:spid="_x0000_s2092" o:spt="100" style="position:absolute;left:10437;top:270;height:592;width:2338;" fillcolor="#FFD966" filled="t" o:preferrelative="t" stroked="f" coordsize="2619,1265" adj=",," path="m668,0l2619,10,2619,1265,0,1265,668,0xe">
            <v:path textboxrect="0,0,2345,1108" o:connecttype="segments"/>
            <v:fill on="t" focussize="0,0"/>
            <v:stroke on="f" joinstyle="round"/>
            <v:imagedata o:title=""/>
            <o:lock v:ext="edit"/>
          </v:shape>
        </v:group>
      </w:pict>
    </w:r>
    <w:r>
      <w:pict>
        <v:group id="组合 1048" o:spid="_x0000_s2088" o:spt="203" style="position:absolute;left:0pt;margin-left:-2.15pt;margin-top:47.15pt;height:32pt;width:235.7pt;mso-position-horizontal-relative:page;mso-position-vertical-relative:page;z-index:1024;mso-width-relative:page;mso-height-relative:page;" coordorigin="2001,880" coordsize="4715,641">
          <o:lock v:ext="edit"/>
          <v:rect id="矩形 1049" o:spid="_x0000_s2090" o:spt="1" style="position:absolute;left:2097;top:880;height:641;width:4619;" filled="f" o:preferrelative="t" stroked="f" coordsize="21600,21600">
            <v:path/>
            <v:fill on="f" focussize="0,0"/>
            <v:stroke on="f"/>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rect>
          <v:rect id="矩形 1050" o:spid="_x0000_s2089" o:spt="1" style="position:absolute;left:2001;top:1044;height:330;width:178;" fillcolor="#000000" filled="t" o:preferrelative="t" stroked="f" coordsize="21600,21600">
            <v:path/>
            <v:fill on="t" focussize="0,0"/>
            <v:stroke on="f"/>
            <v:imagedata o:title=""/>
            <o:lock v:ext="edit"/>
          </v:rect>
        </v:group>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组合 1054" o:spid="_x0000_s2083" o:spt="203" style="position:absolute;left:0pt;margin-left:2.75pt;margin-top:46.95pt;height:32.8pt;width:596.85pt;mso-position-horizontal-relative:page;mso-position-vertical-relative:page;z-index:1024;mso-width-relative:page;mso-height-relative:page;" coordorigin="878,281" coordsize="11937,656">
          <o:lock v:ext="edit"/>
          <v:rect id="矩形 1055" o:spid="_x0000_s2086" o:spt="1" style="position:absolute;left:878;top:856;height:81;width:11892;" fillcolor="#FFD966" filled="t" o:preferrelative="t" stroked="f" coordsize="21600,21600">
            <v:path/>
            <v:fill on="t" focussize="0,0"/>
            <v:stroke on="f"/>
            <v:imagedata o:title=""/>
            <o:lock v:ext="edit"/>
          </v:rect>
          <v:shape id="未知" o:spid="_x0000_s2085" o:spt="100" style="position:absolute;left:10148;top:382;height:479;width:2612;" fillcolor="#000000" filled="t" o:preferrelative="t" stroked="f" coordsize="2619,862" adj=",," path="m595,1l2619,0,2619,862,0,862,595,1xe">
            <v:path textboxrect="0,0,2619,862" o:connecttype="segments"/>
            <v:fill on="t" focussize="0,0"/>
            <v:stroke on="f" joinstyle="round"/>
            <v:imagedata o:title=""/>
            <o:lock v:ext="edit"/>
          </v:shape>
          <v:shape id="未知" o:spid="_x0000_s2084" o:spt="100" style="position:absolute;left:10437;top:281;height:616;width:2378;" fillcolor="#FFD966" filled="t" o:preferrelative="t" stroked="f" coordsize="2619,1265" adj=",," path="m668,0l2619,10,2619,1265,0,1265,668,0xe">
            <v:path textboxrect="0,0,2385,1107" o:connecttype="segments"/>
            <v:fill on="t" focussize="0,0"/>
            <v:stroke on="f" joinstyle="round"/>
            <v:imagedata o:title=""/>
            <o:lock v:ext="edit"/>
          </v:shape>
        </v:group>
      </w:pict>
    </w:r>
    <w:r>
      <w:pict>
        <v:group id="组合 1058" o:spid="_x0000_s2080" o:spt="203" style="position:absolute;left:0pt;margin-left:1.95pt;margin-top:47.1pt;height:32pt;width:235.7pt;mso-position-horizontal-relative:page;mso-position-vertical-relative:page;z-index:1024;mso-width-relative:page;mso-height-relative:page;" coordorigin="2001,880" coordsize="4715,641">
          <o:lock v:ext="edit"/>
          <v:rect id="矩形 1059" o:spid="_x0000_s2082" o:spt="1" style="position:absolute;left:2097;top:880;height:641;width:4619;" filled="f" o:preferrelative="t" stroked="f" coordsize="21600,21600">
            <v:path/>
            <v:fill on="f" focussize="0,0"/>
            <v:stroke on="f"/>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rect>
          <v:rect id="矩形 1060" o:spid="_x0000_s2081" o:spt="1" style="position:absolute;left:2001;top:1044;height:330;width:178;" fillcolor="#000000" filled="t" o:preferrelative="t" stroked="f" coordsize="21600,21600">
            <v:path/>
            <v:fill on="t" focussize="0,0"/>
            <v:stroke on="f"/>
            <v:imagedata o:title=""/>
            <o:lock v:ext="edit"/>
          </v:rect>
        </v:group>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组合 1065" o:spid="_x0000_s2068" o:spt="203" style="position:absolute;left:0pt;margin-left:0pt;margin-top:43.35pt;height:37.85pt;width:594.8pt;mso-position-horizontal-relative:page;mso-position-vertical-relative:page;z-index:1024;mso-width-relative:page;mso-height-relative:page;" coordorigin="878,324" coordsize="11897,757">
          <o:lock v:ext="edit"/>
          <v:rect id="矩形 1066" o:spid="_x0000_s2071" o:spt="1" style="position:absolute;left:878;top:988;height:93;width:11892;" fillcolor="#FFD966" filled="t" o:preferrelative="t" stroked="f" coordsize="21600,21600">
            <v:path/>
            <v:fill on="t" focussize="0,0"/>
            <v:stroke on="f"/>
            <v:imagedata o:title=""/>
            <o:lock v:ext="edit"/>
          </v:rect>
          <v:shape id="未知" o:spid="_x0000_s2070" o:spt="100" style="position:absolute;left:10148;top:440;height:554;width:2612;" fillcolor="#000000" filled="t" o:preferrelative="t" stroked="f" coordsize="2619,862" adj=",," path="m595,1l2619,0,2619,862,0,862,595,1xe">
            <v:path textboxrect="0,0,2619,862" o:connecttype="segments"/>
            <v:fill on="t" focussize="0,0"/>
            <v:stroke on="f" joinstyle="round"/>
            <v:imagedata o:title=""/>
            <o:lock v:ext="edit"/>
          </v:shape>
          <v:shape id="未知" o:spid="_x0000_s2069" o:spt="100" style="position:absolute;left:10437;top:324;height:712;width:2338;" fillcolor="#FFD966" filled="t" o:preferrelative="t" stroked="f" coordsize="2619,1265" adj=",," path="m668,0l2619,10,2619,1265,0,1265,668,0xe">
            <v:path textboxrect="0,0,2345,1108" o:connecttype="segments"/>
            <v:fill on="t" focussize="0,0"/>
            <v:stroke on="f" joinstyle="round"/>
            <v:imagedata o:title=""/>
            <o:lock v:ext="edit"/>
          </v:shape>
        </v:group>
      </w:pict>
    </w:r>
    <w:r>
      <w:pict>
        <v:group id="组合 1069" o:spid="_x0000_s2065" o:spt="203" style="position:absolute;left:0pt;margin-left:-2.15pt;margin-top:47.15pt;height:32pt;width:235.7pt;mso-position-horizontal-relative:page;mso-position-vertical-relative:page;z-index:1024;mso-width-relative:page;mso-height-relative:page;" coordorigin="2001,880" coordsize="4715,641">
          <o:lock v:ext="edit"/>
          <v:rect id="矩形 1070" o:spid="_x0000_s2067" o:spt="1" style="position:absolute;left:2097;top:880;height:641;width:4619;" filled="f" o:preferrelative="t" stroked="f" coordsize="21600,21600">
            <v:path/>
            <v:fill on="f" focussize="0,0"/>
            <v:stroke on="f"/>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rect>
          <v:rect id="矩形 1071" o:spid="_x0000_s2066" o:spt="1" style="position:absolute;left:2001;top:1044;height:330;width:178;" fillcolor="#000000" filled="t" o:preferrelative="t" stroked="f" coordsize="21600,21600">
            <v:path/>
            <v:fill on="t" focussize="0,0"/>
            <v:stroke on="f"/>
            <v:imagedata o:title=""/>
            <o:lock v:ext="edit"/>
          </v:rect>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组合 1083" o:spid="_x0000_s2053" o:spt="203" style="position:absolute;left:0pt;margin-left:2.5pt;margin-top:28.75pt;height:35.25pt;width:594.8pt;mso-position-horizontal-relative:page;mso-position-vertical-relative:page;z-index:1024;mso-width-relative:page;mso-height-relative:page;" coordorigin="878,302" coordsize="11897,705">
          <o:lock v:ext="edit"/>
          <v:rect id="矩形 1084" o:spid="_x0000_s2056" o:spt="1" style="position:absolute;left:878;top:920;height:87;width:11892;" fillcolor="#FFD966" filled="t" o:preferrelative="t" stroked="f" coordsize="21600,21600">
            <v:path/>
            <v:fill on="t" focussize="0,0"/>
            <v:stroke on="f"/>
            <v:imagedata o:title=""/>
            <o:lock v:ext="edit"/>
          </v:rect>
          <v:shape id="未知" o:spid="_x0000_s2055" o:spt="100" style="position:absolute;left:10148;top:410;height:516;width:2612;" fillcolor="#000000" filled="t" o:preferrelative="t" stroked="f" coordsize="2619,862" adj=",," path="m595,1l2619,0,2619,862,0,862,595,1xe">
            <v:path textboxrect="0,0,2619,862" o:connecttype="segments"/>
            <v:fill on="t" focussize="0,0"/>
            <v:stroke on="f" joinstyle="round"/>
            <v:imagedata o:title=""/>
            <o:lock v:ext="edit"/>
          </v:shape>
          <v:shape id="未知" o:spid="_x0000_s2054" o:spt="100" style="position:absolute;left:10437;top:302;height:663;width:2338;" fillcolor="#FFD966" filled="t" o:preferrelative="t" stroked="f" coordsize="2619,1265" adj=",," path="m668,0l2619,10,2619,1265,0,1265,668,0xe">
            <v:path textboxrect="0,0,2345,1108" o:connecttype="segments"/>
            <v:fill on="t" focussize="0,0"/>
            <v:stroke on="f" joinstyle="round"/>
            <v:imagedata o:title=""/>
            <o:lock v:ext="edit"/>
          </v:shape>
        </v:group>
      </w:pict>
    </w:r>
    <w:r>
      <w:pict>
        <v:group id="组合 1087" o:spid="_x0000_s2050" o:spt="203" style="position:absolute;left:0pt;margin-left:0pt;margin-top:29.75pt;height:32pt;width:280pt;mso-position-horizontal-relative:page;mso-position-vertical-relative:page;z-index:1024;mso-width-relative:page;mso-height-relative:page;" coordorigin="2377,880" coordsize="5602,641">
          <o:lock v:ext="edit"/>
          <v:rect id="矩形 1088" o:spid="_x0000_s2052" o:spt="1" style="position:absolute;left:2491;top:880;height:641;width:5488;" filled="f" o:preferrelative="t" stroked="f" coordsize="21600,21600">
            <v:path/>
            <v:fill on="f" focussize="0,0"/>
            <v:stroke on="f"/>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rect>
          <v:rect id="矩形 1089" o:spid="_x0000_s2051" o:spt="1" style="position:absolute;left:2377;top:1044;height:330;width:211;" fillcolor="#000000" filled="t" o:preferrelative="t" stroked="f" coordsize="21600,21600">
            <v:path/>
            <v:fill on="t" focussize="0,0"/>
            <v:stroke on="f"/>
            <v:imagedata o:title=""/>
            <o:lock v:ext="edit"/>
          </v:rect>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7FFD88"/>
    <w:multiLevelType w:val="singleLevel"/>
    <w:tmpl w:val="237FFD88"/>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82A5F"/>
    <w:rsid w:val="00103D3F"/>
    <w:rsid w:val="006F25D6"/>
    <w:rsid w:val="00812E33"/>
    <w:rsid w:val="00E82A5F"/>
    <w:rsid w:val="0F4B3EC9"/>
    <w:rsid w:val="1E674FF2"/>
    <w:rsid w:val="366C1AA3"/>
    <w:rsid w:val="569A61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黑体"/>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13"/>
    <w:uiPriority w:val="0"/>
    <w:pPr>
      <w:keepNext/>
      <w:keepLines/>
      <w:spacing w:before="260" w:after="260" w:line="416" w:lineRule="auto"/>
      <w:outlineLvl w:val="2"/>
    </w:pPr>
    <w:rPr>
      <w:rFonts w:ascii="Times New Roman" w:hAnsi="Times New Roman" w:eastAsia="宋体" w:cs="Times New Roman"/>
      <w:b/>
      <w:bCs/>
      <w:sz w:val="32"/>
      <w:szCs w:val="32"/>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Plain Text"/>
    <w:basedOn w:val="1"/>
    <w:next w:val="1"/>
    <w:qFormat/>
    <w:uiPriority w:val="0"/>
    <w:rPr>
      <w:rFonts w:hAnsi="Courier New" w:cs="Courier New"/>
      <w:szCs w:val="21"/>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10">
    <w:name w:val="列表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1">
    <w:name w:val="页眉 字符"/>
    <w:link w:val="7"/>
    <w:uiPriority w:val="99"/>
    <w:rPr>
      <w:rFonts w:ascii="等线" w:hAnsi="等线" w:eastAsia="等线"/>
      <w:sz w:val="18"/>
      <w:szCs w:val="18"/>
    </w:rPr>
  </w:style>
  <w:style w:type="character" w:customStyle="1" w:styleId="12">
    <w:name w:val="页脚 字符"/>
    <w:link w:val="6"/>
    <w:uiPriority w:val="99"/>
    <w:rPr>
      <w:sz w:val="18"/>
      <w:szCs w:val="18"/>
    </w:rPr>
  </w:style>
  <w:style w:type="character" w:customStyle="1" w:styleId="13">
    <w:name w:val="标题 3 字符"/>
    <w:link w:val="3"/>
    <w:uiPriority w:val="0"/>
    <w:rPr>
      <w:b/>
      <w:bCs/>
      <w:kern w:val="2"/>
      <w:sz w:val="32"/>
      <w:szCs w:val="32"/>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header5.xml" Type="http://schemas.openxmlformats.org/officeDocument/2006/relationships/header"/><Relationship Id="rId12" Target="header6.xml" Type="http://schemas.openxmlformats.org/officeDocument/2006/relationships/header"/><Relationship Id="rId13" Target="header7.xml" Type="http://schemas.openxmlformats.org/officeDocument/2006/relationships/header"/><Relationship Id="rId14" Target="footer5.xml" Type="http://schemas.openxmlformats.org/officeDocument/2006/relationships/footer"/><Relationship Id="rId15" Target="footer6.xml" Type="http://schemas.openxmlformats.org/officeDocument/2006/relationships/footer"/><Relationship Id="rId16" Target="header8.xml" Type="http://schemas.openxmlformats.org/officeDocument/2006/relationships/header"/><Relationship Id="rId17" Target="header9.xml" Type="http://schemas.openxmlformats.org/officeDocument/2006/relationships/header"/><Relationship Id="rId18" Target="header10.xml" Type="http://schemas.openxmlformats.org/officeDocument/2006/relationships/header"/><Relationship Id="rId19" Target="footer7.xml" Type="http://schemas.openxmlformats.org/officeDocument/2006/relationships/footer"/><Relationship Id="rId2" Target="settings.xml" Type="http://schemas.openxmlformats.org/officeDocument/2006/relationships/settings"/><Relationship Id="rId20" Target="theme/theme1.xml" Type="http://schemas.openxmlformats.org/officeDocument/2006/relationships/theme"/><Relationship Id="rId21" Target="media/image1.jpeg" Type="http://schemas.openxmlformats.org/officeDocument/2006/relationships/image"/><Relationship Id="rId22" Target="media/image2.GIF" Type="http://schemas.openxmlformats.org/officeDocument/2006/relationships/image"/><Relationship Id="rId23" Target="../customXml/item1.xml" Type="http://schemas.openxmlformats.org/officeDocument/2006/relationships/customXml"/><Relationship Id="rId24" Target="numbering.xml" Type="http://schemas.openxmlformats.org/officeDocument/2006/relationships/numbering"/><Relationship Id="rId25" Target="fontTable.xml" Type="http://schemas.openxmlformats.org/officeDocument/2006/relationships/fontTable"/><Relationship Id="rId3" Target="header1.xml" Type="http://schemas.openxmlformats.org/officeDocument/2006/relationships/header"/><Relationship Id="rId4" Target="header2.xml" Type="http://schemas.openxmlformats.org/officeDocument/2006/relationships/header"/><Relationship Id="rId5" Target="header3.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header4.xml" Type="http://schemas.openxmlformats.org/officeDocument/2006/relationships/header"/><Relationship Id="rId9" Target="footer3.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2102"/>
    <customShpInfo spid="_x0000_s2101"/>
    <customShpInfo spid="_x0000_s2100"/>
    <customShpInfo spid="_x0000_s2099"/>
    <customShpInfo spid="_x0000_s2098"/>
    <customShpInfo spid="_x0000_s2097"/>
    <customShpInfo spid="_x0000_s2096"/>
    <customShpInfo spid="_x0000_s2094"/>
    <customShpInfo spid="_x0000_s2093"/>
    <customShpInfo spid="_x0000_s2092"/>
    <customShpInfo spid="_x0000_s2091"/>
    <customShpInfo spid="_x0000_s2090"/>
    <customShpInfo spid="_x0000_s2089"/>
    <customShpInfo spid="_x0000_s2088"/>
    <customShpInfo spid="_x0000_s2087"/>
    <customShpInfo spid="_x0000_s2095"/>
    <customShpInfo spid="_x0000_s2086"/>
    <customShpInfo spid="_x0000_s2085"/>
    <customShpInfo spid="_x0000_s2084"/>
    <customShpInfo spid="_x0000_s2083"/>
    <customShpInfo spid="_x0000_s2082"/>
    <customShpInfo spid="_x0000_s2081"/>
    <customShpInfo spid="_x0000_s2080"/>
    <customShpInfo spid="_x0000_s2071"/>
    <customShpInfo spid="_x0000_s2070"/>
    <customShpInfo spid="_x0000_s2069"/>
    <customShpInfo spid="_x0000_s2068"/>
    <customShpInfo spid="_x0000_s2067"/>
    <customShpInfo spid="_x0000_s2066"/>
    <customShpInfo spid="_x0000_s2065"/>
    <customShpInfo spid="_x0000_s2064"/>
    <customShpInfo spid="_x0000_s2072"/>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80"/>
    <customShpInfo spid="_x0000_s1081"/>
    <customShpInfo spid="_x0000_s1082"/>
    <customShpInfo spid="_x0000_s1083"/>
    <customShpInfo spid="_x0000_s1085"/>
    <customShpInfo spid="_x0000_s1086"/>
    <customShpInfo spid="_x0000_s1084"/>
    <customShpInfo spid="_x0000_s1088"/>
    <customShpInfo spid="_x0000_s1089"/>
    <customShpInfo spid="_x0000_s1087"/>
    <customShpInfo spid="_x0000_s1090"/>
    <customShpInfo spid="_x0000_s1092"/>
    <customShpInfo spid="_x0000_s1093"/>
    <customShpInfo spid="_x0000_s1094"/>
    <customShpInfo spid="_x0000_s1095"/>
    <customShpInfo spid="_x0000_s1096"/>
    <customShpInfo spid="_x0000_s1097"/>
    <customShpInfo spid="_x0000_s1098"/>
    <customShpInfo spid="_x0000_s1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37</Pages>
  <Words>2564</Words>
  <Characters>14618</Characters>
  <Lines>121</Lines>
  <Paragraphs>34</Paragraphs>
  <TotalTime>3</TotalTime>
  <ScaleCrop>false</ScaleCrop>
  <LinksUpToDate>false</LinksUpToDate>
  <CharactersWithSpaces>17148</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2020-07-29T09:42:00Z</dcterms:created>
  <dc:creator>王明新TIAD</dc:creator>
  <cp:lastModifiedBy>Lenovo</cp:lastModifiedBy>
  <cp:lastPrinted>2020-07-30T02:37:00Z</cp:lastPrinted>
  <dcterms:modified xsi:type="dcterms:W3CDTF">2021-05-15T13:29:06Z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