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tbl>
      <w:tblPr>
        <w:tblW w:w="13954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777"/>
        <w:gridCol w:w="658"/>
        <w:gridCol w:w="524"/>
        <w:gridCol w:w="660"/>
        <w:gridCol w:w="756"/>
        <w:gridCol w:w="957"/>
        <w:gridCol w:w="2037"/>
        <w:gridCol w:w="1575"/>
        <w:gridCol w:w="750"/>
        <w:gridCol w:w="420"/>
        <w:gridCol w:w="1380"/>
        <w:gridCol w:w="1305"/>
        <w:gridCol w:w="390"/>
        <w:gridCol w:w="390"/>
        <w:gridCol w:w="37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761" w:hRule="atLeast"/>
        </w:trPr>
        <w:tc>
          <w:tcPr>
            <w:tcW w:w="177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决定书（通知书）文号</w:t>
            </w:r>
          </w:p>
        </w:tc>
        <w:tc>
          <w:tcPr>
            <w:tcW w:w="65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行政相对人名称</w:t>
            </w:r>
          </w:p>
        </w:tc>
        <w:tc>
          <w:tcPr>
            <w:tcW w:w="524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法定代表人或负责人</w:t>
            </w:r>
          </w:p>
        </w:tc>
        <w:tc>
          <w:tcPr>
            <w:tcW w:w="660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统一社会信用代码</w:t>
            </w:r>
          </w:p>
        </w:tc>
        <w:tc>
          <w:tcPr>
            <w:tcW w:w="756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组织机构代码</w:t>
            </w:r>
          </w:p>
        </w:tc>
        <w:tc>
          <w:tcPr>
            <w:tcW w:w="95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案由(事实)</w:t>
            </w:r>
          </w:p>
        </w:tc>
        <w:tc>
          <w:tcPr>
            <w:tcW w:w="203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违法事实</w:t>
            </w:r>
          </w:p>
        </w:tc>
        <w:tc>
          <w:tcPr>
            <w:tcW w:w="1575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违则依据</w:t>
            </w:r>
          </w:p>
        </w:tc>
        <w:tc>
          <w:tcPr>
            <w:tcW w:w="750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违则内容</w:t>
            </w:r>
          </w:p>
        </w:tc>
        <w:tc>
          <w:tcPr>
            <w:tcW w:w="420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处罚类型</w:t>
            </w:r>
          </w:p>
        </w:tc>
        <w:tc>
          <w:tcPr>
            <w:tcW w:w="1380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罚则依据</w:t>
            </w:r>
          </w:p>
        </w:tc>
        <w:tc>
          <w:tcPr>
            <w:tcW w:w="1305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罚则内容</w:t>
            </w:r>
          </w:p>
        </w:tc>
        <w:tc>
          <w:tcPr>
            <w:tcW w:w="390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处罚结果</w:t>
            </w:r>
          </w:p>
        </w:tc>
        <w:tc>
          <w:tcPr>
            <w:tcW w:w="390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决定(通知)日期</w:t>
            </w:r>
          </w:p>
        </w:tc>
        <w:tc>
          <w:tcPr>
            <w:tcW w:w="375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决定书送达日期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332" w:hRule="atLeast"/>
        </w:trPr>
        <w:tc>
          <w:tcPr>
            <w:tcW w:w="177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ascii="Arial Unicode MS" w:hAnsi="Arial Unicode MS" w:eastAsia="Arial Unicode MS" w:cs="Arial Unicode MS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 Unicode MS" w:hAnsi="Arial Unicode MS" w:eastAsia="Arial Unicode MS" w:cs="Arial Unicode MS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迁公（刑）行罚决字</w:t>
            </w:r>
            <w:bookmarkStart w:id="0" w:name="_GoBack"/>
            <w:r>
              <w:rPr>
                <w:rFonts w:hint="default" w:ascii="Arial Unicode MS" w:hAnsi="Arial Unicode MS" w:eastAsia="Arial Unicode MS" w:cs="Arial Unicode MS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〔</w:t>
            </w:r>
            <w:bookmarkEnd w:id="0"/>
            <w:r>
              <w:rPr>
                <w:rFonts w:hint="default" w:ascii="Arial Unicode MS" w:hAnsi="Arial Unicode MS" w:eastAsia="Arial Unicode MS" w:cs="Arial Unicode MS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2020〕0176号 </w:t>
            </w:r>
          </w:p>
        </w:tc>
        <w:tc>
          <w:tcPr>
            <w:tcW w:w="65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 Unicode MS" w:hAnsi="Arial Unicode MS" w:eastAsia="Arial Unicode MS" w:cs="Arial Unicode MS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 Unicode MS" w:hAnsi="Arial Unicode MS" w:eastAsia="Arial Unicode MS" w:cs="Arial Unicode MS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马xx</w:t>
            </w:r>
          </w:p>
        </w:tc>
        <w:tc>
          <w:tcPr>
            <w:tcW w:w="524" w:type="dxa"/>
            <w:shd w:val="clear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60" w:type="dxa"/>
            <w:shd w:val="clear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56" w:type="dxa"/>
            <w:shd w:val="clear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非法制造、买卖、储存、运输、邮寄、携带、使用、提供、处置危险物质</w:t>
            </w:r>
          </w:p>
        </w:tc>
        <w:tc>
          <w:tcPr>
            <w:tcW w:w="2037" w:type="dxa"/>
            <w:shd w:val="clear"/>
            <w:textDirection w:val="lrTb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 Unicode MS" w:hAnsi="Arial Unicode MS" w:eastAsia="Arial Unicode MS" w:cs="Arial Unicode MS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 Unicode MS" w:hAnsi="Arial Unicode MS" w:eastAsia="Arial Unicode MS" w:cs="Arial Unicode MS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年2月3日14时10分许，迁安市公安局民警在迁安市野鸡坨镇京哈高速南口处，将用厢式货车非法运输84消毒液（次氯酸钠）的刘xx查获。当场在刘xx所驾驶的冀B9N8F2厢式货车车厢内查获24桶84消毒液，每桶公斤25公斤。</w:t>
            </w:r>
          </w:p>
        </w:tc>
        <w:tc>
          <w:tcPr>
            <w:tcW w:w="1575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根据《中华人民共和国治安管理处罚法》第三十条之规定</w:t>
            </w:r>
          </w:p>
        </w:tc>
        <w:tc>
          <w:tcPr>
            <w:tcW w:w="750" w:type="dxa"/>
            <w:shd w:val="clear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0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行政处罚</w:t>
            </w:r>
          </w:p>
        </w:tc>
        <w:tc>
          <w:tcPr>
            <w:tcW w:w="1380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根据《中华人民共和国治安管理处罚法》第三十条之规定</w:t>
            </w:r>
          </w:p>
        </w:tc>
        <w:tc>
          <w:tcPr>
            <w:tcW w:w="1305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根据《中华人民共和国治安管理处罚法》第三十条之规定，现决定对马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xx行政拘留九日。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390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对马xx行政拘留九日 </w:t>
            </w:r>
          </w:p>
        </w:tc>
        <w:tc>
          <w:tcPr>
            <w:tcW w:w="390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 Unicode MS" w:hAnsi="Arial Unicode MS" w:eastAsia="Arial Unicode MS" w:cs="Arial Unicode MS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 Unicode MS" w:hAnsi="Arial Unicode MS" w:eastAsia="Arial Unicode MS" w:cs="Arial Unicode MS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二〇二〇年二月六日</w:t>
            </w:r>
          </w:p>
        </w:tc>
        <w:tc>
          <w:tcPr>
            <w:tcW w:w="375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 Unicode MS" w:hAnsi="Arial Unicode MS" w:eastAsia="Arial Unicode MS" w:cs="Arial Unicode MS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 Unicode MS" w:hAnsi="Arial Unicode MS" w:eastAsia="Arial Unicode MS" w:cs="Arial Unicode MS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二〇二〇年二月六日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05" w:hRule="atLeast"/>
        </w:trPr>
        <w:tc>
          <w:tcPr>
            <w:tcW w:w="177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迁公（刑）行罚决字〔2020〕0177号 </w:t>
            </w:r>
          </w:p>
        </w:tc>
        <w:tc>
          <w:tcPr>
            <w:tcW w:w="65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刘xx</w:t>
            </w:r>
          </w:p>
        </w:tc>
        <w:tc>
          <w:tcPr>
            <w:tcW w:w="524" w:type="dxa"/>
            <w:shd w:val="clear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60" w:type="dxa"/>
            <w:shd w:val="clear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56" w:type="dxa"/>
            <w:shd w:val="clear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非法制造、买卖、储存、运输、邮寄、携带、使用、提供、处置危险物质</w:t>
            </w:r>
          </w:p>
        </w:tc>
        <w:tc>
          <w:tcPr>
            <w:tcW w:w="203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 Unicode MS" w:hAnsi="Arial Unicode MS" w:eastAsia="Arial Unicode MS" w:cs="Arial Unicode MS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 Unicode MS" w:hAnsi="Arial Unicode MS" w:eastAsia="Arial Unicode MS" w:cs="Arial Unicode MS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年2月3日14时10分许，迁安市公安局民警在迁安市野鸡坨镇京哈高速南口处，将用厢式货车非法运输84消毒液（次氯酸钠）的刘xx查获。当场在刘xx所驾驶的冀B9N8F2厢式货车车厢内查获24桶84消毒液，每桶公斤25公斤。</w:t>
            </w:r>
          </w:p>
        </w:tc>
        <w:tc>
          <w:tcPr>
            <w:tcW w:w="1575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根据《中华人民共和国治安管理处罚法》第三十条之规定</w:t>
            </w:r>
          </w:p>
        </w:tc>
        <w:tc>
          <w:tcPr>
            <w:tcW w:w="750" w:type="dxa"/>
            <w:shd w:val="clear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0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行政处罚</w:t>
            </w:r>
          </w:p>
        </w:tc>
        <w:tc>
          <w:tcPr>
            <w:tcW w:w="1380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根据《中华人民共和国治安管理处罚法》第三十条之规定</w:t>
            </w:r>
          </w:p>
        </w:tc>
        <w:tc>
          <w:tcPr>
            <w:tcW w:w="1305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220" w:afterAutospacing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根据《中华人民共和国治安管理处罚法》第三十条之规定，现决定对刘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xx政拘留九日。 </w:t>
            </w:r>
          </w:p>
        </w:tc>
        <w:tc>
          <w:tcPr>
            <w:tcW w:w="390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220" w:afterAutospacing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对刘xx行政拘留九日。 </w:t>
            </w:r>
          </w:p>
        </w:tc>
        <w:tc>
          <w:tcPr>
            <w:tcW w:w="390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 Unicode MS" w:hAnsi="Arial Unicode MS" w:eastAsia="Arial Unicode MS" w:cs="Arial Unicode MS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 Unicode MS" w:hAnsi="Arial Unicode MS" w:eastAsia="Arial Unicode MS" w:cs="Arial Unicode MS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二〇二〇年二月六日</w:t>
            </w:r>
          </w:p>
        </w:tc>
        <w:tc>
          <w:tcPr>
            <w:tcW w:w="375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 Unicode MS" w:hAnsi="Arial Unicode MS" w:eastAsia="Arial Unicode MS" w:cs="Arial Unicode MS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 Unicode MS" w:hAnsi="Arial Unicode MS" w:eastAsia="Arial Unicode MS" w:cs="Arial Unicode MS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二〇二〇年二月六日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31" w:hRule="atLeast"/>
        </w:trPr>
        <w:tc>
          <w:tcPr>
            <w:tcW w:w="177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firstLineChars="10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6"/>
                <w:szCs w:val="26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6"/>
                <w:szCs w:val="26"/>
                <w:u w:val="none"/>
                <w:lang w:val="en-US" w:eastAsia="zh-CN" w:bidi="ar"/>
              </w:rPr>
              <w:t xml:space="preserve">迁公（刑）行罚决字〔2020〕0328号 </w:t>
            </w:r>
          </w:p>
        </w:tc>
        <w:tc>
          <w:tcPr>
            <w:tcW w:w="658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徐xx</w:t>
            </w:r>
          </w:p>
        </w:tc>
        <w:tc>
          <w:tcPr>
            <w:tcW w:w="524" w:type="dxa"/>
            <w:shd w:val="clear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60" w:type="dxa"/>
            <w:shd w:val="clear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56" w:type="dxa"/>
            <w:shd w:val="clear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5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阻碍执行职务</w:t>
            </w:r>
          </w:p>
        </w:tc>
        <w:tc>
          <w:tcPr>
            <w:tcW w:w="2037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after="220" w:afterAutospacing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2020年3月1日9时许，扣庄乡派出所副所长吴xx报警称：其在扣庄乡蟒山村出警过程中被徐xx妨害公务。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1575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根据《治安管理处罚法》第五十条第一款第二项、第二款之规定</w:t>
            </w:r>
          </w:p>
        </w:tc>
        <w:tc>
          <w:tcPr>
            <w:tcW w:w="750" w:type="dxa"/>
            <w:shd w:val="clear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0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行政处罚</w:t>
            </w:r>
          </w:p>
        </w:tc>
        <w:tc>
          <w:tcPr>
            <w:tcW w:w="1380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根据《治安管理处罚法》第五十条第一款第二项、第二款之规定</w:t>
            </w:r>
          </w:p>
        </w:tc>
        <w:tc>
          <w:tcPr>
            <w:tcW w:w="1305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根据《治安管理处罚法》第五十条第一款第二项、第二款之规定，现决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定对徐xx行政拘留七日。 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390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对徐xx行政拘留七日</w:t>
            </w:r>
          </w:p>
        </w:tc>
        <w:tc>
          <w:tcPr>
            <w:tcW w:w="390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 Unicode MS" w:hAnsi="Arial Unicode MS" w:eastAsia="Arial Unicode MS" w:cs="Arial Unicode MS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 Unicode MS" w:hAnsi="Arial Unicode MS" w:eastAsia="Arial Unicode MS" w:cs="Arial Unicode MS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二〇二〇年三月一日</w:t>
            </w:r>
          </w:p>
        </w:tc>
        <w:tc>
          <w:tcPr>
            <w:tcW w:w="375" w:type="dxa"/>
            <w:shd w:val="clear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 Unicode MS" w:hAnsi="Arial Unicode MS" w:eastAsia="Arial Unicode MS" w:cs="Arial Unicode MS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 Unicode MS" w:hAnsi="Arial Unicode MS" w:eastAsia="Arial Unicode MS" w:cs="Arial Unicode MS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二〇二〇年三月一日</w:t>
            </w:r>
          </w:p>
        </w:tc>
      </w:tr>
    </w:tbl>
    <w:p>
      <w:pPr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modern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altName w:val="Palatino Linotype"/>
    <w:panose1 w:val="02040503050406030204"/>
    <w:charset w:val="00"/>
    <w:family w:val="modern"/>
    <w:pitch w:val="default"/>
    <w:sig w:usb0="00000000" w:usb1="00000000" w:usb2="00000000" w:usb3="00000000" w:csb0="0000019F" w:csb1="00000000"/>
  </w:font>
  <w:font w:name="Calibri">
    <w:altName w:val="Century Gothic"/>
    <w:panose1 w:val="020F0502020204030204"/>
    <w:charset w:val="00"/>
    <w:family w:val="decorative"/>
    <w:pitch w:val="default"/>
    <w:sig w:usb0="00000000" w:usb1="00000000" w:usb2="00000001" w:usb3="00000000" w:csb0="0000019F" w:csb1="00000000"/>
  </w:font>
  <w:font w:name="Century Gothic">
    <w:panose1 w:val="020B0502020202020204"/>
    <w:charset w:val="00"/>
    <w:family w:val="auto"/>
    <w:pitch w:val="default"/>
    <w:sig w:usb0="00000287" w:usb1="00000000" w:usb2="00000000" w:usb3="00000000" w:csb0="2000009F" w:csb1="DFD70000"/>
  </w:font>
  <w:font w:name="Century Gothic">
    <w:panose1 w:val="020B0502020202020204"/>
    <w:charset w:val="00"/>
    <w:family w:val="decorative"/>
    <w:pitch w:val="default"/>
    <w:sig w:usb0="00000287" w:usb1="00000000" w:usb2="00000000" w:usb3="00000000" w:csb0="2000009F" w:csb1="DFD70000"/>
  </w:font>
  <w:font w:name="Palatino Linotype">
    <w:panose1 w:val="02040502050505030304"/>
    <w:charset w:val="00"/>
    <w:family w:val="auto"/>
    <w:pitch w:val="default"/>
    <w:sig w:usb0="E0000387" w:usb1="40000013" w:usb2="00000000" w:usb3="00000000" w:csb0="2000019F" w:csb1="00000000"/>
  </w:font>
  <w:font w:name="Arial Unicode MS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00007A87" w:usb1="80000000" w:usb2="00000008" w:usb3="00000000" w:csb0="400001FF" w:csb1="FFFF0000"/>
  </w:font>
  <w:font w:name="Arial">
    <w:panose1 w:val="020B0604020202020204"/>
    <w:charset w:val="01"/>
    <w:family w:val="decorative"/>
    <w:pitch w:val="default"/>
    <w:sig w:usb0="00007A87" w:usb1="80000000" w:usb2="00000008" w:usb3="00000000" w:csb0="400001FF" w:csb1="FFFF0000"/>
  </w:font>
  <w:font w:name="Courier New">
    <w:panose1 w:val="02070309020205020404"/>
    <w:charset w:val="01"/>
    <w:family w:val="swiss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altName w:val="Palatino Linotype"/>
    <w:panose1 w:val="02040503050406030204"/>
    <w:charset w:val="00"/>
    <w:family w:val="swiss"/>
    <w:pitch w:val="default"/>
    <w:sig w:usb0="00000000" w:usb1="00000000" w:usb2="00000000" w:usb3="00000000" w:csb0="0000019F" w:csb1="00000000"/>
  </w:font>
  <w:font w:name="Calibri">
    <w:altName w:val="Century Gothic"/>
    <w:panose1 w:val="020F0502020204030204"/>
    <w:charset w:val="00"/>
    <w:family w:val="roman"/>
    <w:pitch w:val="default"/>
    <w:sig w:usb0="00000000" w:usb1="00000000" w:usb2="00000001" w:usb3="00000000" w:csb0="0000019F" w:csb1="00000000"/>
  </w:font>
  <w:font w:name="Century Gothic">
    <w:panose1 w:val="020B0502020202020204"/>
    <w:charset w:val="00"/>
    <w:family w:val="roman"/>
    <w:pitch w:val="default"/>
    <w:sig w:usb0="00000287" w:usb1="00000000" w:usb2="00000000" w:usb3="00000000" w:csb0="2000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BreakWrappedTables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FF41326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Office_10.1.0.5458_F1E327BC-269C-435d-A152-05C5408002CA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2020-07-03T08:05:25Z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2052-10.1.0.5458</vt:lpwstr>
  </property>
</Properties>
</file>